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5.xml" ContentType="application/vnd.openxmlformats-officedocument.drawingml.chartshapes+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210.xml" ContentType="application/vnd.ms-office.chartcolorstyle+xml"/>
  <Override PartName="/word/charts/style2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DA2CC" w14:textId="7B8CC75A" w:rsidR="003F0515" w:rsidRDefault="003F0515" w:rsidP="00221622">
      <w:pPr>
        <w:spacing w:after="0"/>
        <w:jc w:val="center"/>
        <w:rPr>
          <w:rFonts w:ascii="Arial" w:hAnsi="Arial" w:cs="Arial"/>
          <w:b/>
          <w:color w:val="C00000"/>
          <w:sz w:val="40"/>
          <w:szCs w:val="40"/>
        </w:rPr>
      </w:pPr>
    </w:p>
    <w:p w14:paraId="17BF9B60" w14:textId="3EE099B7" w:rsidR="003F0515" w:rsidRDefault="003F0515" w:rsidP="00221622">
      <w:pPr>
        <w:spacing w:after="0"/>
        <w:jc w:val="center"/>
        <w:rPr>
          <w:rFonts w:ascii="Arial" w:hAnsi="Arial" w:cs="Arial"/>
          <w:b/>
          <w:color w:val="C00000"/>
          <w:sz w:val="40"/>
          <w:szCs w:val="40"/>
        </w:rPr>
      </w:pPr>
    </w:p>
    <w:p w14:paraId="3C455AA4" w14:textId="64370AEE" w:rsidR="003F0515" w:rsidRDefault="00E74C6B" w:rsidP="00221622">
      <w:pPr>
        <w:spacing w:after="0"/>
        <w:jc w:val="center"/>
        <w:rPr>
          <w:rFonts w:ascii="Arial" w:hAnsi="Arial" w:cs="Arial"/>
          <w:b/>
          <w:color w:val="C00000"/>
          <w:sz w:val="40"/>
          <w:szCs w:val="40"/>
        </w:rPr>
      </w:pPr>
      <w:r w:rsidRPr="002223D2">
        <w:rPr>
          <w:rFonts w:ascii="Calibri" w:hAnsi="Calibri" w:cs="Calibri"/>
          <w:b/>
          <w:noProof/>
        </w:rPr>
        <w:drawing>
          <wp:inline distT="0" distB="0" distL="0" distR="0" wp14:anchorId="631FBE90" wp14:editId="7830DAE6">
            <wp:extent cx="1346200" cy="137668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200" cy="1376680"/>
                    </a:xfrm>
                    <a:prstGeom prst="rect">
                      <a:avLst/>
                    </a:prstGeom>
                    <a:noFill/>
                    <a:ln>
                      <a:noFill/>
                    </a:ln>
                  </pic:spPr>
                </pic:pic>
              </a:graphicData>
            </a:graphic>
          </wp:inline>
        </w:drawing>
      </w:r>
    </w:p>
    <w:p w14:paraId="2ECC7FF2" w14:textId="3ACBECA7" w:rsidR="003F0515" w:rsidRDefault="003F0515" w:rsidP="00221622">
      <w:pPr>
        <w:spacing w:after="0"/>
        <w:jc w:val="center"/>
        <w:rPr>
          <w:rFonts w:ascii="Arial" w:hAnsi="Arial" w:cs="Arial"/>
          <w:b/>
          <w:color w:val="C00000"/>
          <w:sz w:val="40"/>
          <w:szCs w:val="40"/>
        </w:rPr>
      </w:pPr>
    </w:p>
    <w:p w14:paraId="3722B90B" w14:textId="41ABAB21" w:rsidR="003F0515" w:rsidRDefault="003F0515" w:rsidP="00221622">
      <w:pPr>
        <w:spacing w:after="0"/>
        <w:jc w:val="center"/>
        <w:rPr>
          <w:rFonts w:ascii="Arial" w:hAnsi="Arial" w:cs="Arial"/>
          <w:b/>
          <w:color w:val="C00000"/>
          <w:sz w:val="40"/>
          <w:szCs w:val="40"/>
        </w:rPr>
      </w:pPr>
    </w:p>
    <w:p w14:paraId="7A102769" w14:textId="4467BACD" w:rsidR="006B2A99" w:rsidRPr="00ED7D84" w:rsidRDefault="006B2A99" w:rsidP="006B2A99">
      <w:pPr>
        <w:spacing w:after="0"/>
        <w:jc w:val="center"/>
        <w:rPr>
          <w:rFonts w:ascii="Arial" w:hAnsi="Arial" w:cs="Arial"/>
          <w:b/>
          <w:color w:val="0070C0"/>
          <w:sz w:val="28"/>
          <w:szCs w:val="28"/>
        </w:rPr>
      </w:pPr>
      <w:r w:rsidRPr="00ED7D84">
        <w:rPr>
          <w:rFonts w:ascii="Arial" w:hAnsi="Arial" w:cs="Arial"/>
          <w:b/>
          <w:color w:val="0070C0"/>
          <w:sz w:val="28"/>
          <w:szCs w:val="28"/>
        </w:rPr>
        <w:t>Final Report</w:t>
      </w:r>
    </w:p>
    <w:p w14:paraId="27B7F2F4" w14:textId="4B204AFD" w:rsidR="009903F8" w:rsidRPr="00ED7D84" w:rsidRDefault="00221622" w:rsidP="00221622">
      <w:pPr>
        <w:spacing w:after="0"/>
        <w:jc w:val="center"/>
        <w:rPr>
          <w:rFonts w:ascii="Arial" w:hAnsi="Arial" w:cs="Arial"/>
          <w:b/>
          <w:color w:val="0070C0"/>
          <w:sz w:val="40"/>
          <w:szCs w:val="40"/>
        </w:rPr>
      </w:pPr>
      <w:r w:rsidRPr="00ED7D84">
        <w:rPr>
          <w:rFonts w:ascii="Arial" w:hAnsi="Arial" w:cs="Arial"/>
          <w:b/>
          <w:color w:val="0070C0"/>
          <w:sz w:val="40"/>
          <w:szCs w:val="40"/>
        </w:rPr>
        <w:t>TANZANIA HIV INVESTMENT CASE 2.0</w:t>
      </w:r>
    </w:p>
    <w:p w14:paraId="05900A23" w14:textId="03BBCDE9" w:rsidR="00F43FD0" w:rsidRDefault="00F43FD0" w:rsidP="00221622">
      <w:pPr>
        <w:spacing w:after="0"/>
        <w:jc w:val="center"/>
        <w:rPr>
          <w:rFonts w:ascii="Arial" w:hAnsi="Arial" w:cs="Arial"/>
          <w:b/>
          <w:color w:val="C00000"/>
          <w:sz w:val="28"/>
          <w:szCs w:val="28"/>
        </w:rPr>
      </w:pPr>
    </w:p>
    <w:p w14:paraId="43726AD4" w14:textId="2C9F8F5A" w:rsidR="00F43FD0" w:rsidRDefault="00F43FD0" w:rsidP="00221622">
      <w:pPr>
        <w:spacing w:after="0"/>
        <w:jc w:val="center"/>
        <w:rPr>
          <w:rFonts w:ascii="Arial" w:hAnsi="Arial" w:cs="Arial"/>
          <w:b/>
          <w:color w:val="C00000"/>
          <w:sz w:val="28"/>
          <w:szCs w:val="28"/>
        </w:rPr>
      </w:pPr>
    </w:p>
    <w:p w14:paraId="1F136189" w14:textId="78072546" w:rsidR="00F43FD0" w:rsidRDefault="00F43FD0" w:rsidP="00221622">
      <w:pPr>
        <w:spacing w:after="0"/>
        <w:jc w:val="center"/>
        <w:rPr>
          <w:rFonts w:ascii="Arial" w:hAnsi="Arial" w:cs="Arial"/>
          <w:b/>
          <w:color w:val="C00000"/>
          <w:sz w:val="28"/>
          <w:szCs w:val="28"/>
        </w:rPr>
      </w:pPr>
    </w:p>
    <w:p w14:paraId="7A17CB09" w14:textId="5A762FED" w:rsidR="00F43FD0" w:rsidRDefault="00ED7D84" w:rsidP="00221622">
      <w:pPr>
        <w:spacing w:after="0"/>
        <w:jc w:val="center"/>
        <w:rPr>
          <w:rFonts w:ascii="Arial" w:hAnsi="Arial" w:cs="Arial"/>
          <w:b/>
          <w:color w:val="C00000"/>
          <w:sz w:val="28"/>
          <w:szCs w:val="28"/>
        </w:rPr>
      </w:pPr>
      <w:r>
        <w:rPr>
          <w:rFonts w:ascii="Arial" w:hAnsi="Arial" w:cs="Arial"/>
          <w:b/>
          <w:noProof/>
          <w:color w:val="C00000"/>
          <w:sz w:val="28"/>
          <w:szCs w:val="28"/>
        </w:rPr>
        <mc:AlternateContent>
          <mc:Choice Requires="wps">
            <w:drawing>
              <wp:anchor distT="0" distB="0" distL="114300" distR="114300" simplePos="0" relativeHeight="251794432" behindDoc="0" locked="0" layoutInCell="1" allowOverlap="1" wp14:anchorId="3E2B82B9" wp14:editId="392000F1">
                <wp:simplePos x="0" y="0"/>
                <wp:positionH relativeFrom="page">
                  <wp:posOffset>1047964</wp:posOffset>
                </wp:positionH>
                <wp:positionV relativeFrom="page">
                  <wp:posOffset>5067700</wp:posOffset>
                </wp:positionV>
                <wp:extent cx="5757545" cy="202943"/>
                <wp:effectExtent l="0" t="0" r="14605" b="698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20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F590CB" w14:textId="77777777" w:rsidR="00ED7D84" w:rsidRPr="002B4B65" w:rsidRDefault="00ED7D84" w:rsidP="00ED7D84">
                            <w:pPr>
                              <w:pStyle w:val="NoSpacing"/>
                              <w:shd w:val="clear" w:color="auto" w:fill="ED7D31"/>
                              <w:jc w:val="center"/>
                              <w:rPr>
                                <w:rFonts w:ascii="Nirmala UI" w:hAnsi="Nirmala UI" w:cs="Nirmala UI"/>
                                <w:caps/>
                                <w:color w:val="FFFFFF"/>
                                <w:sz w:val="32"/>
                                <w:szCs w:val="40"/>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2B82B9" id="_x0000_t202" coordsize="21600,21600" o:spt="202" path="m,l,21600r21600,l21600,xe">
                <v:stroke joinstyle="miter"/>
                <v:path gradientshapeok="t" o:connecttype="rect"/>
              </v:shapetype>
              <v:shape id="Text Box 32" o:spid="_x0000_s1026" type="#_x0000_t202" style="position:absolute;left:0;text-align:left;margin-left:82.5pt;margin-top:399.05pt;width:453.35pt;height:16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" filled="f" stroked="f" strokeweight=".5pt">
                <v:textbox inset="0,0,0,0">
                  <w:txbxContent>
                    <w:p w14:paraId="71F590CB" w14:textId="77777777" w:rsidR="00ED7D84" w:rsidRPr="002B4B65" w:rsidRDefault="00ED7D84" w:rsidP="00ED7D84">
                      <w:pPr>
                        <w:pStyle w:val="NoSpacing"/>
                        <w:shd w:val="clear" w:color="auto" w:fill="ED7D31"/>
                        <w:jc w:val="center"/>
                        <w:rPr>
                          <w:rFonts w:ascii="Nirmala UI" w:hAnsi="Nirmala UI" w:cs="Nirmala UI"/>
                          <w:caps/>
                          <w:color w:val="FFFFFF"/>
                          <w:sz w:val="32"/>
                          <w:szCs w:val="40"/>
                        </w:rPr>
                      </w:pPr>
                    </w:p>
                  </w:txbxContent>
                </v:textbox>
                <w10:wrap type="square" anchorx="page" anchory="page"/>
              </v:shape>
            </w:pict>
          </mc:Fallback>
        </mc:AlternateContent>
      </w:r>
    </w:p>
    <w:p w14:paraId="73A8653C" w14:textId="77777777" w:rsidR="00F43FD0" w:rsidRDefault="00F43FD0" w:rsidP="00221622">
      <w:pPr>
        <w:spacing w:after="0"/>
        <w:jc w:val="center"/>
        <w:rPr>
          <w:rFonts w:ascii="Arial" w:hAnsi="Arial" w:cs="Arial"/>
          <w:b/>
          <w:color w:val="C00000"/>
          <w:sz w:val="28"/>
          <w:szCs w:val="28"/>
        </w:rPr>
      </w:pPr>
    </w:p>
    <w:p w14:paraId="23F148E9" w14:textId="77777777" w:rsidR="008E0A1F" w:rsidRDefault="008E0A1F" w:rsidP="00221622">
      <w:pPr>
        <w:spacing w:after="0"/>
        <w:jc w:val="center"/>
        <w:rPr>
          <w:rFonts w:ascii="Arial" w:hAnsi="Arial" w:cs="Arial"/>
          <w:b/>
          <w:color w:val="C00000"/>
          <w:sz w:val="28"/>
          <w:szCs w:val="28"/>
        </w:rPr>
      </w:pPr>
    </w:p>
    <w:p w14:paraId="1F5465F8" w14:textId="77777777" w:rsidR="008E0A1F" w:rsidRDefault="008E0A1F" w:rsidP="00221622">
      <w:pPr>
        <w:spacing w:after="0"/>
        <w:jc w:val="center"/>
        <w:rPr>
          <w:rFonts w:ascii="Arial" w:hAnsi="Arial" w:cs="Arial"/>
          <w:b/>
          <w:color w:val="C00000"/>
          <w:sz w:val="28"/>
          <w:szCs w:val="28"/>
        </w:rPr>
      </w:pPr>
    </w:p>
    <w:p w14:paraId="2AC79054" w14:textId="77777777" w:rsidR="008E0A1F" w:rsidRDefault="008E0A1F" w:rsidP="00221622">
      <w:pPr>
        <w:spacing w:after="0"/>
        <w:jc w:val="center"/>
        <w:rPr>
          <w:rFonts w:ascii="Arial" w:hAnsi="Arial" w:cs="Arial"/>
          <w:b/>
          <w:color w:val="C00000"/>
          <w:sz w:val="28"/>
          <w:szCs w:val="28"/>
        </w:rPr>
      </w:pPr>
    </w:p>
    <w:p w14:paraId="15A7B1D2" w14:textId="03D8AF3E" w:rsidR="00221622" w:rsidRDefault="00F401A3" w:rsidP="00221622">
      <w:pPr>
        <w:spacing w:after="0"/>
        <w:jc w:val="center"/>
        <w:rPr>
          <w:rFonts w:ascii="Arial" w:hAnsi="Arial" w:cs="Arial"/>
          <w:b/>
          <w:color w:val="C00000"/>
          <w:sz w:val="28"/>
          <w:szCs w:val="28"/>
        </w:rPr>
      </w:pPr>
      <w:r>
        <w:rPr>
          <w:rFonts w:ascii="Arial" w:hAnsi="Arial" w:cs="Arial"/>
          <w:b/>
          <w:color w:val="C00000"/>
          <w:sz w:val="28"/>
          <w:szCs w:val="28"/>
        </w:rPr>
        <w:t>2</w:t>
      </w:r>
      <w:r w:rsidR="002E0189">
        <w:rPr>
          <w:rFonts w:ascii="Arial" w:hAnsi="Arial" w:cs="Arial"/>
          <w:b/>
          <w:color w:val="C00000"/>
          <w:sz w:val="28"/>
          <w:szCs w:val="28"/>
        </w:rPr>
        <w:t>5</w:t>
      </w:r>
      <w:r w:rsidR="00811AC5">
        <w:rPr>
          <w:rFonts w:ascii="Arial" w:hAnsi="Arial" w:cs="Arial"/>
          <w:b/>
          <w:color w:val="C00000"/>
          <w:sz w:val="28"/>
          <w:szCs w:val="28"/>
        </w:rPr>
        <w:t xml:space="preserve"> August</w:t>
      </w:r>
      <w:r w:rsidR="00221622" w:rsidRPr="00221622">
        <w:rPr>
          <w:rFonts w:ascii="Arial" w:hAnsi="Arial" w:cs="Arial"/>
          <w:b/>
          <w:color w:val="C00000"/>
          <w:sz w:val="28"/>
          <w:szCs w:val="28"/>
        </w:rPr>
        <w:t xml:space="preserve"> 2019</w:t>
      </w:r>
    </w:p>
    <w:p w14:paraId="0D8B2238" w14:textId="2DAC74F8" w:rsidR="00980A62" w:rsidRDefault="00980A62" w:rsidP="00221622">
      <w:pPr>
        <w:spacing w:after="0"/>
        <w:jc w:val="center"/>
        <w:rPr>
          <w:rFonts w:ascii="Arial" w:hAnsi="Arial" w:cs="Arial"/>
          <w:b/>
          <w:color w:val="C00000"/>
          <w:sz w:val="28"/>
          <w:szCs w:val="28"/>
        </w:rPr>
      </w:pPr>
    </w:p>
    <w:p w14:paraId="4C101187" w14:textId="1F7D542B" w:rsidR="00980A62" w:rsidRDefault="00980A62" w:rsidP="00221622">
      <w:pPr>
        <w:spacing w:after="0"/>
        <w:jc w:val="center"/>
        <w:rPr>
          <w:rFonts w:ascii="Arial" w:hAnsi="Arial" w:cs="Arial"/>
          <w:b/>
          <w:color w:val="C00000"/>
          <w:sz w:val="28"/>
          <w:szCs w:val="28"/>
        </w:rPr>
      </w:pPr>
    </w:p>
    <w:p w14:paraId="2612AD38" w14:textId="358C0EA4" w:rsidR="00980A62" w:rsidRDefault="00980A62" w:rsidP="00221622">
      <w:pPr>
        <w:spacing w:after="0"/>
        <w:jc w:val="center"/>
        <w:rPr>
          <w:rFonts w:ascii="Arial" w:hAnsi="Arial" w:cs="Arial"/>
          <w:b/>
          <w:color w:val="C00000"/>
          <w:sz w:val="28"/>
          <w:szCs w:val="28"/>
        </w:rPr>
      </w:pPr>
    </w:p>
    <w:p w14:paraId="591A867D" w14:textId="69A64C3D" w:rsidR="00980A62" w:rsidRDefault="00980A62" w:rsidP="00221622">
      <w:pPr>
        <w:spacing w:after="0"/>
        <w:jc w:val="center"/>
        <w:rPr>
          <w:rFonts w:ascii="Arial" w:hAnsi="Arial" w:cs="Arial"/>
          <w:b/>
          <w:color w:val="C00000"/>
          <w:sz w:val="28"/>
          <w:szCs w:val="28"/>
        </w:rPr>
      </w:pPr>
    </w:p>
    <w:p w14:paraId="2BC7B067" w14:textId="26C73D01" w:rsidR="00980A62" w:rsidRDefault="00980A62" w:rsidP="00221622">
      <w:pPr>
        <w:spacing w:after="0"/>
        <w:jc w:val="center"/>
        <w:rPr>
          <w:rFonts w:ascii="Arial" w:hAnsi="Arial" w:cs="Arial"/>
          <w:b/>
          <w:color w:val="C00000"/>
          <w:sz w:val="28"/>
          <w:szCs w:val="28"/>
        </w:rPr>
      </w:pPr>
    </w:p>
    <w:p w14:paraId="447C242F" w14:textId="6984EA3A" w:rsidR="00980A62" w:rsidRDefault="00980A62" w:rsidP="00221622">
      <w:pPr>
        <w:spacing w:after="0"/>
        <w:jc w:val="center"/>
        <w:rPr>
          <w:rFonts w:ascii="Arial" w:hAnsi="Arial" w:cs="Arial"/>
          <w:b/>
          <w:color w:val="C00000"/>
          <w:sz w:val="28"/>
          <w:szCs w:val="28"/>
        </w:rPr>
      </w:pPr>
    </w:p>
    <w:p w14:paraId="2B1A9407" w14:textId="35ADAC08" w:rsidR="00980A62" w:rsidRDefault="00980A62" w:rsidP="00221622">
      <w:pPr>
        <w:spacing w:after="0"/>
        <w:jc w:val="center"/>
        <w:rPr>
          <w:rFonts w:ascii="Arial" w:hAnsi="Arial" w:cs="Arial"/>
          <w:b/>
          <w:color w:val="C00000"/>
          <w:sz w:val="28"/>
          <w:szCs w:val="28"/>
        </w:rPr>
      </w:pPr>
    </w:p>
    <w:p w14:paraId="62AD806D" w14:textId="3524C76A" w:rsidR="00980A62" w:rsidRDefault="00980A62" w:rsidP="00221622">
      <w:pPr>
        <w:spacing w:after="0"/>
        <w:jc w:val="center"/>
        <w:rPr>
          <w:rFonts w:ascii="Arial" w:hAnsi="Arial" w:cs="Arial"/>
          <w:b/>
          <w:color w:val="C00000"/>
          <w:sz w:val="28"/>
          <w:szCs w:val="28"/>
        </w:rPr>
      </w:pPr>
    </w:p>
    <w:p w14:paraId="5F0303F9" w14:textId="11BC58D4" w:rsidR="00980A62" w:rsidRDefault="00980A62" w:rsidP="00221622">
      <w:pPr>
        <w:spacing w:after="0"/>
        <w:jc w:val="center"/>
        <w:rPr>
          <w:rFonts w:ascii="Arial" w:hAnsi="Arial" w:cs="Arial"/>
          <w:b/>
          <w:color w:val="C00000"/>
          <w:sz w:val="28"/>
          <w:szCs w:val="28"/>
        </w:rPr>
      </w:pPr>
    </w:p>
    <w:p w14:paraId="01A869AD" w14:textId="34EACF37" w:rsidR="00980A62" w:rsidRDefault="00980A62" w:rsidP="00221622">
      <w:pPr>
        <w:spacing w:after="0"/>
        <w:jc w:val="center"/>
        <w:rPr>
          <w:rFonts w:ascii="Arial" w:hAnsi="Arial" w:cs="Arial"/>
          <w:b/>
          <w:color w:val="C00000"/>
          <w:sz w:val="28"/>
          <w:szCs w:val="28"/>
        </w:rPr>
      </w:pPr>
    </w:p>
    <w:p w14:paraId="36E3F4B7" w14:textId="77777777" w:rsidR="00C9443B" w:rsidRDefault="00C9443B" w:rsidP="006B2A99">
      <w:pPr>
        <w:spacing w:after="0"/>
        <w:rPr>
          <w:rFonts w:ascii="Arial" w:hAnsi="Arial" w:cs="Arial"/>
          <w:b/>
          <w:color w:val="C00000"/>
          <w:sz w:val="28"/>
          <w:szCs w:val="28"/>
        </w:rPr>
      </w:pPr>
    </w:p>
    <w:p w14:paraId="5F324C04" w14:textId="77777777" w:rsidR="00C9443B" w:rsidRDefault="00C9443B" w:rsidP="006B2A99">
      <w:pPr>
        <w:spacing w:after="0"/>
        <w:rPr>
          <w:rFonts w:ascii="Arial" w:hAnsi="Arial" w:cs="Arial"/>
          <w:b/>
          <w:color w:val="C00000"/>
          <w:sz w:val="28"/>
          <w:szCs w:val="28"/>
        </w:rPr>
      </w:pPr>
    </w:p>
    <w:p w14:paraId="5205CBF6" w14:textId="77777777" w:rsidR="00FF44D5" w:rsidRPr="00EF69DF" w:rsidRDefault="00FF44D5" w:rsidP="00EF69DF">
      <w:pPr>
        <w:pStyle w:val="Heading1"/>
      </w:pPr>
      <w:bookmarkStart w:id="0" w:name="_Toc57035104"/>
      <w:r w:rsidRPr="00EF69DF">
        <w:lastRenderedPageBreak/>
        <w:t>Foreword</w:t>
      </w:r>
      <w:bookmarkEnd w:id="0"/>
    </w:p>
    <w:p w14:paraId="436E6D84" w14:textId="77777777" w:rsidR="00FF44D5" w:rsidRPr="00403621" w:rsidRDefault="00FF44D5" w:rsidP="00FF44D5">
      <w:pPr>
        <w:pStyle w:val="Default"/>
        <w:jc w:val="both"/>
        <w:rPr>
          <w:rFonts w:ascii="Arial" w:hAnsi="Arial" w:cs="Arial"/>
        </w:rPr>
      </w:pPr>
    </w:p>
    <w:p w14:paraId="7E6C2FED" w14:textId="77777777" w:rsidR="00FF44D5" w:rsidRPr="00E86F84" w:rsidRDefault="00FF44D5" w:rsidP="00FF44D5">
      <w:pPr>
        <w:pStyle w:val="Default"/>
        <w:jc w:val="both"/>
        <w:rPr>
          <w:rFonts w:ascii="Arial" w:hAnsi="Arial" w:cs="Arial"/>
          <w:sz w:val="22"/>
          <w:szCs w:val="22"/>
        </w:rPr>
      </w:pPr>
      <w:r w:rsidRPr="00E86F84">
        <w:rPr>
          <w:rFonts w:ascii="Arial" w:hAnsi="Arial" w:cs="Arial"/>
          <w:sz w:val="22"/>
          <w:szCs w:val="22"/>
        </w:rPr>
        <w:t xml:space="preserve">Planning and implementation of the national multisectoral and decentralized HIV and AIDS response in Tanzania has been guided by the National Multisectoral HIV and AIDS Strategic Framework (NMSF IV) – 2018/17 to 22/23 and the National Health Sector HIV Strategic Plan 2017 - 2022. Given the multisectoral nature of the response, implementation takes place at national, regional, district and community levels based on individual stakeholder’s mandate, comparative advantage, resources, and technical expertise. </w:t>
      </w:r>
    </w:p>
    <w:p w14:paraId="1777822C" w14:textId="77777777" w:rsidR="00FF44D5" w:rsidRPr="00E86F84" w:rsidRDefault="00FF44D5" w:rsidP="00FF44D5">
      <w:pPr>
        <w:pStyle w:val="Default"/>
        <w:jc w:val="both"/>
        <w:rPr>
          <w:rFonts w:ascii="Arial" w:hAnsi="Arial" w:cs="Arial"/>
          <w:sz w:val="22"/>
          <w:szCs w:val="22"/>
        </w:rPr>
      </w:pPr>
    </w:p>
    <w:p w14:paraId="5EC99B30" w14:textId="77777777" w:rsidR="00FF44D5" w:rsidRPr="00E86F84" w:rsidRDefault="00FF44D5" w:rsidP="00FF44D5">
      <w:pPr>
        <w:pStyle w:val="Default"/>
        <w:jc w:val="both"/>
        <w:rPr>
          <w:rFonts w:ascii="Arial" w:hAnsi="Arial" w:cs="Arial"/>
          <w:sz w:val="22"/>
          <w:szCs w:val="22"/>
        </w:rPr>
      </w:pPr>
      <w:r w:rsidRPr="00E86F84">
        <w:rPr>
          <w:rFonts w:ascii="Arial" w:hAnsi="Arial" w:cs="Arial"/>
          <w:sz w:val="22"/>
          <w:szCs w:val="22"/>
        </w:rPr>
        <w:t xml:space="preserve">An investment case framework was first adopted in Tanzania in 2015. The Investment Case 1.0 provided guidance for the response and informed the most recent national strategies (NMSF IV and HSHSP IV). But a shifting funding landscape coupled with persistent program gaps for reaching Fast Track and 95-95-95 targets call for an update to the Investment Case to better reflect current conditions. </w:t>
      </w:r>
    </w:p>
    <w:p w14:paraId="77536C08" w14:textId="77777777" w:rsidR="00FF44D5" w:rsidRPr="00E86F84" w:rsidRDefault="00FF44D5" w:rsidP="00FF44D5">
      <w:pPr>
        <w:pStyle w:val="Default"/>
        <w:jc w:val="both"/>
        <w:rPr>
          <w:rFonts w:ascii="Arial" w:hAnsi="Arial" w:cs="Arial"/>
          <w:sz w:val="22"/>
          <w:szCs w:val="22"/>
        </w:rPr>
      </w:pPr>
    </w:p>
    <w:p w14:paraId="566468D0" w14:textId="5AA1A23A" w:rsidR="00FF44D5" w:rsidRPr="00E86F84" w:rsidRDefault="00FF44D5" w:rsidP="00FF44D5">
      <w:pPr>
        <w:pStyle w:val="Default"/>
        <w:jc w:val="both"/>
        <w:rPr>
          <w:rFonts w:ascii="Arial" w:hAnsi="Arial" w:cs="Arial"/>
          <w:sz w:val="22"/>
          <w:szCs w:val="22"/>
        </w:rPr>
      </w:pPr>
      <w:r w:rsidRPr="00E86F84">
        <w:rPr>
          <w:rFonts w:ascii="Arial" w:eastAsia="MS Mincho" w:hAnsi="Arial" w:cs="Arial"/>
          <w:sz w:val="22"/>
          <w:szCs w:val="22"/>
        </w:rPr>
        <w:t xml:space="preserve">The  strong investments from international donors has complemented the  government efforts  in addressing the HIV epidemic.  As a result of expanding treatment coverage and concerted </w:t>
      </w:r>
      <w:r w:rsidR="00E86F84" w:rsidRPr="00E86F84">
        <w:rPr>
          <w:rFonts w:ascii="Arial" w:eastAsia="MS Mincho" w:hAnsi="Arial" w:cs="Arial"/>
          <w:sz w:val="22"/>
          <w:szCs w:val="22"/>
        </w:rPr>
        <w:t>prevention efforts</w:t>
      </w:r>
      <w:r w:rsidRPr="00E86F84">
        <w:rPr>
          <w:rFonts w:ascii="Arial" w:eastAsia="MS Mincho" w:hAnsi="Arial" w:cs="Arial"/>
          <w:sz w:val="22"/>
          <w:szCs w:val="22"/>
        </w:rPr>
        <w:t xml:space="preserve">, HIV   prevalence in Tanzania  is stabilizing and new infection  and death continue to  decline.  Despite progress being made, the country has not </w:t>
      </w:r>
      <w:r w:rsidR="00E86F84" w:rsidRPr="00E86F84">
        <w:rPr>
          <w:rFonts w:ascii="Arial" w:eastAsia="MS Mincho" w:hAnsi="Arial" w:cs="Arial"/>
          <w:sz w:val="22"/>
          <w:szCs w:val="22"/>
        </w:rPr>
        <w:t>reached the</w:t>
      </w:r>
      <w:r w:rsidRPr="00E86F84">
        <w:rPr>
          <w:rFonts w:ascii="Arial" w:eastAsia="MS Mincho" w:hAnsi="Arial" w:cs="Arial"/>
          <w:sz w:val="22"/>
          <w:szCs w:val="22"/>
        </w:rPr>
        <w:t xml:space="preserve">  point of epidemic control  where   new infection and AIDS related death have decreased  and new infections have fallen below the number of  AIDS  death. </w:t>
      </w:r>
      <w:r w:rsidRPr="00E86F84">
        <w:rPr>
          <w:rFonts w:ascii="Arial" w:hAnsi="Arial" w:cs="Arial"/>
          <w:sz w:val="22"/>
          <w:szCs w:val="22"/>
        </w:rPr>
        <w:t xml:space="preserve">New </w:t>
      </w:r>
      <w:r w:rsidR="00E86F84" w:rsidRPr="00E86F84">
        <w:rPr>
          <w:rFonts w:ascii="Arial" w:hAnsi="Arial" w:cs="Arial"/>
          <w:sz w:val="22"/>
          <w:szCs w:val="22"/>
        </w:rPr>
        <w:t>infections currently</w:t>
      </w:r>
      <w:r w:rsidRPr="00E86F84">
        <w:rPr>
          <w:rFonts w:ascii="Arial" w:hAnsi="Arial" w:cs="Arial"/>
          <w:sz w:val="22"/>
          <w:szCs w:val="22"/>
        </w:rPr>
        <w:t xml:space="preserve"> stands at  77,000 in 2019 and AIDS  related death  is s estimated to be  27,000, (TACAIDS 2019). Looking ahead to 2030, Tanzania has committed to reaching epidemic control and achieving Fast Track and 95-95-95 targets.</w:t>
      </w:r>
    </w:p>
    <w:p w14:paraId="6515E1C8" w14:textId="77777777" w:rsidR="00FF44D5" w:rsidRPr="00E86F84" w:rsidRDefault="00FF44D5" w:rsidP="00FF44D5">
      <w:pPr>
        <w:pStyle w:val="Default"/>
        <w:jc w:val="both"/>
        <w:rPr>
          <w:rFonts w:ascii="Arial" w:hAnsi="Arial" w:cs="Arial"/>
          <w:sz w:val="22"/>
          <w:szCs w:val="22"/>
        </w:rPr>
      </w:pPr>
    </w:p>
    <w:p w14:paraId="138396EB" w14:textId="77777777" w:rsidR="00FF44D5" w:rsidRPr="00E86F84" w:rsidRDefault="00FF44D5" w:rsidP="00FF44D5">
      <w:pPr>
        <w:pStyle w:val="Default"/>
        <w:jc w:val="both"/>
        <w:rPr>
          <w:rFonts w:ascii="Arial" w:hAnsi="Arial" w:cs="Arial"/>
          <w:sz w:val="22"/>
          <w:szCs w:val="22"/>
        </w:rPr>
      </w:pPr>
    </w:p>
    <w:p w14:paraId="3A416002" w14:textId="77777777" w:rsidR="00FF44D5" w:rsidRPr="00E86F84" w:rsidRDefault="00FF44D5" w:rsidP="00FF44D5">
      <w:pPr>
        <w:pStyle w:val="Default"/>
        <w:jc w:val="both"/>
        <w:rPr>
          <w:rFonts w:ascii="Arial" w:hAnsi="Arial" w:cs="Arial"/>
          <w:sz w:val="22"/>
          <w:szCs w:val="22"/>
        </w:rPr>
      </w:pPr>
      <w:r w:rsidRPr="00E86F84">
        <w:rPr>
          <w:rFonts w:ascii="Arial" w:hAnsi="Arial" w:cs="Arial"/>
          <w:sz w:val="22"/>
          <w:szCs w:val="22"/>
        </w:rPr>
        <w:t>The objective of the new Tanzania HIV Investment Case 2.0 is to create a common country-led vision of what is needed to confront program and financing challenges in the years ahead by defining what the key investment decisions are; estimating the magnitude of resources required; and assessing implications for government and donor resource mobilization. This analysis is meant to drive harmonized decisions by the Government of Tanzania and its principal partners, especially PEPFAR and the Global Fund.  To do this, the Investment Case 2.0 puts forward series of scenarios that capture the future possibilities for the national HIV program and uses scenarios to estimate impact on the HIV epidemic and to explore various combinations of domestic and external financing.  Despite ongoing expansion in smart interventions, increased efficiencies in programme implementations could lead to improved results and savings.</w:t>
      </w:r>
    </w:p>
    <w:p w14:paraId="790CEDC3" w14:textId="77777777" w:rsidR="00FF44D5" w:rsidRPr="00E86F84" w:rsidRDefault="00FF44D5" w:rsidP="00FF44D5">
      <w:pPr>
        <w:pStyle w:val="Default"/>
        <w:jc w:val="both"/>
        <w:rPr>
          <w:rFonts w:ascii="Arial" w:hAnsi="Arial" w:cs="Arial"/>
          <w:sz w:val="22"/>
          <w:szCs w:val="22"/>
        </w:rPr>
      </w:pPr>
    </w:p>
    <w:p w14:paraId="000A4529" w14:textId="3D66FD0F" w:rsidR="00FF44D5" w:rsidRPr="00E86F84" w:rsidRDefault="00FF44D5" w:rsidP="00FF44D5">
      <w:pPr>
        <w:pStyle w:val="Default"/>
        <w:jc w:val="both"/>
        <w:rPr>
          <w:rFonts w:ascii="Arial" w:hAnsi="Arial" w:cs="Arial"/>
          <w:sz w:val="22"/>
          <w:szCs w:val="22"/>
        </w:rPr>
      </w:pPr>
      <w:r w:rsidRPr="00E86F84">
        <w:rPr>
          <w:rFonts w:ascii="Arial" w:hAnsi="Arial" w:cs="Arial"/>
          <w:sz w:val="22"/>
          <w:szCs w:val="22"/>
        </w:rPr>
        <w:t>To accomplish these objective</w:t>
      </w:r>
      <w:r w:rsidR="00E86F84">
        <w:rPr>
          <w:rFonts w:ascii="Arial" w:hAnsi="Arial" w:cs="Arial"/>
          <w:sz w:val="22"/>
          <w:szCs w:val="22"/>
        </w:rPr>
        <w:t>s</w:t>
      </w:r>
      <w:r w:rsidRPr="00E86F84">
        <w:rPr>
          <w:rFonts w:ascii="Arial" w:hAnsi="Arial" w:cs="Arial"/>
          <w:sz w:val="22"/>
          <w:szCs w:val="22"/>
        </w:rPr>
        <w:t xml:space="preserve">, we must commit to undertake a more coordinated national response to the epidemic. We look forward to working with development partners, communities and other stakeholders to use this   document meaningfully to inform future national strategies, resource mobilization drives and the efficient implementation of HIV programmes. </w:t>
      </w:r>
    </w:p>
    <w:p w14:paraId="53C9F35E" w14:textId="2AE6B179" w:rsidR="00E86F84" w:rsidRDefault="00E86F84" w:rsidP="00FF44D5">
      <w:pPr>
        <w:pStyle w:val="Default"/>
        <w:jc w:val="both"/>
        <w:rPr>
          <w:rFonts w:ascii="Arial" w:hAnsi="Arial" w:cs="Arial"/>
          <w:sz w:val="22"/>
          <w:szCs w:val="22"/>
        </w:rPr>
      </w:pPr>
    </w:p>
    <w:p w14:paraId="6F332607" w14:textId="4A05C9A1" w:rsidR="00E86F84" w:rsidRDefault="007F55C1" w:rsidP="00FF44D5">
      <w:pPr>
        <w:pStyle w:val="Default"/>
        <w:jc w:val="both"/>
        <w:rPr>
          <w:rFonts w:ascii="Arial" w:hAnsi="Arial" w:cs="Arial"/>
          <w:sz w:val="22"/>
          <w:szCs w:val="22"/>
        </w:rPr>
      </w:pPr>
      <w:r w:rsidRPr="007F55C1">
        <w:rPr>
          <w:rFonts w:ascii="Arial" w:hAnsi="Arial" w:cs="Arial"/>
          <w:noProof/>
          <w:sz w:val="22"/>
          <w:szCs w:val="22"/>
          <w:lang w:val="en-US"/>
        </w:rPr>
        <w:drawing>
          <wp:inline distT="0" distB="0" distL="0" distR="0" wp14:anchorId="3729DC93" wp14:editId="07F35C5C">
            <wp:extent cx="1360805" cy="64760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217" cy="672548"/>
                    </a:xfrm>
                    <a:prstGeom prst="rect">
                      <a:avLst/>
                    </a:prstGeom>
                    <a:noFill/>
                    <a:ln>
                      <a:noFill/>
                    </a:ln>
                  </pic:spPr>
                </pic:pic>
              </a:graphicData>
            </a:graphic>
          </wp:inline>
        </w:drawing>
      </w:r>
    </w:p>
    <w:p w14:paraId="589DB025" w14:textId="403234D6" w:rsidR="00E86F84" w:rsidRDefault="00E86F84" w:rsidP="00FF44D5">
      <w:pPr>
        <w:pStyle w:val="Default"/>
        <w:jc w:val="both"/>
        <w:rPr>
          <w:rFonts w:ascii="Arial" w:hAnsi="Arial" w:cs="Arial"/>
          <w:sz w:val="22"/>
          <w:szCs w:val="22"/>
        </w:rPr>
      </w:pPr>
    </w:p>
    <w:p w14:paraId="408B0278" w14:textId="0F29B2EE" w:rsidR="00FF44D5" w:rsidRPr="007F55C1" w:rsidRDefault="00FF44D5" w:rsidP="00FF44D5">
      <w:pPr>
        <w:contextualSpacing/>
        <w:rPr>
          <w:rFonts w:ascii="Arial" w:hAnsi="Arial" w:cs="Arial"/>
          <w:b/>
          <w:bCs/>
          <w:sz w:val="24"/>
          <w:szCs w:val="24"/>
        </w:rPr>
      </w:pPr>
      <w:r w:rsidRPr="007F55C1">
        <w:rPr>
          <w:rFonts w:ascii="Arial" w:hAnsi="Arial" w:cs="Arial"/>
          <w:b/>
          <w:bCs/>
          <w:sz w:val="24"/>
          <w:szCs w:val="24"/>
        </w:rPr>
        <w:t>Doroth</w:t>
      </w:r>
      <w:r w:rsidR="00FD0A05" w:rsidRPr="007F55C1">
        <w:rPr>
          <w:rFonts w:ascii="Arial" w:hAnsi="Arial" w:cs="Arial"/>
          <w:b/>
          <w:bCs/>
          <w:sz w:val="24"/>
          <w:szCs w:val="24"/>
        </w:rPr>
        <w:t>y</w:t>
      </w:r>
      <w:r w:rsidRPr="007F55C1">
        <w:rPr>
          <w:rFonts w:ascii="Arial" w:hAnsi="Arial" w:cs="Arial"/>
          <w:b/>
          <w:bCs/>
          <w:sz w:val="24"/>
          <w:szCs w:val="24"/>
        </w:rPr>
        <w:t xml:space="preserve"> A. Mwaluko </w:t>
      </w:r>
    </w:p>
    <w:p w14:paraId="2FEA7BE1" w14:textId="77777777" w:rsidR="00FF44D5" w:rsidRPr="00403621" w:rsidRDefault="00FF44D5" w:rsidP="00FF44D5">
      <w:pPr>
        <w:contextualSpacing/>
        <w:rPr>
          <w:rFonts w:ascii="Arial" w:eastAsia="MS Mincho" w:hAnsi="Arial" w:cs="Arial"/>
          <w:color w:val="000000"/>
          <w:sz w:val="24"/>
          <w:szCs w:val="24"/>
        </w:rPr>
      </w:pPr>
      <w:r w:rsidRPr="00403621">
        <w:rPr>
          <w:rFonts w:ascii="Arial" w:eastAsia="MS Mincho" w:hAnsi="Arial" w:cs="Arial"/>
          <w:color w:val="000000"/>
          <w:sz w:val="24"/>
          <w:szCs w:val="24"/>
        </w:rPr>
        <w:t xml:space="preserve">Permanent Secretary, Policy, Coordination and Investment </w:t>
      </w:r>
    </w:p>
    <w:p w14:paraId="519F28C0" w14:textId="77777777" w:rsidR="00FF44D5" w:rsidRPr="00403621" w:rsidRDefault="00FF44D5" w:rsidP="00FF44D5">
      <w:pPr>
        <w:contextualSpacing/>
        <w:rPr>
          <w:rFonts w:ascii="Arial" w:hAnsi="Arial" w:cs="Arial"/>
          <w:sz w:val="24"/>
          <w:szCs w:val="24"/>
        </w:rPr>
      </w:pPr>
      <w:r w:rsidRPr="00403621">
        <w:rPr>
          <w:rFonts w:ascii="Arial" w:eastAsia="MS Mincho" w:hAnsi="Arial" w:cs="Arial"/>
          <w:color w:val="000000"/>
          <w:sz w:val="24"/>
          <w:szCs w:val="24"/>
        </w:rPr>
        <w:t>PRIME MINISTER</w:t>
      </w:r>
      <w:r>
        <w:rPr>
          <w:rFonts w:ascii="Arial" w:eastAsia="MS Mincho" w:hAnsi="Arial" w:cs="Arial"/>
          <w:color w:val="000000"/>
          <w:sz w:val="24"/>
          <w:szCs w:val="24"/>
        </w:rPr>
        <w:t>’S OFFICE</w:t>
      </w:r>
    </w:p>
    <w:p w14:paraId="0C473CBD" w14:textId="3FB56711" w:rsidR="005B09C7" w:rsidRDefault="005B09C7" w:rsidP="00107C27">
      <w:pPr>
        <w:pStyle w:val="Heading1"/>
      </w:pPr>
      <w:bookmarkStart w:id="1" w:name="_Toc57035105"/>
      <w:r w:rsidRPr="005B09C7">
        <w:lastRenderedPageBreak/>
        <w:t>Acknowledgement</w:t>
      </w:r>
      <w:bookmarkEnd w:id="1"/>
    </w:p>
    <w:p w14:paraId="2D3FD822" w14:textId="77777777" w:rsidR="005B09C7" w:rsidRPr="005B09C7" w:rsidRDefault="005B09C7" w:rsidP="005B09C7">
      <w:pPr>
        <w:pStyle w:val="Default"/>
        <w:jc w:val="both"/>
        <w:rPr>
          <w:rFonts w:ascii="Arial" w:hAnsi="Arial" w:cs="Arial"/>
          <w:b/>
          <w:bCs/>
        </w:rPr>
      </w:pPr>
    </w:p>
    <w:p w14:paraId="711AB896" w14:textId="301A9206" w:rsidR="007F55C1" w:rsidRDefault="00107C27" w:rsidP="00E86F84">
      <w:pPr>
        <w:rPr>
          <w:rFonts w:ascii="Arial" w:hAnsi="Arial" w:cs="Arial"/>
          <w:b/>
          <w:color w:val="C00000"/>
          <w:sz w:val="28"/>
          <w:szCs w:val="28"/>
        </w:rPr>
      </w:pPr>
      <w:r w:rsidRPr="00107C27">
        <w:rPr>
          <w:rFonts w:ascii="Arial" w:hAnsi="Arial" w:cs="Arial"/>
          <w:b/>
          <w:noProof/>
          <w:color w:val="C00000"/>
          <w:sz w:val="28"/>
          <w:szCs w:val="28"/>
        </w:rPr>
        <w:drawing>
          <wp:inline distT="0" distB="0" distL="0" distR="0" wp14:anchorId="0971F02F" wp14:editId="15FBD99D">
            <wp:extent cx="5943600" cy="5429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429250"/>
                    </a:xfrm>
                    <a:prstGeom prst="rect">
                      <a:avLst/>
                    </a:prstGeom>
                    <a:noFill/>
                    <a:ln>
                      <a:noFill/>
                    </a:ln>
                  </pic:spPr>
                </pic:pic>
              </a:graphicData>
            </a:graphic>
          </wp:inline>
        </w:drawing>
      </w:r>
      <w:r w:rsidR="000C3074">
        <w:rPr>
          <w:rFonts w:ascii="Arial" w:hAnsi="Arial" w:cs="Arial"/>
          <w:b/>
          <w:color w:val="C00000"/>
          <w:sz w:val="28"/>
          <w:szCs w:val="28"/>
        </w:rPr>
        <w:br w:type="page"/>
      </w:r>
    </w:p>
    <w:sdt>
      <w:sdtPr>
        <w:rPr>
          <w:rFonts w:asciiTheme="minorHAnsi" w:eastAsiaTheme="minorEastAsia" w:hAnsiTheme="minorHAnsi" w:cstheme="minorBidi"/>
          <w:color w:val="auto"/>
          <w:sz w:val="20"/>
          <w:szCs w:val="20"/>
        </w:rPr>
        <w:id w:val="35400115"/>
        <w:docPartObj>
          <w:docPartGallery w:val="Table of Contents"/>
          <w:docPartUnique/>
        </w:docPartObj>
      </w:sdtPr>
      <w:sdtEndPr>
        <w:rPr>
          <w:b/>
          <w:bCs/>
          <w:noProof/>
        </w:rPr>
      </w:sdtEndPr>
      <w:sdtContent>
        <w:p w14:paraId="3FF2D9C1" w14:textId="4638D9FC" w:rsidR="00AD1F76" w:rsidRPr="001E233E" w:rsidRDefault="003A4872">
          <w:pPr>
            <w:pStyle w:val="TOCHeading"/>
            <w:rPr>
              <w:rFonts w:ascii="Arial" w:hAnsi="Arial" w:cs="Arial"/>
              <w:b/>
              <w:color w:val="000000" w:themeColor="text1"/>
              <w:sz w:val="28"/>
            </w:rPr>
          </w:pPr>
          <w:r>
            <w:rPr>
              <w:rFonts w:ascii="Arial" w:hAnsi="Arial" w:cs="Arial"/>
              <w:b/>
              <w:color w:val="000000" w:themeColor="text1"/>
              <w:sz w:val="28"/>
            </w:rPr>
            <w:t>Table</w:t>
          </w:r>
          <w:r w:rsidR="00AD1F76" w:rsidRPr="001E233E">
            <w:rPr>
              <w:rFonts w:ascii="Arial" w:hAnsi="Arial" w:cs="Arial"/>
              <w:b/>
              <w:color w:val="000000" w:themeColor="text1"/>
              <w:sz w:val="28"/>
            </w:rPr>
            <w:t xml:space="preserve"> of Contents</w:t>
          </w:r>
        </w:p>
        <w:p w14:paraId="6F42A4B3" w14:textId="2092FE77" w:rsidR="002D52EF" w:rsidRDefault="00AD1F76">
          <w:pPr>
            <w:pStyle w:val="TOC1"/>
            <w:tabs>
              <w:tab w:val="right" w:leader="dot" w:pos="9350"/>
            </w:tabs>
            <w:rPr>
              <w:noProof/>
              <w:sz w:val="22"/>
              <w:szCs w:val="22"/>
            </w:rPr>
          </w:pPr>
          <w:r>
            <w:fldChar w:fldCharType="begin"/>
          </w:r>
          <w:r>
            <w:instrText xml:space="preserve"> TOC \o "1-3" \h \z \u </w:instrText>
          </w:r>
          <w:r>
            <w:fldChar w:fldCharType="separate"/>
          </w:r>
          <w:hyperlink w:anchor="_Toc57035104" w:history="1">
            <w:r w:rsidR="002D52EF" w:rsidRPr="008C6024">
              <w:rPr>
                <w:rStyle w:val="Hyperlink"/>
                <w:noProof/>
              </w:rPr>
              <w:t>Foreword</w:t>
            </w:r>
            <w:r w:rsidR="002D52EF">
              <w:rPr>
                <w:noProof/>
                <w:webHidden/>
              </w:rPr>
              <w:tab/>
            </w:r>
            <w:r w:rsidR="002D52EF">
              <w:rPr>
                <w:noProof/>
                <w:webHidden/>
              </w:rPr>
              <w:fldChar w:fldCharType="begin"/>
            </w:r>
            <w:r w:rsidR="002D52EF">
              <w:rPr>
                <w:noProof/>
                <w:webHidden/>
              </w:rPr>
              <w:instrText xml:space="preserve"> PAGEREF _Toc57035104 \h </w:instrText>
            </w:r>
            <w:r w:rsidR="002D52EF">
              <w:rPr>
                <w:noProof/>
                <w:webHidden/>
              </w:rPr>
            </w:r>
            <w:r w:rsidR="002D52EF">
              <w:rPr>
                <w:noProof/>
                <w:webHidden/>
              </w:rPr>
              <w:fldChar w:fldCharType="separate"/>
            </w:r>
            <w:r w:rsidR="002D52EF">
              <w:rPr>
                <w:noProof/>
                <w:webHidden/>
              </w:rPr>
              <w:t>2</w:t>
            </w:r>
            <w:r w:rsidR="002D52EF">
              <w:rPr>
                <w:noProof/>
                <w:webHidden/>
              </w:rPr>
              <w:fldChar w:fldCharType="end"/>
            </w:r>
          </w:hyperlink>
        </w:p>
        <w:p w14:paraId="6AB56641" w14:textId="6CAB62D4" w:rsidR="002D52EF" w:rsidRDefault="00040C2B">
          <w:pPr>
            <w:pStyle w:val="TOC1"/>
            <w:tabs>
              <w:tab w:val="right" w:leader="dot" w:pos="9350"/>
            </w:tabs>
            <w:rPr>
              <w:noProof/>
              <w:sz w:val="22"/>
              <w:szCs w:val="22"/>
            </w:rPr>
          </w:pPr>
          <w:hyperlink w:anchor="_Toc57035105" w:history="1">
            <w:r w:rsidR="002D52EF" w:rsidRPr="008C6024">
              <w:rPr>
                <w:rStyle w:val="Hyperlink"/>
                <w:noProof/>
              </w:rPr>
              <w:t>Acknowledgement</w:t>
            </w:r>
            <w:r w:rsidR="002D52EF">
              <w:rPr>
                <w:noProof/>
                <w:webHidden/>
              </w:rPr>
              <w:tab/>
            </w:r>
            <w:r w:rsidR="002D52EF">
              <w:rPr>
                <w:noProof/>
                <w:webHidden/>
              </w:rPr>
              <w:fldChar w:fldCharType="begin"/>
            </w:r>
            <w:r w:rsidR="002D52EF">
              <w:rPr>
                <w:noProof/>
                <w:webHidden/>
              </w:rPr>
              <w:instrText xml:space="preserve"> PAGEREF _Toc57035105 \h </w:instrText>
            </w:r>
            <w:r w:rsidR="002D52EF">
              <w:rPr>
                <w:noProof/>
                <w:webHidden/>
              </w:rPr>
            </w:r>
            <w:r w:rsidR="002D52EF">
              <w:rPr>
                <w:noProof/>
                <w:webHidden/>
              </w:rPr>
              <w:fldChar w:fldCharType="separate"/>
            </w:r>
            <w:r w:rsidR="002D52EF">
              <w:rPr>
                <w:noProof/>
                <w:webHidden/>
              </w:rPr>
              <w:t>3</w:t>
            </w:r>
            <w:r w:rsidR="002D52EF">
              <w:rPr>
                <w:noProof/>
                <w:webHidden/>
              </w:rPr>
              <w:fldChar w:fldCharType="end"/>
            </w:r>
          </w:hyperlink>
        </w:p>
        <w:p w14:paraId="4C20B5F0" w14:textId="5CB33BF2" w:rsidR="002D52EF" w:rsidRDefault="00040C2B">
          <w:pPr>
            <w:pStyle w:val="TOC1"/>
            <w:tabs>
              <w:tab w:val="right" w:leader="dot" w:pos="9350"/>
            </w:tabs>
            <w:rPr>
              <w:noProof/>
              <w:sz w:val="22"/>
              <w:szCs w:val="22"/>
            </w:rPr>
          </w:pPr>
          <w:hyperlink w:anchor="_Toc57035106" w:history="1">
            <w:r w:rsidR="002D52EF" w:rsidRPr="008C6024">
              <w:rPr>
                <w:rStyle w:val="Hyperlink"/>
                <w:rFonts w:ascii="Arial" w:hAnsi="Arial" w:cs="Arial"/>
                <w:b/>
                <w:noProof/>
              </w:rPr>
              <w:t>LIST OF ACRONYMS</w:t>
            </w:r>
            <w:r w:rsidR="002D52EF">
              <w:rPr>
                <w:noProof/>
                <w:webHidden/>
              </w:rPr>
              <w:tab/>
            </w:r>
            <w:r w:rsidR="002D52EF">
              <w:rPr>
                <w:noProof/>
                <w:webHidden/>
              </w:rPr>
              <w:fldChar w:fldCharType="begin"/>
            </w:r>
            <w:r w:rsidR="002D52EF">
              <w:rPr>
                <w:noProof/>
                <w:webHidden/>
              </w:rPr>
              <w:instrText xml:space="preserve"> PAGEREF _Toc57035106 \h </w:instrText>
            </w:r>
            <w:r w:rsidR="002D52EF">
              <w:rPr>
                <w:noProof/>
                <w:webHidden/>
              </w:rPr>
            </w:r>
            <w:r w:rsidR="002D52EF">
              <w:rPr>
                <w:noProof/>
                <w:webHidden/>
              </w:rPr>
              <w:fldChar w:fldCharType="separate"/>
            </w:r>
            <w:r w:rsidR="002D52EF">
              <w:rPr>
                <w:noProof/>
                <w:webHidden/>
              </w:rPr>
              <w:t>8</w:t>
            </w:r>
            <w:r w:rsidR="002D52EF">
              <w:rPr>
                <w:noProof/>
                <w:webHidden/>
              </w:rPr>
              <w:fldChar w:fldCharType="end"/>
            </w:r>
          </w:hyperlink>
        </w:p>
        <w:p w14:paraId="1DF0885D" w14:textId="4DDB00E7" w:rsidR="002D52EF" w:rsidRDefault="00040C2B">
          <w:pPr>
            <w:pStyle w:val="TOC1"/>
            <w:tabs>
              <w:tab w:val="right" w:leader="dot" w:pos="9350"/>
            </w:tabs>
            <w:rPr>
              <w:noProof/>
              <w:sz w:val="22"/>
              <w:szCs w:val="22"/>
            </w:rPr>
          </w:pPr>
          <w:hyperlink w:anchor="_Toc57035107" w:history="1">
            <w:r w:rsidR="002D52EF" w:rsidRPr="008C6024">
              <w:rPr>
                <w:rStyle w:val="Hyperlink"/>
                <w:rFonts w:ascii="Arial" w:eastAsia="Times New Roman" w:hAnsi="Arial" w:cs="Arial"/>
                <w:b/>
                <w:bCs/>
                <w:noProof/>
              </w:rPr>
              <w:t>Executive Summary</w:t>
            </w:r>
            <w:r w:rsidR="002D52EF">
              <w:rPr>
                <w:noProof/>
                <w:webHidden/>
              </w:rPr>
              <w:tab/>
            </w:r>
            <w:r w:rsidR="002D52EF">
              <w:rPr>
                <w:noProof/>
                <w:webHidden/>
              </w:rPr>
              <w:fldChar w:fldCharType="begin"/>
            </w:r>
            <w:r w:rsidR="002D52EF">
              <w:rPr>
                <w:noProof/>
                <w:webHidden/>
              </w:rPr>
              <w:instrText xml:space="preserve"> PAGEREF _Toc57035107 \h </w:instrText>
            </w:r>
            <w:r w:rsidR="002D52EF">
              <w:rPr>
                <w:noProof/>
                <w:webHidden/>
              </w:rPr>
            </w:r>
            <w:r w:rsidR="002D52EF">
              <w:rPr>
                <w:noProof/>
                <w:webHidden/>
              </w:rPr>
              <w:fldChar w:fldCharType="separate"/>
            </w:r>
            <w:r w:rsidR="002D52EF">
              <w:rPr>
                <w:noProof/>
                <w:webHidden/>
              </w:rPr>
              <w:t>10</w:t>
            </w:r>
            <w:r w:rsidR="002D52EF">
              <w:rPr>
                <w:noProof/>
                <w:webHidden/>
              </w:rPr>
              <w:fldChar w:fldCharType="end"/>
            </w:r>
          </w:hyperlink>
        </w:p>
        <w:p w14:paraId="2FAC18E6" w14:textId="59757C4E" w:rsidR="002D52EF" w:rsidRDefault="00040C2B">
          <w:pPr>
            <w:pStyle w:val="TOC2"/>
            <w:tabs>
              <w:tab w:val="right" w:leader="dot" w:pos="9350"/>
            </w:tabs>
            <w:rPr>
              <w:noProof/>
              <w:sz w:val="22"/>
              <w:szCs w:val="22"/>
            </w:rPr>
          </w:pPr>
          <w:hyperlink w:anchor="_Toc57035108" w:history="1">
            <w:r w:rsidR="002D52EF" w:rsidRPr="008C6024">
              <w:rPr>
                <w:rStyle w:val="Hyperlink"/>
                <w:rFonts w:ascii="Arial" w:hAnsi="Arial" w:cs="Arial"/>
                <w:b/>
                <w:bCs/>
                <w:noProof/>
              </w:rPr>
              <w:t>Introduction</w:t>
            </w:r>
            <w:r w:rsidR="002D52EF">
              <w:rPr>
                <w:noProof/>
                <w:webHidden/>
              </w:rPr>
              <w:tab/>
            </w:r>
            <w:r w:rsidR="002D52EF">
              <w:rPr>
                <w:noProof/>
                <w:webHidden/>
              </w:rPr>
              <w:fldChar w:fldCharType="begin"/>
            </w:r>
            <w:r w:rsidR="002D52EF">
              <w:rPr>
                <w:noProof/>
                <w:webHidden/>
              </w:rPr>
              <w:instrText xml:space="preserve"> PAGEREF _Toc57035108 \h </w:instrText>
            </w:r>
            <w:r w:rsidR="002D52EF">
              <w:rPr>
                <w:noProof/>
                <w:webHidden/>
              </w:rPr>
            </w:r>
            <w:r w:rsidR="002D52EF">
              <w:rPr>
                <w:noProof/>
                <w:webHidden/>
              </w:rPr>
              <w:fldChar w:fldCharType="separate"/>
            </w:r>
            <w:r w:rsidR="002D52EF">
              <w:rPr>
                <w:noProof/>
                <w:webHidden/>
              </w:rPr>
              <w:t>10</w:t>
            </w:r>
            <w:r w:rsidR="002D52EF">
              <w:rPr>
                <w:noProof/>
                <w:webHidden/>
              </w:rPr>
              <w:fldChar w:fldCharType="end"/>
            </w:r>
          </w:hyperlink>
        </w:p>
        <w:p w14:paraId="78440379" w14:textId="4E155330" w:rsidR="002D52EF" w:rsidRDefault="00040C2B">
          <w:pPr>
            <w:pStyle w:val="TOC2"/>
            <w:tabs>
              <w:tab w:val="right" w:leader="dot" w:pos="9350"/>
            </w:tabs>
            <w:rPr>
              <w:noProof/>
              <w:sz w:val="22"/>
              <w:szCs w:val="22"/>
            </w:rPr>
          </w:pPr>
          <w:hyperlink w:anchor="_Toc57035109" w:history="1">
            <w:r w:rsidR="002D52EF" w:rsidRPr="008C6024">
              <w:rPr>
                <w:rStyle w:val="Hyperlink"/>
                <w:rFonts w:ascii="Arial" w:hAnsi="Arial" w:cs="Arial"/>
                <w:b/>
                <w:bCs/>
                <w:noProof/>
              </w:rPr>
              <w:t>Objective of IC 2.0</w:t>
            </w:r>
            <w:r w:rsidR="002D52EF">
              <w:rPr>
                <w:noProof/>
                <w:webHidden/>
              </w:rPr>
              <w:tab/>
            </w:r>
            <w:r w:rsidR="002D52EF">
              <w:rPr>
                <w:noProof/>
                <w:webHidden/>
              </w:rPr>
              <w:fldChar w:fldCharType="begin"/>
            </w:r>
            <w:r w:rsidR="002D52EF">
              <w:rPr>
                <w:noProof/>
                <w:webHidden/>
              </w:rPr>
              <w:instrText xml:space="preserve"> PAGEREF _Toc57035109 \h </w:instrText>
            </w:r>
            <w:r w:rsidR="002D52EF">
              <w:rPr>
                <w:noProof/>
                <w:webHidden/>
              </w:rPr>
            </w:r>
            <w:r w:rsidR="002D52EF">
              <w:rPr>
                <w:noProof/>
                <w:webHidden/>
              </w:rPr>
              <w:fldChar w:fldCharType="separate"/>
            </w:r>
            <w:r w:rsidR="002D52EF">
              <w:rPr>
                <w:noProof/>
                <w:webHidden/>
              </w:rPr>
              <w:t>10</w:t>
            </w:r>
            <w:r w:rsidR="002D52EF">
              <w:rPr>
                <w:noProof/>
                <w:webHidden/>
              </w:rPr>
              <w:fldChar w:fldCharType="end"/>
            </w:r>
          </w:hyperlink>
        </w:p>
        <w:p w14:paraId="64462394" w14:textId="491D8F2C" w:rsidR="002D52EF" w:rsidRDefault="00040C2B">
          <w:pPr>
            <w:pStyle w:val="TOC2"/>
            <w:tabs>
              <w:tab w:val="right" w:leader="dot" w:pos="9350"/>
            </w:tabs>
            <w:rPr>
              <w:noProof/>
              <w:sz w:val="22"/>
              <w:szCs w:val="22"/>
            </w:rPr>
          </w:pPr>
          <w:hyperlink w:anchor="_Toc57035110" w:history="1">
            <w:r w:rsidR="002D52EF" w:rsidRPr="008C6024">
              <w:rPr>
                <w:rStyle w:val="Hyperlink"/>
                <w:rFonts w:ascii="Arial" w:hAnsi="Arial" w:cs="Arial"/>
                <w:b/>
                <w:bCs/>
                <w:noProof/>
              </w:rPr>
              <w:t>IC 2.0 methodology and scenarios</w:t>
            </w:r>
            <w:r w:rsidR="002D52EF">
              <w:rPr>
                <w:noProof/>
                <w:webHidden/>
              </w:rPr>
              <w:tab/>
            </w:r>
            <w:r w:rsidR="002D52EF">
              <w:rPr>
                <w:noProof/>
                <w:webHidden/>
              </w:rPr>
              <w:fldChar w:fldCharType="begin"/>
            </w:r>
            <w:r w:rsidR="002D52EF">
              <w:rPr>
                <w:noProof/>
                <w:webHidden/>
              </w:rPr>
              <w:instrText xml:space="preserve"> PAGEREF _Toc57035110 \h </w:instrText>
            </w:r>
            <w:r w:rsidR="002D52EF">
              <w:rPr>
                <w:noProof/>
                <w:webHidden/>
              </w:rPr>
            </w:r>
            <w:r w:rsidR="002D52EF">
              <w:rPr>
                <w:noProof/>
                <w:webHidden/>
              </w:rPr>
              <w:fldChar w:fldCharType="separate"/>
            </w:r>
            <w:r w:rsidR="002D52EF">
              <w:rPr>
                <w:noProof/>
                <w:webHidden/>
              </w:rPr>
              <w:t>11</w:t>
            </w:r>
            <w:r w:rsidR="002D52EF">
              <w:rPr>
                <w:noProof/>
                <w:webHidden/>
              </w:rPr>
              <w:fldChar w:fldCharType="end"/>
            </w:r>
          </w:hyperlink>
        </w:p>
        <w:p w14:paraId="71CFD0E2" w14:textId="575D1F52" w:rsidR="002D52EF" w:rsidRDefault="00040C2B">
          <w:pPr>
            <w:pStyle w:val="TOC2"/>
            <w:tabs>
              <w:tab w:val="right" w:leader="dot" w:pos="9350"/>
            </w:tabs>
            <w:rPr>
              <w:noProof/>
              <w:sz w:val="22"/>
              <w:szCs w:val="22"/>
            </w:rPr>
          </w:pPr>
          <w:hyperlink w:anchor="_Toc57035111" w:history="1">
            <w:r w:rsidR="002D52EF" w:rsidRPr="008C6024">
              <w:rPr>
                <w:rStyle w:val="Hyperlink"/>
                <w:rFonts w:ascii="Arial" w:hAnsi="Arial" w:cs="Arial"/>
                <w:b/>
                <w:bCs/>
                <w:noProof/>
              </w:rPr>
              <w:t>Results</w:t>
            </w:r>
            <w:r w:rsidR="002D52EF">
              <w:rPr>
                <w:noProof/>
                <w:webHidden/>
              </w:rPr>
              <w:tab/>
            </w:r>
            <w:r w:rsidR="002D52EF">
              <w:rPr>
                <w:noProof/>
                <w:webHidden/>
              </w:rPr>
              <w:fldChar w:fldCharType="begin"/>
            </w:r>
            <w:r w:rsidR="002D52EF">
              <w:rPr>
                <w:noProof/>
                <w:webHidden/>
              </w:rPr>
              <w:instrText xml:space="preserve"> PAGEREF _Toc57035111 \h </w:instrText>
            </w:r>
            <w:r w:rsidR="002D52EF">
              <w:rPr>
                <w:noProof/>
                <w:webHidden/>
              </w:rPr>
            </w:r>
            <w:r w:rsidR="002D52EF">
              <w:rPr>
                <w:noProof/>
                <w:webHidden/>
              </w:rPr>
              <w:fldChar w:fldCharType="separate"/>
            </w:r>
            <w:r w:rsidR="002D52EF">
              <w:rPr>
                <w:noProof/>
                <w:webHidden/>
              </w:rPr>
              <w:t>12</w:t>
            </w:r>
            <w:r w:rsidR="002D52EF">
              <w:rPr>
                <w:noProof/>
                <w:webHidden/>
              </w:rPr>
              <w:fldChar w:fldCharType="end"/>
            </w:r>
          </w:hyperlink>
        </w:p>
        <w:p w14:paraId="4C8D726D" w14:textId="283D38A1" w:rsidR="002D52EF" w:rsidRDefault="00040C2B">
          <w:pPr>
            <w:pStyle w:val="TOC3"/>
            <w:tabs>
              <w:tab w:val="right" w:leader="dot" w:pos="9350"/>
            </w:tabs>
            <w:rPr>
              <w:noProof/>
              <w:sz w:val="22"/>
              <w:szCs w:val="22"/>
            </w:rPr>
          </w:pPr>
          <w:hyperlink w:anchor="_Toc57035112" w:history="1">
            <w:r w:rsidR="002D52EF" w:rsidRPr="008C6024">
              <w:rPr>
                <w:rStyle w:val="Hyperlink"/>
                <w:rFonts w:ascii="Arial" w:hAnsi="Arial" w:cs="Arial"/>
                <w:i/>
                <w:iCs/>
                <w:noProof/>
              </w:rPr>
              <w:t>Current Coverage Scenario</w:t>
            </w:r>
            <w:r w:rsidR="002D52EF">
              <w:rPr>
                <w:noProof/>
                <w:webHidden/>
              </w:rPr>
              <w:tab/>
            </w:r>
            <w:r w:rsidR="002D52EF">
              <w:rPr>
                <w:noProof/>
                <w:webHidden/>
              </w:rPr>
              <w:fldChar w:fldCharType="begin"/>
            </w:r>
            <w:r w:rsidR="002D52EF">
              <w:rPr>
                <w:noProof/>
                <w:webHidden/>
              </w:rPr>
              <w:instrText xml:space="preserve"> PAGEREF _Toc57035112 \h </w:instrText>
            </w:r>
            <w:r w:rsidR="002D52EF">
              <w:rPr>
                <w:noProof/>
                <w:webHidden/>
              </w:rPr>
            </w:r>
            <w:r w:rsidR="002D52EF">
              <w:rPr>
                <w:noProof/>
                <w:webHidden/>
              </w:rPr>
              <w:fldChar w:fldCharType="separate"/>
            </w:r>
            <w:r w:rsidR="002D52EF">
              <w:rPr>
                <w:noProof/>
                <w:webHidden/>
              </w:rPr>
              <w:t>12</w:t>
            </w:r>
            <w:r w:rsidR="002D52EF">
              <w:rPr>
                <w:noProof/>
                <w:webHidden/>
              </w:rPr>
              <w:fldChar w:fldCharType="end"/>
            </w:r>
          </w:hyperlink>
        </w:p>
        <w:p w14:paraId="696B910B" w14:textId="4A957F4D" w:rsidR="002D52EF" w:rsidRDefault="00040C2B">
          <w:pPr>
            <w:pStyle w:val="TOC3"/>
            <w:tabs>
              <w:tab w:val="right" w:leader="dot" w:pos="9350"/>
            </w:tabs>
            <w:rPr>
              <w:noProof/>
              <w:sz w:val="22"/>
              <w:szCs w:val="22"/>
            </w:rPr>
          </w:pPr>
          <w:hyperlink w:anchor="_Toc57035113" w:history="1">
            <w:r w:rsidR="002D52EF" w:rsidRPr="008C6024">
              <w:rPr>
                <w:rStyle w:val="Hyperlink"/>
                <w:rFonts w:ascii="Arial" w:hAnsi="Arial" w:cs="Arial"/>
                <w:i/>
                <w:iCs/>
                <w:noProof/>
              </w:rPr>
              <w:t>National Strategy Scenario</w:t>
            </w:r>
            <w:r w:rsidR="002D52EF">
              <w:rPr>
                <w:noProof/>
                <w:webHidden/>
              </w:rPr>
              <w:tab/>
            </w:r>
            <w:r w:rsidR="002D52EF">
              <w:rPr>
                <w:noProof/>
                <w:webHidden/>
              </w:rPr>
              <w:fldChar w:fldCharType="begin"/>
            </w:r>
            <w:r w:rsidR="002D52EF">
              <w:rPr>
                <w:noProof/>
                <w:webHidden/>
              </w:rPr>
              <w:instrText xml:space="preserve"> PAGEREF _Toc57035113 \h </w:instrText>
            </w:r>
            <w:r w:rsidR="002D52EF">
              <w:rPr>
                <w:noProof/>
                <w:webHidden/>
              </w:rPr>
            </w:r>
            <w:r w:rsidR="002D52EF">
              <w:rPr>
                <w:noProof/>
                <w:webHidden/>
              </w:rPr>
              <w:fldChar w:fldCharType="separate"/>
            </w:r>
            <w:r w:rsidR="002D52EF">
              <w:rPr>
                <w:noProof/>
                <w:webHidden/>
              </w:rPr>
              <w:t>13</w:t>
            </w:r>
            <w:r w:rsidR="002D52EF">
              <w:rPr>
                <w:noProof/>
                <w:webHidden/>
              </w:rPr>
              <w:fldChar w:fldCharType="end"/>
            </w:r>
          </w:hyperlink>
        </w:p>
        <w:p w14:paraId="5EA83DD8" w14:textId="4C7890E0" w:rsidR="002D52EF" w:rsidRDefault="00040C2B">
          <w:pPr>
            <w:pStyle w:val="TOC3"/>
            <w:tabs>
              <w:tab w:val="right" w:leader="dot" w:pos="9350"/>
            </w:tabs>
            <w:rPr>
              <w:noProof/>
              <w:sz w:val="22"/>
              <w:szCs w:val="22"/>
            </w:rPr>
          </w:pPr>
          <w:hyperlink w:anchor="_Toc57035114" w:history="1">
            <w:r w:rsidR="002D52EF" w:rsidRPr="008C6024">
              <w:rPr>
                <w:rStyle w:val="Hyperlink"/>
                <w:rFonts w:ascii="Arial" w:hAnsi="Arial" w:cs="Arial"/>
                <w:i/>
                <w:iCs/>
                <w:noProof/>
              </w:rPr>
              <w:t>Optimization of Constant Coverage Funding</w:t>
            </w:r>
            <w:r w:rsidR="002D52EF">
              <w:rPr>
                <w:noProof/>
                <w:webHidden/>
              </w:rPr>
              <w:tab/>
            </w:r>
            <w:r w:rsidR="002D52EF">
              <w:rPr>
                <w:noProof/>
                <w:webHidden/>
              </w:rPr>
              <w:fldChar w:fldCharType="begin"/>
            </w:r>
            <w:r w:rsidR="002D52EF">
              <w:rPr>
                <w:noProof/>
                <w:webHidden/>
              </w:rPr>
              <w:instrText xml:space="preserve"> PAGEREF _Toc57035114 \h </w:instrText>
            </w:r>
            <w:r w:rsidR="002D52EF">
              <w:rPr>
                <w:noProof/>
                <w:webHidden/>
              </w:rPr>
            </w:r>
            <w:r w:rsidR="002D52EF">
              <w:rPr>
                <w:noProof/>
                <w:webHidden/>
              </w:rPr>
              <w:fldChar w:fldCharType="separate"/>
            </w:r>
            <w:r w:rsidR="002D52EF">
              <w:rPr>
                <w:noProof/>
                <w:webHidden/>
              </w:rPr>
              <w:t>13</w:t>
            </w:r>
            <w:r w:rsidR="002D52EF">
              <w:rPr>
                <w:noProof/>
                <w:webHidden/>
              </w:rPr>
              <w:fldChar w:fldCharType="end"/>
            </w:r>
          </w:hyperlink>
        </w:p>
        <w:p w14:paraId="7759620E" w14:textId="29138CA6" w:rsidR="002D52EF" w:rsidRDefault="00040C2B">
          <w:pPr>
            <w:pStyle w:val="TOC3"/>
            <w:tabs>
              <w:tab w:val="right" w:leader="dot" w:pos="9350"/>
            </w:tabs>
            <w:rPr>
              <w:noProof/>
              <w:sz w:val="22"/>
              <w:szCs w:val="22"/>
            </w:rPr>
          </w:pPr>
          <w:hyperlink w:anchor="_Toc57035115" w:history="1">
            <w:r w:rsidR="002D52EF" w:rsidRPr="008C6024">
              <w:rPr>
                <w:rStyle w:val="Hyperlink"/>
                <w:rFonts w:ascii="Arial" w:hAnsi="Arial" w:cs="Arial"/>
                <w:i/>
                <w:iCs/>
                <w:noProof/>
              </w:rPr>
              <w:t>Optimization - Declining Donor Funds</w:t>
            </w:r>
            <w:r w:rsidR="002D52EF">
              <w:rPr>
                <w:noProof/>
                <w:webHidden/>
              </w:rPr>
              <w:tab/>
            </w:r>
            <w:r w:rsidR="002D52EF">
              <w:rPr>
                <w:noProof/>
                <w:webHidden/>
              </w:rPr>
              <w:fldChar w:fldCharType="begin"/>
            </w:r>
            <w:r w:rsidR="002D52EF">
              <w:rPr>
                <w:noProof/>
                <w:webHidden/>
              </w:rPr>
              <w:instrText xml:space="preserve"> PAGEREF _Toc57035115 \h </w:instrText>
            </w:r>
            <w:r w:rsidR="002D52EF">
              <w:rPr>
                <w:noProof/>
                <w:webHidden/>
              </w:rPr>
            </w:r>
            <w:r w:rsidR="002D52EF">
              <w:rPr>
                <w:noProof/>
                <w:webHidden/>
              </w:rPr>
              <w:fldChar w:fldCharType="separate"/>
            </w:r>
            <w:r w:rsidR="002D52EF">
              <w:rPr>
                <w:noProof/>
                <w:webHidden/>
              </w:rPr>
              <w:t>14</w:t>
            </w:r>
            <w:r w:rsidR="002D52EF">
              <w:rPr>
                <w:noProof/>
                <w:webHidden/>
              </w:rPr>
              <w:fldChar w:fldCharType="end"/>
            </w:r>
          </w:hyperlink>
        </w:p>
        <w:p w14:paraId="3B13A414" w14:textId="64996C9E" w:rsidR="002D52EF" w:rsidRDefault="00040C2B">
          <w:pPr>
            <w:pStyle w:val="TOC3"/>
            <w:tabs>
              <w:tab w:val="right" w:leader="dot" w:pos="9350"/>
            </w:tabs>
            <w:rPr>
              <w:noProof/>
              <w:sz w:val="22"/>
              <w:szCs w:val="22"/>
            </w:rPr>
          </w:pPr>
          <w:hyperlink w:anchor="_Toc57035116" w:history="1">
            <w:r w:rsidR="002D52EF" w:rsidRPr="008C6024">
              <w:rPr>
                <w:rStyle w:val="Hyperlink"/>
                <w:rFonts w:ascii="Arial" w:hAnsi="Arial" w:cs="Arial"/>
                <w:i/>
                <w:iCs/>
                <w:noProof/>
              </w:rPr>
              <w:t>Optimization with Domestic Resource Mobilization</w:t>
            </w:r>
            <w:r w:rsidR="002D52EF">
              <w:rPr>
                <w:noProof/>
                <w:webHidden/>
              </w:rPr>
              <w:tab/>
            </w:r>
            <w:r w:rsidR="002D52EF">
              <w:rPr>
                <w:noProof/>
                <w:webHidden/>
              </w:rPr>
              <w:fldChar w:fldCharType="begin"/>
            </w:r>
            <w:r w:rsidR="002D52EF">
              <w:rPr>
                <w:noProof/>
                <w:webHidden/>
              </w:rPr>
              <w:instrText xml:space="preserve"> PAGEREF _Toc57035116 \h </w:instrText>
            </w:r>
            <w:r w:rsidR="002D52EF">
              <w:rPr>
                <w:noProof/>
                <w:webHidden/>
              </w:rPr>
            </w:r>
            <w:r w:rsidR="002D52EF">
              <w:rPr>
                <w:noProof/>
                <w:webHidden/>
              </w:rPr>
              <w:fldChar w:fldCharType="separate"/>
            </w:r>
            <w:r w:rsidR="002D52EF">
              <w:rPr>
                <w:noProof/>
                <w:webHidden/>
              </w:rPr>
              <w:t>14</w:t>
            </w:r>
            <w:r w:rsidR="002D52EF">
              <w:rPr>
                <w:noProof/>
                <w:webHidden/>
              </w:rPr>
              <w:fldChar w:fldCharType="end"/>
            </w:r>
          </w:hyperlink>
        </w:p>
        <w:p w14:paraId="7B8A69CE" w14:textId="44379921" w:rsidR="002D52EF" w:rsidRDefault="00040C2B">
          <w:pPr>
            <w:pStyle w:val="TOC3"/>
            <w:tabs>
              <w:tab w:val="right" w:leader="dot" w:pos="9350"/>
            </w:tabs>
            <w:rPr>
              <w:noProof/>
              <w:sz w:val="22"/>
              <w:szCs w:val="22"/>
            </w:rPr>
          </w:pPr>
          <w:hyperlink w:anchor="_Toc57035117" w:history="1">
            <w:r w:rsidR="002D52EF" w:rsidRPr="008C6024">
              <w:rPr>
                <w:rStyle w:val="Hyperlink"/>
                <w:rFonts w:ascii="Arial" w:eastAsia="Times New Roman" w:hAnsi="Arial" w:cs="Arial"/>
                <w:i/>
                <w:iCs/>
                <w:noProof/>
              </w:rPr>
              <w:t>Scaling up a comprehensive prevention package for AGYW</w:t>
            </w:r>
            <w:r w:rsidR="002D52EF">
              <w:rPr>
                <w:noProof/>
                <w:webHidden/>
              </w:rPr>
              <w:tab/>
            </w:r>
            <w:r w:rsidR="002D52EF">
              <w:rPr>
                <w:noProof/>
                <w:webHidden/>
              </w:rPr>
              <w:fldChar w:fldCharType="begin"/>
            </w:r>
            <w:r w:rsidR="002D52EF">
              <w:rPr>
                <w:noProof/>
                <w:webHidden/>
              </w:rPr>
              <w:instrText xml:space="preserve"> PAGEREF _Toc57035117 \h </w:instrText>
            </w:r>
            <w:r w:rsidR="002D52EF">
              <w:rPr>
                <w:noProof/>
                <w:webHidden/>
              </w:rPr>
            </w:r>
            <w:r w:rsidR="002D52EF">
              <w:rPr>
                <w:noProof/>
                <w:webHidden/>
              </w:rPr>
              <w:fldChar w:fldCharType="separate"/>
            </w:r>
            <w:r w:rsidR="002D52EF">
              <w:rPr>
                <w:noProof/>
                <w:webHidden/>
              </w:rPr>
              <w:t>16</w:t>
            </w:r>
            <w:r w:rsidR="002D52EF">
              <w:rPr>
                <w:noProof/>
                <w:webHidden/>
              </w:rPr>
              <w:fldChar w:fldCharType="end"/>
            </w:r>
          </w:hyperlink>
        </w:p>
        <w:p w14:paraId="0809FC2D" w14:textId="71099695" w:rsidR="002D52EF" w:rsidRDefault="00040C2B">
          <w:pPr>
            <w:pStyle w:val="TOC2"/>
            <w:tabs>
              <w:tab w:val="right" w:leader="dot" w:pos="9350"/>
            </w:tabs>
            <w:rPr>
              <w:noProof/>
              <w:sz w:val="22"/>
              <w:szCs w:val="22"/>
            </w:rPr>
          </w:pPr>
          <w:hyperlink w:anchor="_Toc57035118" w:history="1">
            <w:r w:rsidR="002D52EF" w:rsidRPr="008C6024">
              <w:rPr>
                <w:rStyle w:val="Hyperlink"/>
                <w:rFonts w:ascii="Arial" w:hAnsi="Arial" w:cs="Arial"/>
                <w:b/>
                <w:bCs/>
                <w:noProof/>
              </w:rPr>
              <w:t>Conclusions and recommendations</w:t>
            </w:r>
            <w:r w:rsidR="002D52EF">
              <w:rPr>
                <w:noProof/>
                <w:webHidden/>
              </w:rPr>
              <w:tab/>
            </w:r>
            <w:r w:rsidR="002D52EF">
              <w:rPr>
                <w:noProof/>
                <w:webHidden/>
              </w:rPr>
              <w:fldChar w:fldCharType="begin"/>
            </w:r>
            <w:r w:rsidR="002D52EF">
              <w:rPr>
                <w:noProof/>
                <w:webHidden/>
              </w:rPr>
              <w:instrText xml:space="preserve"> PAGEREF _Toc57035118 \h </w:instrText>
            </w:r>
            <w:r w:rsidR="002D52EF">
              <w:rPr>
                <w:noProof/>
                <w:webHidden/>
              </w:rPr>
            </w:r>
            <w:r w:rsidR="002D52EF">
              <w:rPr>
                <w:noProof/>
                <w:webHidden/>
              </w:rPr>
              <w:fldChar w:fldCharType="separate"/>
            </w:r>
            <w:r w:rsidR="002D52EF">
              <w:rPr>
                <w:noProof/>
                <w:webHidden/>
              </w:rPr>
              <w:t>16</w:t>
            </w:r>
            <w:r w:rsidR="002D52EF">
              <w:rPr>
                <w:noProof/>
                <w:webHidden/>
              </w:rPr>
              <w:fldChar w:fldCharType="end"/>
            </w:r>
          </w:hyperlink>
        </w:p>
        <w:p w14:paraId="021BF30A" w14:textId="6E17A683" w:rsidR="002D52EF" w:rsidRDefault="00040C2B">
          <w:pPr>
            <w:pStyle w:val="TOC1"/>
            <w:tabs>
              <w:tab w:val="right" w:leader="dot" w:pos="9350"/>
            </w:tabs>
            <w:rPr>
              <w:noProof/>
              <w:sz w:val="22"/>
              <w:szCs w:val="22"/>
            </w:rPr>
          </w:pPr>
          <w:hyperlink w:anchor="_Toc57035119" w:history="1">
            <w:r w:rsidR="002D52EF" w:rsidRPr="008C6024">
              <w:rPr>
                <w:rStyle w:val="Hyperlink"/>
                <w:rFonts w:ascii="Arial" w:hAnsi="Arial" w:cs="Arial"/>
                <w:b/>
                <w:noProof/>
              </w:rPr>
              <w:t>CHAPTER 1. SETTING THE STAGE</w:t>
            </w:r>
            <w:r w:rsidR="002D52EF">
              <w:rPr>
                <w:noProof/>
                <w:webHidden/>
              </w:rPr>
              <w:tab/>
            </w:r>
            <w:r w:rsidR="002D52EF">
              <w:rPr>
                <w:noProof/>
                <w:webHidden/>
              </w:rPr>
              <w:fldChar w:fldCharType="begin"/>
            </w:r>
            <w:r w:rsidR="002D52EF">
              <w:rPr>
                <w:noProof/>
                <w:webHidden/>
              </w:rPr>
              <w:instrText xml:space="preserve"> PAGEREF _Toc57035119 \h </w:instrText>
            </w:r>
            <w:r w:rsidR="002D52EF">
              <w:rPr>
                <w:noProof/>
                <w:webHidden/>
              </w:rPr>
            </w:r>
            <w:r w:rsidR="002D52EF">
              <w:rPr>
                <w:noProof/>
                <w:webHidden/>
              </w:rPr>
              <w:fldChar w:fldCharType="separate"/>
            </w:r>
            <w:r w:rsidR="002D52EF">
              <w:rPr>
                <w:noProof/>
                <w:webHidden/>
              </w:rPr>
              <w:t>19</w:t>
            </w:r>
            <w:r w:rsidR="002D52EF">
              <w:rPr>
                <w:noProof/>
                <w:webHidden/>
              </w:rPr>
              <w:fldChar w:fldCharType="end"/>
            </w:r>
          </w:hyperlink>
        </w:p>
        <w:p w14:paraId="05476BF3" w14:textId="5C6A6864" w:rsidR="002D52EF" w:rsidRDefault="00040C2B">
          <w:pPr>
            <w:pStyle w:val="TOC2"/>
            <w:tabs>
              <w:tab w:val="right" w:leader="dot" w:pos="9350"/>
            </w:tabs>
            <w:rPr>
              <w:noProof/>
              <w:sz w:val="22"/>
              <w:szCs w:val="22"/>
            </w:rPr>
          </w:pPr>
          <w:hyperlink w:anchor="_Toc57035120" w:history="1">
            <w:r w:rsidR="002D52EF" w:rsidRPr="008C6024">
              <w:rPr>
                <w:rStyle w:val="Hyperlink"/>
                <w:rFonts w:ascii="Arial" w:hAnsi="Arial" w:cs="Arial"/>
                <w:b/>
                <w:noProof/>
              </w:rPr>
              <w:t>Achievements and Challenge</w:t>
            </w:r>
            <w:r w:rsidR="002D52EF">
              <w:rPr>
                <w:noProof/>
                <w:webHidden/>
              </w:rPr>
              <w:tab/>
            </w:r>
            <w:r w:rsidR="002D52EF">
              <w:rPr>
                <w:noProof/>
                <w:webHidden/>
              </w:rPr>
              <w:fldChar w:fldCharType="begin"/>
            </w:r>
            <w:r w:rsidR="002D52EF">
              <w:rPr>
                <w:noProof/>
                <w:webHidden/>
              </w:rPr>
              <w:instrText xml:space="preserve"> PAGEREF _Toc57035120 \h </w:instrText>
            </w:r>
            <w:r w:rsidR="002D52EF">
              <w:rPr>
                <w:noProof/>
                <w:webHidden/>
              </w:rPr>
            </w:r>
            <w:r w:rsidR="002D52EF">
              <w:rPr>
                <w:noProof/>
                <w:webHidden/>
              </w:rPr>
              <w:fldChar w:fldCharType="separate"/>
            </w:r>
            <w:r w:rsidR="002D52EF">
              <w:rPr>
                <w:noProof/>
                <w:webHidden/>
              </w:rPr>
              <w:t>19</w:t>
            </w:r>
            <w:r w:rsidR="002D52EF">
              <w:rPr>
                <w:noProof/>
                <w:webHidden/>
              </w:rPr>
              <w:fldChar w:fldCharType="end"/>
            </w:r>
          </w:hyperlink>
        </w:p>
        <w:p w14:paraId="20050E4A" w14:textId="6BA37C64" w:rsidR="002D52EF" w:rsidRDefault="00040C2B">
          <w:pPr>
            <w:pStyle w:val="TOC2"/>
            <w:tabs>
              <w:tab w:val="right" w:leader="dot" w:pos="9350"/>
            </w:tabs>
            <w:rPr>
              <w:noProof/>
              <w:sz w:val="22"/>
              <w:szCs w:val="22"/>
            </w:rPr>
          </w:pPr>
          <w:hyperlink w:anchor="_Toc57035121" w:history="1">
            <w:r w:rsidR="002D52EF" w:rsidRPr="008C6024">
              <w:rPr>
                <w:rStyle w:val="Hyperlink"/>
                <w:rFonts w:ascii="Arial" w:hAnsi="Arial" w:cs="Arial"/>
                <w:i/>
                <w:noProof/>
              </w:rPr>
              <w:t>Historical achievements of Tanzania’s HIV response</w:t>
            </w:r>
            <w:r w:rsidR="002D52EF">
              <w:rPr>
                <w:noProof/>
                <w:webHidden/>
              </w:rPr>
              <w:tab/>
            </w:r>
            <w:r w:rsidR="002D52EF">
              <w:rPr>
                <w:noProof/>
                <w:webHidden/>
              </w:rPr>
              <w:fldChar w:fldCharType="begin"/>
            </w:r>
            <w:r w:rsidR="002D52EF">
              <w:rPr>
                <w:noProof/>
                <w:webHidden/>
              </w:rPr>
              <w:instrText xml:space="preserve"> PAGEREF _Toc57035121 \h </w:instrText>
            </w:r>
            <w:r w:rsidR="002D52EF">
              <w:rPr>
                <w:noProof/>
                <w:webHidden/>
              </w:rPr>
            </w:r>
            <w:r w:rsidR="002D52EF">
              <w:rPr>
                <w:noProof/>
                <w:webHidden/>
              </w:rPr>
              <w:fldChar w:fldCharType="separate"/>
            </w:r>
            <w:r w:rsidR="002D52EF">
              <w:rPr>
                <w:noProof/>
                <w:webHidden/>
              </w:rPr>
              <w:t>19</w:t>
            </w:r>
            <w:r w:rsidR="002D52EF">
              <w:rPr>
                <w:noProof/>
                <w:webHidden/>
              </w:rPr>
              <w:fldChar w:fldCharType="end"/>
            </w:r>
          </w:hyperlink>
        </w:p>
        <w:p w14:paraId="7D020283" w14:textId="01346AA0" w:rsidR="002D52EF" w:rsidRDefault="00040C2B">
          <w:pPr>
            <w:pStyle w:val="TOC3"/>
            <w:tabs>
              <w:tab w:val="right" w:leader="dot" w:pos="9350"/>
            </w:tabs>
            <w:rPr>
              <w:noProof/>
              <w:sz w:val="22"/>
              <w:szCs w:val="22"/>
            </w:rPr>
          </w:pPr>
          <w:hyperlink w:anchor="_Toc57035122" w:history="1">
            <w:r w:rsidR="002D52EF" w:rsidRPr="008C6024">
              <w:rPr>
                <w:rStyle w:val="Hyperlink"/>
                <w:rFonts w:ascii="Arial" w:hAnsi="Arial" w:cs="Arial"/>
                <w:i/>
                <w:noProof/>
              </w:rPr>
              <w:t>Goals and key challenges going forward</w:t>
            </w:r>
            <w:r w:rsidR="002D52EF">
              <w:rPr>
                <w:noProof/>
                <w:webHidden/>
              </w:rPr>
              <w:tab/>
            </w:r>
            <w:r w:rsidR="002D52EF">
              <w:rPr>
                <w:noProof/>
                <w:webHidden/>
              </w:rPr>
              <w:fldChar w:fldCharType="begin"/>
            </w:r>
            <w:r w:rsidR="002D52EF">
              <w:rPr>
                <w:noProof/>
                <w:webHidden/>
              </w:rPr>
              <w:instrText xml:space="preserve"> PAGEREF _Toc57035122 \h </w:instrText>
            </w:r>
            <w:r w:rsidR="002D52EF">
              <w:rPr>
                <w:noProof/>
                <w:webHidden/>
              </w:rPr>
            </w:r>
            <w:r w:rsidR="002D52EF">
              <w:rPr>
                <w:noProof/>
                <w:webHidden/>
              </w:rPr>
              <w:fldChar w:fldCharType="separate"/>
            </w:r>
            <w:r w:rsidR="002D52EF">
              <w:rPr>
                <w:noProof/>
                <w:webHidden/>
              </w:rPr>
              <w:t>19</w:t>
            </w:r>
            <w:r w:rsidR="002D52EF">
              <w:rPr>
                <w:noProof/>
                <w:webHidden/>
              </w:rPr>
              <w:fldChar w:fldCharType="end"/>
            </w:r>
          </w:hyperlink>
        </w:p>
        <w:p w14:paraId="51276425" w14:textId="42CAC071" w:rsidR="002D52EF" w:rsidRDefault="00040C2B">
          <w:pPr>
            <w:pStyle w:val="TOC2"/>
            <w:tabs>
              <w:tab w:val="right" w:leader="dot" w:pos="9350"/>
            </w:tabs>
            <w:rPr>
              <w:noProof/>
              <w:sz w:val="22"/>
              <w:szCs w:val="22"/>
            </w:rPr>
          </w:pPr>
          <w:hyperlink w:anchor="_Toc57035123" w:history="1">
            <w:r w:rsidR="002D52EF" w:rsidRPr="008C6024">
              <w:rPr>
                <w:rStyle w:val="Hyperlink"/>
                <w:rFonts w:ascii="Arial" w:hAnsi="Arial" w:cs="Arial"/>
                <w:b/>
                <w:noProof/>
              </w:rPr>
              <w:t>An updated HIV investment case for Tanzania</w:t>
            </w:r>
            <w:r w:rsidR="002D52EF">
              <w:rPr>
                <w:noProof/>
                <w:webHidden/>
              </w:rPr>
              <w:tab/>
            </w:r>
            <w:r w:rsidR="002D52EF">
              <w:rPr>
                <w:noProof/>
                <w:webHidden/>
              </w:rPr>
              <w:fldChar w:fldCharType="begin"/>
            </w:r>
            <w:r w:rsidR="002D52EF">
              <w:rPr>
                <w:noProof/>
                <w:webHidden/>
              </w:rPr>
              <w:instrText xml:space="preserve"> PAGEREF _Toc57035123 \h </w:instrText>
            </w:r>
            <w:r w:rsidR="002D52EF">
              <w:rPr>
                <w:noProof/>
                <w:webHidden/>
              </w:rPr>
            </w:r>
            <w:r w:rsidR="002D52EF">
              <w:rPr>
                <w:noProof/>
                <w:webHidden/>
              </w:rPr>
              <w:fldChar w:fldCharType="separate"/>
            </w:r>
            <w:r w:rsidR="002D52EF">
              <w:rPr>
                <w:noProof/>
                <w:webHidden/>
              </w:rPr>
              <w:t>20</w:t>
            </w:r>
            <w:r w:rsidR="002D52EF">
              <w:rPr>
                <w:noProof/>
                <w:webHidden/>
              </w:rPr>
              <w:fldChar w:fldCharType="end"/>
            </w:r>
          </w:hyperlink>
        </w:p>
        <w:p w14:paraId="6F39CE1C" w14:textId="3AEC3C0E" w:rsidR="002D52EF" w:rsidRDefault="00040C2B">
          <w:pPr>
            <w:pStyle w:val="TOC3"/>
            <w:tabs>
              <w:tab w:val="right" w:leader="dot" w:pos="9350"/>
            </w:tabs>
            <w:rPr>
              <w:noProof/>
              <w:sz w:val="22"/>
              <w:szCs w:val="22"/>
            </w:rPr>
          </w:pPr>
          <w:hyperlink w:anchor="_Toc57035124" w:history="1">
            <w:r w:rsidR="002D52EF" w:rsidRPr="008C6024">
              <w:rPr>
                <w:rStyle w:val="Hyperlink"/>
                <w:rFonts w:ascii="Arial" w:hAnsi="Arial" w:cs="Arial"/>
                <w:i/>
                <w:noProof/>
              </w:rPr>
              <w:t>The need for an updated investment case</w:t>
            </w:r>
            <w:r w:rsidR="002D52EF">
              <w:rPr>
                <w:noProof/>
                <w:webHidden/>
              </w:rPr>
              <w:tab/>
            </w:r>
            <w:r w:rsidR="002D52EF">
              <w:rPr>
                <w:noProof/>
                <w:webHidden/>
              </w:rPr>
              <w:fldChar w:fldCharType="begin"/>
            </w:r>
            <w:r w:rsidR="002D52EF">
              <w:rPr>
                <w:noProof/>
                <w:webHidden/>
              </w:rPr>
              <w:instrText xml:space="preserve"> PAGEREF _Toc57035124 \h </w:instrText>
            </w:r>
            <w:r w:rsidR="002D52EF">
              <w:rPr>
                <w:noProof/>
                <w:webHidden/>
              </w:rPr>
            </w:r>
            <w:r w:rsidR="002D52EF">
              <w:rPr>
                <w:noProof/>
                <w:webHidden/>
              </w:rPr>
              <w:fldChar w:fldCharType="separate"/>
            </w:r>
            <w:r w:rsidR="002D52EF">
              <w:rPr>
                <w:noProof/>
                <w:webHidden/>
              </w:rPr>
              <w:t>20</w:t>
            </w:r>
            <w:r w:rsidR="002D52EF">
              <w:rPr>
                <w:noProof/>
                <w:webHidden/>
              </w:rPr>
              <w:fldChar w:fldCharType="end"/>
            </w:r>
          </w:hyperlink>
        </w:p>
        <w:p w14:paraId="17A4ECE1" w14:textId="5E47D3DA" w:rsidR="002D52EF" w:rsidRDefault="00040C2B">
          <w:pPr>
            <w:pStyle w:val="TOC3"/>
            <w:tabs>
              <w:tab w:val="right" w:leader="dot" w:pos="9350"/>
            </w:tabs>
            <w:rPr>
              <w:noProof/>
              <w:sz w:val="22"/>
              <w:szCs w:val="22"/>
            </w:rPr>
          </w:pPr>
          <w:hyperlink w:anchor="_Toc57035125" w:history="1">
            <w:r w:rsidR="002D52EF" w:rsidRPr="008C6024">
              <w:rPr>
                <w:rStyle w:val="Hyperlink"/>
                <w:rFonts w:ascii="Arial" w:hAnsi="Arial" w:cs="Arial"/>
                <w:i/>
                <w:noProof/>
              </w:rPr>
              <w:t>What is an investment case?</w:t>
            </w:r>
            <w:r w:rsidR="002D52EF">
              <w:rPr>
                <w:noProof/>
                <w:webHidden/>
              </w:rPr>
              <w:tab/>
            </w:r>
            <w:r w:rsidR="002D52EF">
              <w:rPr>
                <w:noProof/>
                <w:webHidden/>
              </w:rPr>
              <w:fldChar w:fldCharType="begin"/>
            </w:r>
            <w:r w:rsidR="002D52EF">
              <w:rPr>
                <w:noProof/>
                <w:webHidden/>
              </w:rPr>
              <w:instrText xml:space="preserve"> PAGEREF _Toc57035125 \h </w:instrText>
            </w:r>
            <w:r w:rsidR="002D52EF">
              <w:rPr>
                <w:noProof/>
                <w:webHidden/>
              </w:rPr>
            </w:r>
            <w:r w:rsidR="002D52EF">
              <w:rPr>
                <w:noProof/>
                <w:webHidden/>
              </w:rPr>
              <w:fldChar w:fldCharType="separate"/>
            </w:r>
            <w:r w:rsidR="002D52EF">
              <w:rPr>
                <w:noProof/>
                <w:webHidden/>
              </w:rPr>
              <w:t>20</w:t>
            </w:r>
            <w:r w:rsidR="002D52EF">
              <w:rPr>
                <w:noProof/>
                <w:webHidden/>
              </w:rPr>
              <w:fldChar w:fldCharType="end"/>
            </w:r>
          </w:hyperlink>
        </w:p>
        <w:p w14:paraId="2D202C03" w14:textId="6FD44300" w:rsidR="002D52EF" w:rsidRDefault="00040C2B">
          <w:pPr>
            <w:pStyle w:val="TOC3"/>
            <w:tabs>
              <w:tab w:val="right" w:leader="dot" w:pos="9350"/>
            </w:tabs>
            <w:rPr>
              <w:noProof/>
              <w:sz w:val="22"/>
              <w:szCs w:val="22"/>
            </w:rPr>
          </w:pPr>
          <w:hyperlink w:anchor="_Toc57035126" w:history="1">
            <w:r w:rsidR="002D52EF" w:rsidRPr="008C6024">
              <w:rPr>
                <w:rStyle w:val="Hyperlink"/>
                <w:rFonts w:ascii="Arial" w:hAnsi="Arial" w:cs="Arial"/>
                <w:i/>
                <w:noProof/>
              </w:rPr>
              <w:t>HIV Investment case 1.0</w:t>
            </w:r>
            <w:r w:rsidR="002D52EF">
              <w:rPr>
                <w:noProof/>
                <w:webHidden/>
              </w:rPr>
              <w:tab/>
            </w:r>
            <w:r w:rsidR="002D52EF">
              <w:rPr>
                <w:noProof/>
                <w:webHidden/>
              </w:rPr>
              <w:fldChar w:fldCharType="begin"/>
            </w:r>
            <w:r w:rsidR="002D52EF">
              <w:rPr>
                <w:noProof/>
                <w:webHidden/>
              </w:rPr>
              <w:instrText xml:space="preserve"> PAGEREF _Toc57035126 \h </w:instrText>
            </w:r>
            <w:r w:rsidR="002D52EF">
              <w:rPr>
                <w:noProof/>
                <w:webHidden/>
              </w:rPr>
            </w:r>
            <w:r w:rsidR="002D52EF">
              <w:rPr>
                <w:noProof/>
                <w:webHidden/>
              </w:rPr>
              <w:fldChar w:fldCharType="separate"/>
            </w:r>
            <w:r w:rsidR="002D52EF">
              <w:rPr>
                <w:noProof/>
                <w:webHidden/>
              </w:rPr>
              <w:t>20</w:t>
            </w:r>
            <w:r w:rsidR="002D52EF">
              <w:rPr>
                <w:noProof/>
                <w:webHidden/>
              </w:rPr>
              <w:fldChar w:fldCharType="end"/>
            </w:r>
          </w:hyperlink>
        </w:p>
        <w:p w14:paraId="46453260" w14:textId="29D1260C" w:rsidR="002D52EF" w:rsidRDefault="00040C2B">
          <w:pPr>
            <w:pStyle w:val="TOC3"/>
            <w:tabs>
              <w:tab w:val="right" w:leader="dot" w:pos="9350"/>
            </w:tabs>
            <w:rPr>
              <w:noProof/>
              <w:sz w:val="22"/>
              <w:szCs w:val="22"/>
            </w:rPr>
          </w:pPr>
          <w:hyperlink w:anchor="_Toc57035127" w:history="1">
            <w:r w:rsidR="002D52EF" w:rsidRPr="008C6024">
              <w:rPr>
                <w:rStyle w:val="Hyperlink"/>
                <w:rFonts w:ascii="Arial" w:hAnsi="Arial" w:cs="Arial"/>
                <w:i/>
                <w:noProof/>
              </w:rPr>
              <w:t>Since 2015: changing context</w:t>
            </w:r>
            <w:r w:rsidR="002D52EF">
              <w:rPr>
                <w:noProof/>
                <w:webHidden/>
              </w:rPr>
              <w:tab/>
            </w:r>
            <w:r w:rsidR="002D52EF">
              <w:rPr>
                <w:noProof/>
                <w:webHidden/>
              </w:rPr>
              <w:fldChar w:fldCharType="begin"/>
            </w:r>
            <w:r w:rsidR="002D52EF">
              <w:rPr>
                <w:noProof/>
                <w:webHidden/>
              </w:rPr>
              <w:instrText xml:space="preserve"> PAGEREF _Toc57035127 \h </w:instrText>
            </w:r>
            <w:r w:rsidR="002D52EF">
              <w:rPr>
                <w:noProof/>
                <w:webHidden/>
              </w:rPr>
            </w:r>
            <w:r w:rsidR="002D52EF">
              <w:rPr>
                <w:noProof/>
                <w:webHidden/>
              </w:rPr>
              <w:fldChar w:fldCharType="separate"/>
            </w:r>
            <w:r w:rsidR="002D52EF">
              <w:rPr>
                <w:noProof/>
                <w:webHidden/>
              </w:rPr>
              <w:t>21</w:t>
            </w:r>
            <w:r w:rsidR="002D52EF">
              <w:rPr>
                <w:noProof/>
                <w:webHidden/>
              </w:rPr>
              <w:fldChar w:fldCharType="end"/>
            </w:r>
          </w:hyperlink>
        </w:p>
        <w:p w14:paraId="67AA6B0F" w14:textId="796DAB9D" w:rsidR="002D52EF" w:rsidRDefault="00040C2B">
          <w:pPr>
            <w:pStyle w:val="TOC3"/>
            <w:tabs>
              <w:tab w:val="right" w:leader="dot" w:pos="9350"/>
            </w:tabs>
            <w:rPr>
              <w:noProof/>
              <w:sz w:val="22"/>
              <w:szCs w:val="22"/>
            </w:rPr>
          </w:pPr>
          <w:hyperlink w:anchor="_Toc57035128" w:history="1">
            <w:r w:rsidR="002D52EF" w:rsidRPr="008C6024">
              <w:rPr>
                <w:rStyle w:val="Hyperlink"/>
                <w:rFonts w:ascii="Arial" w:hAnsi="Arial" w:cs="Arial"/>
                <w:i/>
                <w:noProof/>
              </w:rPr>
              <w:t>Objectives of Investment Case 2.0</w:t>
            </w:r>
            <w:r w:rsidR="002D52EF">
              <w:rPr>
                <w:noProof/>
                <w:webHidden/>
              </w:rPr>
              <w:tab/>
            </w:r>
            <w:r w:rsidR="002D52EF">
              <w:rPr>
                <w:noProof/>
                <w:webHidden/>
              </w:rPr>
              <w:fldChar w:fldCharType="begin"/>
            </w:r>
            <w:r w:rsidR="002D52EF">
              <w:rPr>
                <w:noProof/>
                <w:webHidden/>
              </w:rPr>
              <w:instrText xml:space="preserve"> PAGEREF _Toc57035128 \h </w:instrText>
            </w:r>
            <w:r w:rsidR="002D52EF">
              <w:rPr>
                <w:noProof/>
                <w:webHidden/>
              </w:rPr>
            </w:r>
            <w:r w:rsidR="002D52EF">
              <w:rPr>
                <w:noProof/>
                <w:webHidden/>
              </w:rPr>
              <w:fldChar w:fldCharType="separate"/>
            </w:r>
            <w:r w:rsidR="002D52EF">
              <w:rPr>
                <w:noProof/>
                <w:webHidden/>
              </w:rPr>
              <w:t>22</w:t>
            </w:r>
            <w:r w:rsidR="002D52EF">
              <w:rPr>
                <w:noProof/>
                <w:webHidden/>
              </w:rPr>
              <w:fldChar w:fldCharType="end"/>
            </w:r>
          </w:hyperlink>
        </w:p>
        <w:p w14:paraId="0FDA04A8" w14:textId="4C32B2D8" w:rsidR="002D52EF" w:rsidRDefault="00040C2B">
          <w:pPr>
            <w:pStyle w:val="TOC3"/>
            <w:tabs>
              <w:tab w:val="right" w:leader="dot" w:pos="9350"/>
            </w:tabs>
            <w:rPr>
              <w:noProof/>
              <w:sz w:val="22"/>
              <w:szCs w:val="22"/>
            </w:rPr>
          </w:pPr>
          <w:hyperlink w:anchor="_Toc57035129" w:history="1">
            <w:r w:rsidR="002D52EF" w:rsidRPr="008C6024">
              <w:rPr>
                <w:rStyle w:val="Hyperlink"/>
                <w:rFonts w:ascii="Arial" w:hAnsi="Arial" w:cs="Arial"/>
                <w:i/>
                <w:noProof/>
              </w:rPr>
              <w:t>Key Questions of Tanzania’s Investment Case 2.0</w:t>
            </w:r>
            <w:r w:rsidR="002D52EF">
              <w:rPr>
                <w:noProof/>
                <w:webHidden/>
              </w:rPr>
              <w:tab/>
            </w:r>
            <w:r w:rsidR="002D52EF">
              <w:rPr>
                <w:noProof/>
                <w:webHidden/>
              </w:rPr>
              <w:fldChar w:fldCharType="begin"/>
            </w:r>
            <w:r w:rsidR="002D52EF">
              <w:rPr>
                <w:noProof/>
                <w:webHidden/>
              </w:rPr>
              <w:instrText xml:space="preserve"> PAGEREF _Toc57035129 \h </w:instrText>
            </w:r>
            <w:r w:rsidR="002D52EF">
              <w:rPr>
                <w:noProof/>
                <w:webHidden/>
              </w:rPr>
            </w:r>
            <w:r w:rsidR="002D52EF">
              <w:rPr>
                <w:noProof/>
                <w:webHidden/>
              </w:rPr>
              <w:fldChar w:fldCharType="separate"/>
            </w:r>
            <w:r w:rsidR="002D52EF">
              <w:rPr>
                <w:noProof/>
                <w:webHidden/>
              </w:rPr>
              <w:t>23</w:t>
            </w:r>
            <w:r w:rsidR="002D52EF">
              <w:rPr>
                <w:noProof/>
                <w:webHidden/>
              </w:rPr>
              <w:fldChar w:fldCharType="end"/>
            </w:r>
          </w:hyperlink>
        </w:p>
        <w:p w14:paraId="39F14B37" w14:textId="1A589A20" w:rsidR="002D52EF" w:rsidRDefault="00040C2B">
          <w:pPr>
            <w:pStyle w:val="TOC3"/>
            <w:tabs>
              <w:tab w:val="right" w:leader="dot" w:pos="9350"/>
            </w:tabs>
            <w:rPr>
              <w:noProof/>
              <w:sz w:val="22"/>
              <w:szCs w:val="22"/>
            </w:rPr>
          </w:pPr>
          <w:hyperlink w:anchor="_Toc57035130" w:history="1">
            <w:r w:rsidR="002D52EF" w:rsidRPr="008C6024">
              <w:rPr>
                <w:rStyle w:val="Hyperlink"/>
                <w:rFonts w:ascii="Arial" w:hAnsi="Arial" w:cs="Arial"/>
                <w:i/>
                <w:noProof/>
              </w:rPr>
              <w:t>Relationship with other national documents</w:t>
            </w:r>
            <w:r w:rsidR="002D52EF">
              <w:rPr>
                <w:noProof/>
                <w:webHidden/>
              </w:rPr>
              <w:tab/>
            </w:r>
            <w:r w:rsidR="002D52EF">
              <w:rPr>
                <w:noProof/>
                <w:webHidden/>
              </w:rPr>
              <w:fldChar w:fldCharType="begin"/>
            </w:r>
            <w:r w:rsidR="002D52EF">
              <w:rPr>
                <w:noProof/>
                <w:webHidden/>
              </w:rPr>
              <w:instrText xml:space="preserve"> PAGEREF _Toc57035130 \h </w:instrText>
            </w:r>
            <w:r w:rsidR="002D52EF">
              <w:rPr>
                <w:noProof/>
                <w:webHidden/>
              </w:rPr>
            </w:r>
            <w:r w:rsidR="002D52EF">
              <w:rPr>
                <w:noProof/>
                <w:webHidden/>
              </w:rPr>
              <w:fldChar w:fldCharType="separate"/>
            </w:r>
            <w:r w:rsidR="002D52EF">
              <w:rPr>
                <w:noProof/>
                <w:webHidden/>
              </w:rPr>
              <w:t>23</w:t>
            </w:r>
            <w:r w:rsidR="002D52EF">
              <w:rPr>
                <w:noProof/>
                <w:webHidden/>
              </w:rPr>
              <w:fldChar w:fldCharType="end"/>
            </w:r>
          </w:hyperlink>
        </w:p>
        <w:p w14:paraId="78DF60EF" w14:textId="5BF33BD3" w:rsidR="002D52EF" w:rsidRDefault="00040C2B">
          <w:pPr>
            <w:pStyle w:val="TOC3"/>
            <w:tabs>
              <w:tab w:val="right" w:leader="dot" w:pos="9350"/>
            </w:tabs>
            <w:rPr>
              <w:noProof/>
              <w:sz w:val="22"/>
              <w:szCs w:val="22"/>
            </w:rPr>
          </w:pPr>
          <w:hyperlink w:anchor="_Toc57035131" w:history="1">
            <w:r w:rsidR="002D52EF" w:rsidRPr="008C6024">
              <w:rPr>
                <w:rStyle w:val="Hyperlink"/>
                <w:rFonts w:ascii="Arial" w:hAnsi="Arial" w:cs="Arial"/>
                <w:i/>
                <w:noProof/>
              </w:rPr>
              <w:t>Investment Case 2.0 development proces</w:t>
            </w:r>
            <w:bookmarkStart w:id="2" w:name="_GoBack"/>
            <w:bookmarkEnd w:id="2"/>
            <w:r w:rsidR="002D52EF" w:rsidRPr="008C6024">
              <w:rPr>
                <w:rStyle w:val="Hyperlink"/>
                <w:rFonts w:ascii="Arial" w:hAnsi="Arial" w:cs="Arial"/>
                <w:i/>
                <w:noProof/>
              </w:rPr>
              <w:t>s</w:t>
            </w:r>
            <w:r w:rsidR="002D52EF">
              <w:rPr>
                <w:noProof/>
                <w:webHidden/>
              </w:rPr>
              <w:tab/>
            </w:r>
            <w:r w:rsidR="002D52EF">
              <w:rPr>
                <w:noProof/>
                <w:webHidden/>
              </w:rPr>
              <w:fldChar w:fldCharType="begin"/>
            </w:r>
            <w:r w:rsidR="002D52EF">
              <w:rPr>
                <w:noProof/>
                <w:webHidden/>
              </w:rPr>
              <w:instrText xml:space="preserve"> PAGEREF _Toc57035131 \h </w:instrText>
            </w:r>
            <w:r w:rsidR="002D52EF">
              <w:rPr>
                <w:noProof/>
                <w:webHidden/>
              </w:rPr>
            </w:r>
            <w:r w:rsidR="002D52EF">
              <w:rPr>
                <w:noProof/>
                <w:webHidden/>
              </w:rPr>
              <w:fldChar w:fldCharType="separate"/>
            </w:r>
            <w:r w:rsidR="002D52EF">
              <w:rPr>
                <w:noProof/>
                <w:webHidden/>
              </w:rPr>
              <w:t>24</w:t>
            </w:r>
            <w:r w:rsidR="002D52EF">
              <w:rPr>
                <w:noProof/>
                <w:webHidden/>
              </w:rPr>
              <w:fldChar w:fldCharType="end"/>
            </w:r>
          </w:hyperlink>
        </w:p>
        <w:p w14:paraId="2C969681" w14:textId="371FDDEA" w:rsidR="002D52EF" w:rsidRDefault="00040C2B">
          <w:pPr>
            <w:pStyle w:val="TOC3"/>
            <w:tabs>
              <w:tab w:val="right" w:leader="dot" w:pos="9350"/>
            </w:tabs>
            <w:rPr>
              <w:noProof/>
              <w:sz w:val="22"/>
              <w:szCs w:val="22"/>
            </w:rPr>
          </w:pPr>
          <w:hyperlink w:anchor="_Toc57035132" w:history="1">
            <w:r w:rsidR="002D52EF" w:rsidRPr="008C6024">
              <w:rPr>
                <w:rStyle w:val="Hyperlink"/>
                <w:rFonts w:ascii="Arial" w:hAnsi="Arial" w:cs="Arial"/>
                <w:i/>
                <w:noProof/>
              </w:rPr>
              <w:t>Designed uses of Investment Case 2.0</w:t>
            </w:r>
            <w:r w:rsidR="002D52EF">
              <w:rPr>
                <w:noProof/>
                <w:webHidden/>
              </w:rPr>
              <w:tab/>
            </w:r>
            <w:r w:rsidR="002D52EF">
              <w:rPr>
                <w:noProof/>
                <w:webHidden/>
              </w:rPr>
              <w:fldChar w:fldCharType="begin"/>
            </w:r>
            <w:r w:rsidR="002D52EF">
              <w:rPr>
                <w:noProof/>
                <w:webHidden/>
              </w:rPr>
              <w:instrText xml:space="preserve"> PAGEREF _Toc57035132 \h </w:instrText>
            </w:r>
            <w:r w:rsidR="002D52EF">
              <w:rPr>
                <w:noProof/>
                <w:webHidden/>
              </w:rPr>
            </w:r>
            <w:r w:rsidR="002D52EF">
              <w:rPr>
                <w:noProof/>
                <w:webHidden/>
              </w:rPr>
              <w:fldChar w:fldCharType="separate"/>
            </w:r>
            <w:r w:rsidR="002D52EF">
              <w:rPr>
                <w:noProof/>
                <w:webHidden/>
              </w:rPr>
              <w:t>25</w:t>
            </w:r>
            <w:r w:rsidR="002D52EF">
              <w:rPr>
                <w:noProof/>
                <w:webHidden/>
              </w:rPr>
              <w:fldChar w:fldCharType="end"/>
            </w:r>
          </w:hyperlink>
        </w:p>
        <w:p w14:paraId="28189913" w14:textId="65499FC2" w:rsidR="002D52EF" w:rsidRDefault="00040C2B">
          <w:pPr>
            <w:pStyle w:val="TOC1"/>
            <w:tabs>
              <w:tab w:val="right" w:leader="dot" w:pos="9350"/>
            </w:tabs>
            <w:rPr>
              <w:noProof/>
              <w:sz w:val="22"/>
              <w:szCs w:val="22"/>
            </w:rPr>
          </w:pPr>
          <w:hyperlink w:anchor="_Toc57035133" w:history="1">
            <w:r w:rsidR="002D52EF" w:rsidRPr="008C6024">
              <w:rPr>
                <w:rStyle w:val="Hyperlink"/>
                <w:rFonts w:ascii="Arial" w:hAnsi="Arial" w:cs="Arial"/>
                <w:b/>
                <w:noProof/>
              </w:rPr>
              <w:t>CHAPTER 2: STATE OF THE HIV EPIDEMIC AND NATIONAL RESPONSE</w:t>
            </w:r>
            <w:r w:rsidR="002D52EF">
              <w:rPr>
                <w:noProof/>
                <w:webHidden/>
              </w:rPr>
              <w:tab/>
            </w:r>
            <w:r w:rsidR="002D52EF">
              <w:rPr>
                <w:noProof/>
                <w:webHidden/>
              </w:rPr>
              <w:fldChar w:fldCharType="begin"/>
            </w:r>
            <w:r w:rsidR="002D52EF">
              <w:rPr>
                <w:noProof/>
                <w:webHidden/>
              </w:rPr>
              <w:instrText xml:space="preserve"> PAGEREF _Toc57035133 \h </w:instrText>
            </w:r>
            <w:r w:rsidR="002D52EF">
              <w:rPr>
                <w:noProof/>
                <w:webHidden/>
              </w:rPr>
            </w:r>
            <w:r w:rsidR="002D52EF">
              <w:rPr>
                <w:noProof/>
                <w:webHidden/>
              </w:rPr>
              <w:fldChar w:fldCharType="separate"/>
            </w:r>
            <w:r w:rsidR="002D52EF">
              <w:rPr>
                <w:noProof/>
                <w:webHidden/>
              </w:rPr>
              <w:t>26</w:t>
            </w:r>
            <w:r w:rsidR="002D52EF">
              <w:rPr>
                <w:noProof/>
                <w:webHidden/>
              </w:rPr>
              <w:fldChar w:fldCharType="end"/>
            </w:r>
          </w:hyperlink>
        </w:p>
        <w:p w14:paraId="52B528F2" w14:textId="12075499" w:rsidR="002D52EF" w:rsidRDefault="00040C2B">
          <w:pPr>
            <w:pStyle w:val="TOC2"/>
            <w:tabs>
              <w:tab w:val="right" w:leader="dot" w:pos="9350"/>
            </w:tabs>
            <w:rPr>
              <w:noProof/>
              <w:sz w:val="22"/>
              <w:szCs w:val="22"/>
            </w:rPr>
          </w:pPr>
          <w:hyperlink w:anchor="_Toc57035134" w:history="1">
            <w:r w:rsidR="002D52EF" w:rsidRPr="008C6024">
              <w:rPr>
                <w:rStyle w:val="Hyperlink"/>
                <w:rFonts w:ascii="Arial" w:hAnsi="Arial" w:cs="Arial"/>
                <w:b/>
                <w:noProof/>
              </w:rPr>
              <w:t>State of the HIV epidemic</w:t>
            </w:r>
            <w:r w:rsidR="002D52EF">
              <w:rPr>
                <w:noProof/>
                <w:webHidden/>
              </w:rPr>
              <w:tab/>
            </w:r>
            <w:r w:rsidR="002D52EF">
              <w:rPr>
                <w:noProof/>
                <w:webHidden/>
              </w:rPr>
              <w:fldChar w:fldCharType="begin"/>
            </w:r>
            <w:r w:rsidR="002D52EF">
              <w:rPr>
                <w:noProof/>
                <w:webHidden/>
              </w:rPr>
              <w:instrText xml:space="preserve"> PAGEREF _Toc57035134 \h </w:instrText>
            </w:r>
            <w:r w:rsidR="002D52EF">
              <w:rPr>
                <w:noProof/>
                <w:webHidden/>
              </w:rPr>
            </w:r>
            <w:r w:rsidR="002D52EF">
              <w:rPr>
                <w:noProof/>
                <w:webHidden/>
              </w:rPr>
              <w:fldChar w:fldCharType="separate"/>
            </w:r>
            <w:r w:rsidR="002D52EF">
              <w:rPr>
                <w:noProof/>
                <w:webHidden/>
              </w:rPr>
              <w:t>26</w:t>
            </w:r>
            <w:r w:rsidR="002D52EF">
              <w:rPr>
                <w:noProof/>
                <w:webHidden/>
              </w:rPr>
              <w:fldChar w:fldCharType="end"/>
            </w:r>
          </w:hyperlink>
        </w:p>
        <w:p w14:paraId="0AF0AADA" w14:textId="200B1F15" w:rsidR="002D52EF" w:rsidRDefault="00040C2B">
          <w:pPr>
            <w:pStyle w:val="TOC3"/>
            <w:tabs>
              <w:tab w:val="right" w:leader="dot" w:pos="9350"/>
            </w:tabs>
            <w:rPr>
              <w:noProof/>
              <w:sz w:val="22"/>
              <w:szCs w:val="22"/>
            </w:rPr>
          </w:pPr>
          <w:hyperlink w:anchor="_Toc57035135" w:history="1">
            <w:r w:rsidR="002D52EF" w:rsidRPr="008C6024">
              <w:rPr>
                <w:rStyle w:val="Hyperlink"/>
                <w:rFonts w:ascii="Arial" w:hAnsi="Arial" w:cs="Arial"/>
                <w:i/>
                <w:noProof/>
              </w:rPr>
              <w:t>Overview of epidemiological profile</w:t>
            </w:r>
            <w:r w:rsidR="002D52EF">
              <w:rPr>
                <w:noProof/>
                <w:webHidden/>
              </w:rPr>
              <w:tab/>
            </w:r>
            <w:r w:rsidR="002D52EF">
              <w:rPr>
                <w:noProof/>
                <w:webHidden/>
              </w:rPr>
              <w:fldChar w:fldCharType="begin"/>
            </w:r>
            <w:r w:rsidR="002D52EF">
              <w:rPr>
                <w:noProof/>
                <w:webHidden/>
              </w:rPr>
              <w:instrText xml:space="preserve"> PAGEREF _Toc57035135 \h </w:instrText>
            </w:r>
            <w:r w:rsidR="002D52EF">
              <w:rPr>
                <w:noProof/>
                <w:webHidden/>
              </w:rPr>
            </w:r>
            <w:r w:rsidR="002D52EF">
              <w:rPr>
                <w:noProof/>
                <w:webHidden/>
              </w:rPr>
              <w:fldChar w:fldCharType="separate"/>
            </w:r>
            <w:r w:rsidR="002D52EF">
              <w:rPr>
                <w:noProof/>
                <w:webHidden/>
              </w:rPr>
              <w:t>26</w:t>
            </w:r>
            <w:r w:rsidR="002D52EF">
              <w:rPr>
                <w:noProof/>
                <w:webHidden/>
              </w:rPr>
              <w:fldChar w:fldCharType="end"/>
            </w:r>
          </w:hyperlink>
        </w:p>
        <w:p w14:paraId="4DD725FE" w14:textId="4D056445" w:rsidR="002D52EF" w:rsidRDefault="00040C2B">
          <w:pPr>
            <w:pStyle w:val="TOC3"/>
            <w:tabs>
              <w:tab w:val="right" w:leader="dot" w:pos="9350"/>
            </w:tabs>
            <w:rPr>
              <w:noProof/>
              <w:sz w:val="22"/>
              <w:szCs w:val="22"/>
            </w:rPr>
          </w:pPr>
          <w:hyperlink w:anchor="_Toc57035136" w:history="1">
            <w:r w:rsidR="002D52EF" w:rsidRPr="008C6024">
              <w:rPr>
                <w:rStyle w:val="Hyperlink"/>
                <w:rFonts w:ascii="Arial" w:hAnsi="Arial" w:cs="Arial"/>
                <w:i/>
                <w:noProof/>
              </w:rPr>
              <w:t>Age trends</w:t>
            </w:r>
            <w:r w:rsidR="002D52EF">
              <w:rPr>
                <w:noProof/>
                <w:webHidden/>
              </w:rPr>
              <w:tab/>
            </w:r>
            <w:r w:rsidR="002D52EF">
              <w:rPr>
                <w:noProof/>
                <w:webHidden/>
              </w:rPr>
              <w:fldChar w:fldCharType="begin"/>
            </w:r>
            <w:r w:rsidR="002D52EF">
              <w:rPr>
                <w:noProof/>
                <w:webHidden/>
              </w:rPr>
              <w:instrText xml:space="preserve"> PAGEREF _Toc57035136 \h </w:instrText>
            </w:r>
            <w:r w:rsidR="002D52EF">
              <w:rPr>
                <w:noProof/>
                <w:webHidden/>
              </w:rPr>
            </w:r>
            <w:r w:rsidR="002D52EF">
              <w:rPr>
                <w:noProof/>
                <w:webHidden/>
              </w:rPr>
              <w:fldChar w:fldCharType="separate"/>
            </w:r>
            <w:r w:rsidR="002D52EF">
              <w:rPr>
                <w:noProof/>
                <w:webHidden/>
              </w:rPr>
              <w:t>27</w:t>
            </w:r>
            <w:r w:rsidR="002D52EF">
              <w:rPr>
                <w:noProof/>
                <w:webHidden/>
              </w:rPr>
              <w:fldChar w:fldCharType="end"/>
            </w:r>
          </w:hyperlink>
        </w:p>
        <w:p w14:paraId="51D94EF9" w14:textId="67DC5D80" w:rsidR="002D52EF" w:rsidRDefault="00040C2B">
          <w:pPr>
            <w:pStyle w:val="TOC3"/>
            <w:tabs>
              <w:tab w:val="right" w:leader="dot" w:pos="9350"/>
            </w:tabs>
            <w:rPr>
              <w:noProof/>
              <w:sz w:val="22"/>
              <w:szCs w:val="22"/>
            </w:rPr>
          </w:pPr>
          <w:hyperlink w:anchor="_Toc57035137" w:history="1">
            <w:r w:rsidR="002D52EF" w:rsidRPr="008C6024">
              <w:rPr>
                <w:rStyle w:val="Hyperlink"/>
                <w:rFonts w:ascii="Arial" w:hAnsi="Arial" w:cs="Arial"/>
                <w:i/>
                <w:noProof/>
              </w:rPr>
              <w:t>Gender disparities</w:t>
            </w:r>
            <w:r w:rsidR="002D52EF">
              <w:rPr>
                <w:noProof/>
                <w:webHidden/>
              </w:rPr>
              <w:tab/>
            </w:r>
            <w:r w:rsidR="002D52EF">
              <w:rPr>
                <w:noProof/>
                <w:webHidden/>
              </w:rPr>
              <w:fldChar w:fldCharType="begin"/>
            </w:r>
            <w:r w:rsidR="002D52EF">
              <w:rPr>
                <w:noProof/>
                <w:webHidden/>
              </w:rPr>
              <w:instrText xml:space="preserve"> PAGEREF _Toc57035137 \h </w:instrText>
            </w:r>
            <w:r w:rsidR="002D52EF">
              <w:rPr>
                <w:noProof/>
                <w:webHidden/>
              </w:rPr>
            </w:r>
            <w:r w:rsidR="002D52EF">
              <w:rPr>
                <w:noProof/>
                <w:webHidden/>
              </w:rPr>
              <w:fldChar w:fldCharType="separate"/>
            </w:r>
            <w:r w:rsidR="002D52EF">
              <w:rPr>
                <w:noProof/>
                <w:webHidden/>
              </w:rPr>
              <w:t>27</w:t>
            </w:r>
            <w:r w:rsidR="002D52EF">
              <w:rPr>
                <w:noProof/>
                <w:webHidden/>
              </w:rPr>
              <w:fldChar w:fldCharType="end"/>
            </w:r>
          </w:hyperlink>
        </w:p>
        <w:p w14:paraId="18B78E29" w14:textId="1363EFED" w:rsidR="002D52EF" w:rsidRDefault="00040C2B">
          <w:pPr>
            <w:pStyle w:val="TOC3"/>
            <w:tabs>
              <w:tab w:val="right" w:leader="dot" w:pos="9350"/>
            </w:tabs>
            <w:rPr>
              <w:noProof/>
              <w:sz w:val="22"/>
              <w:szCs w:val="22"/>
            </w:rPr>
          </w:pPr>
          <w:hyperlink w:anchor="_Toc57035138" w:history="1">
            <w:r w:rsidR="002D52EF" w:rsidRPr="008C6024">
              <w:rPr>
                <w:rStyle w:val="Hyperlink"/>
                <w:rFonts w:ascii="Arial" w:hAnsi="Arial" w:cs="Arial"/>
                <w:i/>
                <w:noProof/>
              </w:rPr>
              <w:t>Regional variation</w:t>
            </w:r>
            <w:r w:rsidR="002D52EF">
              <w:rPr>
                <w:noProof/>
                <w:webHidden/>
              </w:rPr>
              <w:tab/>
            </w:r>
            <w:r w:rsidR="002D52EF">
              <w:rPr>
                <w:noProof/>
                <w:webHidden/>
              </w:rPr>
              <w:fldChar w:fldCharType="begin"/>
            </w:r>
            <w:r w:rsidR="002D52EF">
              <w:rPr>
                <w:noProof/>
                <w:webHidden/>
              </w:rPr>
              <w:instrText xml:space="preserve"> PAGEREF _Toc57035138 \h </w:instrText>
            </w:r>
            <w:r w:rsidR="002D52EF">
              <w:rPr>
                <w:noProof/>
                <w:webHidden/>
              </w:rPr>
            </w:r>
            <w:r w:rsidR="002D52EF">
              <w:rPr>
                <w:noProof/>
                <w:webHidden/>
              </w:rPr>
              <w:fldChar w:fldCharType="separate"/>
            </w:r>
            <w:r w:rsidR="002D52EF">
              <w:rPr>
                <w:noProof/>
                <w:webHidden/>
              </w:rPr>
              <w:t>28</w:t>
            </w:r>
            <w:r w:rsidR="002D52EF">
              <w:rPr>
                <w:noProof/>
                <w:webHidden/>
              </w:rPr>
              <w:fldChar w:fldCharType="end"/>
            </w:r>
          </w:hyperlink>
        </w:p>
        <w:p w14:paraId="54D57D5B" w14:textId="4148A895" w:rsidR="002D52EF" w:rsidRDefault="00040C2B">
          <w:pPr>
            <w:pStyle w:val="TOC3"/>
            <w:tabs>
              <w:tab w:val="right" w:leader="dot" w:pos="9350"/>
            </w:tabs>
            <w:rPr>
              <w:noProof/>
              <w:sz w:val="22"/>
              <w:szCs w:val="22"/>
            </w:rPr>
          </w:pPr>
          <w:hyperlink w:anchor="_Toc57035139" w:history="1">
            <w:r w:rsidR="002D52EF" w:rsidRPr="008C6024">
              <w:rPr>
                <w:rStyle w:val="Hyperlink"/>
                <w:rFonts w:ascii="Arial" w:hAnsi="Arial" w:cs="Arial"/>
                <w:i/>
                <w:noProof/>
              </w:rPr>
              <w:t>Key populations</w:t>
            </w:r>
            <w:r w:rsidR="002D52EF">
              <w:rPr>
                <w:noProof/>
                <w:webHidden/>
              </w:rPr>
              <w:tab/>
            </w:r>
            <w:r w:rsidR="002D52EF">
              <w:rPr>
                <w:noProof/>
                <w:webHidden/>
              </w:rPr>
              <w:fldChar w:fldCharType="begin"/>
            </w:r>
            <w:r w:rsidR="002D52EF">
              <w:rPr>
                <w:noProof/>
                <w:webHidden/>
              </w:rPr>
              <w:instrText xml:space="preserve"> PAGEREF _Toc57035139 \h </w:instrText>
            </w:r>
            <w:r w:rsidR="002D52EF">
              <w:rPr>
                <w:noProof/>
                <w:webHidden/>
              </w:rPr>
            </w:r>
            <w:r w:rsidR="002D52EF">
              <w:rPr>
                <w:noProof/>
                <w:webHidden/>
              </w:rPr>
              <w:fldChar w:fldCharType="separate"/>
            </w:r>
            <w:r w:rsidR="002D52EF">
              <w:rPr>
                <w:noProof/>
                <w:webHidden/>
              </w:rPr>
              <w:t>28</w:t>
            </w:r>
            <w:r w:rsidR="002D52EF">
              <w:rPr>
                <w:noProof/>
                <w:webHidden/>
              </w:rPr>
              <w:fldChar w:fldCharType="end"/>
            </w:r>
          </w:hyperlink>
        </w:p>
        <w:p w14:paraId="1D36EA52" w14:textId="606FE599" w:rsidR="002D52EF" w:rsidRDefault="00040C2B">
          <w:pPr>
            <w:pStyle w:val="TOC3"/>
            <w:tabs>
              <w:tab w:val="right" w:leader="dot" w:pos="9350"/>
            </w:tabs>
            <w:rPr>
              <w:noProof/>
              <w:sz w:val="22"/>
              <w:szCs w:val="22"/>
            </w:rPr>
          </w:pPr>
          <w:hyperlink w:anchor="_Toc57035140" w:history="1">
            <w:r w:rsidR="002D52EF" w:rsidRPr="008C6024">
              <w:rPr>
                <w:rStyle w:val="Hyperlink"/>
                <w:rFonts w:ascii="Arial" w:hAnsi="Arial" w:cs="Arial"/>
                <w:i/>
                <w:noProof/>
              </w:rPr>
              <w:t>Summary of key epidemiological trends</w:t>
            </w:r>
            <w:r w:rsidR="002D52EF">
              <w:rPr>
                <w:noProof/>
                <w:webHidden/>
              </w:rPr>
              <w:tab/>
            </w:r>
            <w:r w:rsidR="002D52EF">
              <w:rPr>
                <w:noProof/>
                <w:webHidden/>
              </w:rPr>
              <w:fldChar w:fldCharType="begin"/>
            </w:r>
            <w:r w:rsidR="002D52EF">
              <w:rPr>
                <w:noProof/>
                <w:webHidden/>
              </w:rPr>
              <w:instrText xml:space="preserve"> PAGEREF _Toc57035140 \h </w:instrText>
            </w:r>
            <w:r w:rsidR="002D52EF">
              <w:rPr>
                <w:noProof/>
                <w:webHidden/>
              </w:rPr>
            </w:r>
            <w:r w:rsidR="002D52EF">
              <w:rPr>
                <w:noProof/>
                <w:webHidden/>
              </w:rPr>
              <w:fldChar w:fldCharType="separate"/>
            </w:r>
            <w:r w:rsidR="002D52EF">
              <w:rPr>
                <w:noProof/>
                <w:webHidden/>
              </w:rPr>
              <w:t>28</w:t>
            </w:r>
            <w:r w:rsidR="002D52EF">
              <w:rPr>
                <w:noProof/>
                <w:webHidden/>
              </w:rPr>
              <w:fldChar w:fldCharType="end"/>
            </w:r>
          </w:hyperlink>
        </w:p>
        <w:p w14:paraId="5EC81298" w14:textId="1743A951" w:rsidR="002D52EF" w:rsidRDefault="00040C2B">
          <w:pPr>
            <w:pStyle w:val="TOC2"/>
            <w:tabs>
              <w:tab w:val="right" w:leader="dot" w:pos="9350"/>
            </w:tabs>
            <w:rPr>
              <w:noProof/>
              <w:sz w:val="22"/>
              <w:szCs w:val="22"/>
            </w:rPr>
          </w:pPr>
          <w:hyperlink w:anchor="_Toc57035141" w:history="1">
            <w:r w:rsidR="002D52EF" w:rsidRPr="008C6024">
              <w:rPr>
                <w:rStyle w:val="Hyperlink"/>
                <w:rFonts w:ascii="Arial" w:hAnsi="Arial" w:cs="Arial"/>
                <w:b/>
                <w:noProof/>
              </w:rPr>
              <w:t>National HIV Program Response in Tanzania</w:t>
            </w:r>
            <w:r w:rsidR="002D52EF">
              <w:rPr>
                <w:noProof/>
                <w:webHidden/>
              </w:rPr>
              <w:tab/>
            </w:r>
            <w:r w:rsidR="002D52EF">
              <w:rPr>
                <w:noProof/>
                <w:webHidden/>
              </w:rPr>
              <w:fldChar w:fldCharType="begin"/>
            </w:r>
            <w:r w:rsidR="002D52EF">
              <w:rPr>
                <w:noProof/>
                <w:webHidden/>
              </w:rPr>
              <w:instrText xml:space="preserve"> PAGEREF _Toc57035141 \h </w:instrText>
            </w:r>
            <w:r w:rsidR="002D52EF">
              <w:rPr>
                <w:noProof/>
                <w:webHidden/>
              </w:rPr>
            </w:r>
            <w:r w:rsidR="002D52EF">
              <w:rPr>
                <w:noProof/>
                <w:webHidden/>
              </w:rPr>
              <w:fldChar w:fldCharType="separate"/>
            </w:r>
            <w:r w:rsidR="002D52EF">
              <w:rPr>
                <w:noProof/>
                <w:webHidden/>
              </w:rPr>
              <w:t>28</w:t>
            </w:r>
            <w:r w:rsidR="002D52EF">
              <w:rPr>
                <w:noProof/>
                <w:webHidden/>
              </w:rPr>
              <w:fldChar w:fldCharType="end"/>
            </w:r>
          </w:hyperlink>
        </w:p>
        <w:p w14:paraId="3C7E4402" w14:textId="0BEC9D79" w:rsidR="002D52EF" w:rsidRDefault="00040C2B">
          <w:pPr>
            <w:pStyle w:val="TOC3"/>
            <w:tabs>
              <w:tab w:val="right" w:leader="dot" w:pos="9350"/>
            </w:tabs>
            <w:rPr>
              <w:noProof/>
              <w:sz w:val="22"/>
              <w:szCs w:val="22"/>
            </w:rPr>
          </w:pPr>
          <w:hyperlink w:anchor="_Toc57035142" w:history="1">
            <w:r w:rsidR="002D52EF" w:rsidRPr="008C6024">
              <w:rPr>
                <w:rStyle w:val="Hyperlink"/>
                <w:rFonts w:ascii="Arial" w:hAnsi="Arial" w:cs="Arial"/>
                <w:i/>
                <w:noProof/>
              </w:rPr>
              <w:t>National HIV program</w:t>
            </w:r>
            <w:r w:rsidR="002D52EF">
              <w:rPr>
                <w:noProof/>
                <w:webHidden/>
              </w:rPr>
              <w:tab/>
            </w:r>
            <w:r w:rsidR="002D52EF">
              <w:rPr>
                <w:noProof/>
                <w:webHidden/>
              </w:rPr>
              <w:fldChar w:fldCharType="begin"/>
            </w:r>
            <w:r w:rsidR="002D52EF">
              <w:rPr>
                <w:noProof/>
                <w:webHidden/>
              </w:rPr>
              <w:instrText xml:space="preserve"> PAGEREF _Toc57035142 \h </w:instrText>
            </w:r>
            <w:r w:rsidR="002D52EF">
              <w:rPr>
                <w:noProof/>
                <w:webHidden/>
              </w:rPr>
            </w:r>
            <w:r w:rsidR="002D52EF">
              <w:rPr>
                <w:noProof/>
                <w:webHidden/>
              </w:rPr>
              <w:fldChar w:fldCharType="separate"/>
            </w:r>
            <w:r w:rsidR="002D52EF">
              <w:rPr>
                <w:noProof/>
                <w:webHidden/>
              </w:rPr>
              <w:t>29</w:t>
            </w:r>
            <w:r w:rsidR="002D52EF">
              <w:rPr>
                <w:noProof/>
                <w:webHidden/>
              </w:rPr>
              <w:fldChar w:fldCharType="end"/>
            </w:r>
          </w:hyperlink>
        </w:p>
        <w:p w14:paraId="5303E50E" w14:textId="3EF12E9C" w:rsidR="002D52EF" w:rsidRDefault="00040C2B">
          <w:pPr>
            <w:pStyle w:val="TOC3"/>
            <w:tabs>
              <w:tab w:val="right" w:leader="dot" w:pos="9350"/>
            </w:tabs>
            <w:rPr>
              <w:noProof/>
              <w:sz w:val="22"/>
              <w:szCs w:val="22"/>
            </w:rPr>
          </w:pPr>
          <w:hyperlink w:anchor="_Toc57035143" w:history="1">
            <w:r w:rsidR="002D52EF" w:rsidRPr="008C6024">
              <w:rPr>
                <w:rStyle w:val="Hyperlink"/>
                <w:rFonts w:ascii="Arial" w:hAnsi="Arial" w:cs="Arial"/>
                <w:i/>
                <w:noProof/>
              </w:rPr>
              <w:t>Progress towards 90-90-90 and 95-95-95 – the current treatment cascade</w:t>
            </w:r>
            <w:r w:rsidR="002D52EF">
              <w:rPr>
                <w:noProof/>
                <w:webHidden/>
              </w:rPr>
              <w:tab/>
            </w:r>
            <w:r w:rsidR="002D52EF">
              <w:rPr>
                <w:noProof/>
                <w:webHidden/>
              </w:rPr>
              <w:fldChar w:fldCharType="begin"/>
            </w:r>
            <w:r w:rsidR="002D52EF">
              <w:rPr>
                <w:noProof/>
                <w:webHidden/>
              </w:rPr>
              <w:instrText xml:space="preserve"> PAGEREF _Toc57035143 \h </w:instrText>
            </w:r>
            <w:r w:rsidR="002D52EF">
              <w:rPr>
                <w:noProof/>
                <w:webHidden/>
              </w:rPr>
            </w:r>
            <w:r w:rsidR="002D52EF">
              <w:rPr>
                <w:noProof/>
                <w:webHidden/>
              </w:rPr>
              <w:fldChar w:fldCharType="separate"/>
            </w:r>
            <w:r w:rsidR="002D52EF">
              <w:rPr>
                <w:noProof/>
                <w:webHidden/>
              </w:rPr>
              <w:t>30</w:t>
            </w:r>
            <w:r w:rsidR="002D52EF">
              <w:rPr>
                <w:noProof/>
                <w:webHidden/>
              </w:rPr>
              <w:fldChar w:fldCharType="end"/>
            </w:r>
          </w:hyperlink>
        </w:p>
        <w:p w14:paraId="57772C3E" w14:textId="2CC8820F" w:rsidR="002D52EF" w:rsidRDefault="00040C2B">
          <w:pPr>
            <w:pStyle w:val="TOC3"/>
            <w:tabs>
              <w:tab w:val="right" w:leader="dot" w:pos="9350"/>
            </w:tabs>
            <w:rPr>
              <w:noProof/>
              <w:sz w:val="22"/>
              <w:szCs w:val="22"/>
            </w:rPr>
          </w:pPr>
          <w:hyperlink w:anchor="_Toc57035144" w:history="1">
            <w:r w:rsidR="002D52EF" w:rsidRPr="008C6024">
              <w:rPr>
                <w:rStyle w:val="Hyperlink"/>
                <w:rFonts w:ascii="Arial" w:hAnsi="Arial" w:cs="Arial"/>
                <w:i/>
                <w:noProof/>
              </w:rPr>
              <w:t>Overcoming key program gaps and challenges 2020-2030</w:t>
            </w:r>
            <w:r w:rsidR="002D52EF">
              <w:rPr>
                <w:noProof/>
                <w:webHidden/>
              </w:rPr>
              <w:tab/>
            </w:r>
            <w:r w:rsidR="002D52EF">
              <w:rPr>
                <w:noProof/>
                <w:webHidden/>
              </w:rPr>
              <w:fldChar w:fldCharType="begin"/>
            </w:r>
            <w:r w:rsidR="002D52EF">
              <w:rPr>
                <w:noProof/>
                <w:webHidden/>
              </w:rPr>
              <w:instrText xml:space="preserve"> PAGEREF _Toc57035144 \h </w:instrText>
            </w:r>
            <w:r w:rsidR="002D52EF">
              <w:rPr>
                <w:noProof/>
                <w:webHidden/>
              </w:rPr>
            </w:r>
            <w:r w:rsidR="002D52EF">
              <w:rPr>
                <w:noProof/>
                <w:webHidden/>
              </w:rPr>
              <w:fldChar w:fldCharType="separate"/>
            </w:r>
            <w:r w:rsidR="002D52EF">
              <w:rPr>
                <w:noProof/>
                <w:webHidden/>
              </w:rPr>
              <w:t>31</w:t>
            </w:r>
            <w:r w:rsidR="002D52EF">
              <w:rPr>
                <w:noProof/>
                <w:webHidden/>
              </w:rPr>
              <w:fldChar w:fldCharType="end"/>
            </w:r>
          </w:hyperlink>
        </w:p>
        <w:p w14:paraId="11E91E6B" w14:textId="78035397" w:rsidR="002D52EF" w:rsidRDefault="00040C2B">
          <w:pPr>
            <w:pStyle w:val="TOC3"/>
            <w:tabs>
              <w:tab w:val="right" w:leader="dot" w:pos="9350"/>
            </w:tabs>
            <w:rPr>
              <w:noProof/>
              <w:sz w:val="22"/>
              <w:szCs w:val="22"/>
            </w:rPr>
          </w:pPr>
          <w:hyperlink w:anchor="_Toc57035145" w:history="1">
            <w:r w:rsidR="002D52EF" w:rsidRPr="008C6024">
              <w:rPr>
                <w:rStyle w:val="Hyperlink"/>
                <w:rFonts w:ascii="Arial" w:hAnsi="Arial" w:cs="Arial"/>
                <w:i/>
                <w:noProof/>
              </w:rPr>
              <w:t>Summary of national HIV program review</w:t>
            </w:r>
            <w:r w:rsidR="002D52EF">
              <w:rPr>
                <w:noProof/>
                <w:webHidden/>
              </w:rPr>
              <w:tab/>
            </w:r>
            <w:r w:rsidR="002D52EF">
              <w:rPr>
                <w:noProof/>
                <w:webHidden/>
              </w:rPr>
              <w:fldChar w:fldCharType="begin"/>
            </w:r>
            <w:r w:rsidR="002D52EF">
              <w:rPr>
                <w:noProof/>
                <w:webHidden/>
              </w:rPr>
              <w:instrText xml:space="preserve"> PAGEREF _Toc57035145 \h </w:instrText>
            </w:r>
            <w:r w:rsidR="002D52EF">
              <w:rPr>
                <w:noProof/>
                <w:webHidden/>
              </w:rPr>
            </w:r>
            <w:r w:rsidR="002D52EF">
              <w:rPr>
                <w:noProof/>
                <w:webHidden/>
              </w:rPr>
              <w:fldChar w:fldCharType="separate"/>
            </w:r>
            <w:r w:rsidR="002D52EF">
              <w:rPr>
                <w:noProof/>
                <w:webHidden/>
              </w:rPr>
              <w:t>34</w:t>
            </w:r>
            <w:r w:rsidR="002D52EF">
              <w:rPr>
                <w:noProof/>
                <w:webHidden/>
              </w:rPr>
              <w:fldChar w:fldCharType="end"/>
            </w:r>
          </w:hyperlink>
        </w:p>
        <w:p w14:paraId="3740A4D2" w14:textId="245B28C5" w:rsidR="002D52EF" w:rsidRDefault="00040C2B">
          <w:pPr>
            <w:pStyle w:val="TOC2"/>
            <w:tabs>
              <w:tab w:val="right" w:leader="dot" w:pos="9350"/>
            </w:tabs>
            <w:rPr>
              <w:noProof/>
              <w:sz w:val="22"/>
              <w:szCs w:val="22"/>
            </w:rPr>
          </w:pPr>
          <w:hyperlink w:anchor="_Toc57035146" w:history="1">
            <w:r w:rsidR="002D52EF" w:rsidRPr="008C6024">
              <w:rPr>
                <w:rStyle w:val="Hyperlink"/>
                <w:rFonts w:ascii="Arial" w:hAnsi="Arial" w:cs="Arial"/>
                <w:b/>
                <w:noProof/>
              </w:rPr>
              <w:t>HIV Financing in Tanzania</w:t>
            </w:r>
            <w:r w:rsidR="002D52EF">
              <w:rPr>
                <w:noProof/>
                <w:webHidden/>
              </w:rPr>
              <w:tab/>
            </w:r>
            <w:r w:rsidR="002D52EF">
              <w:rPr>
                <w:noProof/>
                <w:webHidden/>
              </w:rPr>
              <w:fldChar w:fldCharType="begin"/>
            </w:r>
            <w:r w:rsidR="002D52EF">
              <w:rPr>
                <w:noProof/>
                <w:webHidden/>
              </w:rPr>
              <w:instrText xml:space="preserve"> PAGEREF _Toc57035146 \h </w:instrText>
            </w:r>
            <w:r w:rsidR="002D52EF">
              <w:rPr>
                <w:noProof/>
                <w:webHidden/>
              </w:rPr>
            </w:r>
            <w:r w:rsidR="002D52EF">
              <w:rPr>
                <w:noProof/>
                <w:webHidden/>
              </w:rPr>
              <w:fldChar w:fldCharType="separate"/>
            </w:r>
            <w:r w:rsidR="002D52EF">
              <w:rPr>
                <w:noProof/>
                <w:webHidden/>
              </w:rPr>
              <w:t>35</w:t>
            </w:r>
            <w:r w:rsidR="002D52EF">
              <w:rPr>
                <w:noProof/>
                <w:webHidden/>
              </w:rPr>
              <w:fldChar w:fldCharType="end"/>
            </w:r>
          </w:hyperlink>
        </w:p>
        <w:p w14:paraId="45FFDDBC" w14:textId="1863B82A" w:rsidR="002D52EF" w:rsidRDefault="00040C2B">
          <w:pPr>
            <w:pStyle w:val="TOC3"/>
            <w:tabs>
              <w:tab w:val="right" w:leader="dot" w:pos="9350"/>
            </w:tabs>
            <w:rPr>
              <w:noProof/>
              <w:sz w:val="22"/>
              <w:szCs w:val="22"/>
            </w:rPr>
          </w:pPr>
          <w:hyperlink w:anchor="_Toc57035147" w:history="1">
            <w:r w:rsidR="002D52EF" w:rsidRPr="008C6024">
              <w:rPr>
                <w:rStyle w:val="Hyperlink"/>
                <w:rFonts w:ascii="Arial" w:hAnsi="Arial" w:cs="Arial"/>
                <w:i/>
                <w:noProof/>
              </w:rPr>
              <w:t>Historical trends</w:t>
            </w:r>
            <w:r w:rsidR="002D52EF">
              <w:rPr>
                <w:noProof/>
                <w:webHidden/>
              </w:rPr>
              <w:tab/>
            </w:r>
            <w:r w:rsidR="002D52EF">
              <w:rPr>
                <w:noProof/>
                <w:webHidden/>
              </w:rPr>
              <w:fldChar w:fldCharType="begin"/>
            </w:r>
            <w:r w:rsidR="002D52EF">
              <w:rPr>
                <w:noProof/>
                <w:webHidden/>
              </w:rPr>
              <w:instrText xml:space="preserve"> PAGEREF _Toc57035147 \h </w:instrText>
            </w:r>
            <w:r w:rsidR="002D52EF">
              <w:rPr>
                <w:noProof/>
                <w:webHidden/>
              </w:rPr>
            </w:r>
            <w:r w:rsidR="002D52EF">
              <w:rPr>
                <w:noProof/>
                <w:webHidden/>
              </w:rPr>
              <w:fldChar w:fldCharType="separate"/>
            </w:r>
            <w:r w:rsidR="002D52EF">
              <w:rPr>
                <w:noProof/>
                <w:webHidden/>
              </w:rPr>
              <w:t>35</w:t>
            </w:r>
            <w:r w:rsidR="002D52EF">
              <w:rPr>
                <w:noProof/>
                <w:webHidden/>
              </w:rPr>
              <w:fldChar w:fldCharType="end"/>
            </w:r>
          </w:hyperlink>
        </w:p>
        <w:p w14:paraId="03EA6026" w14:textId="18D61591" w:rsidR="002D52EF" w:rsidRDefault="00040C2B">
          <w:pPr>
            <w:pStyle w:val="TOC3"/>
            <w:tabs>
              <w:tab w:val="right" w:leader="dot" w:pos="9350"/>
            </w:tabs>
            <w:rPr>
              <w:noProof/>
              <w:sz w:val="22"/>
              <w:szCs w:val="22"/>
            </w:rPr>
          </w:pPr>
          <w:hyperlink w:anchor="_Toc57035148" w:history="1">
            <w:r w:rsidR="002D52EF" w:rsidRPr="008C6024">
              <w:rPr>
                <w:rStyle w:val="Hyperlink"/>
                <w:rFonts w:ascii="Arial" w:hAnsi="Arial" w:cs="Arial"/>
                <w:i/>
                <w:noProof/>
              </w:rPr>
              <w:t>Funding by program component</w:t>
            </w:r>
            <w:r w:rsidR="002D52EF">
              <w:rPr>
                <w:noProof/>
                <w:webHidden/>
              </w:rPr>
              <w:tab/>
            </w:r>
            <w:r w:rsidR="002D52EF">
              <w:rPr>
                <w:noProof/>
                <w:webHidden/>
              </w:rPr>
              <w:fldChar w:fldCharType="begin"/>
            </w:r>
            <w:r w:rsidR="002D52EF">
              <w:rPr>
                <w:noProof/>
                <w:webHidden/>
              </w:rPr>
              <w:instrText xml:space="preserve"> PAGEREF _Toc57035148 \h </w:instrText>
            </w:r>
            <w:r w:rsidR="002D52EF">
              <w:rPr>
                <w:noProof/>
                <w:webHidden/>
              </w:rPr>
            </w:r>
            <w:r w:rsidR="002D52EF">
              <w:rPr>
                <w:noProof/>
                <w:webHidden/>
              </w:rPr>
              <w:fldChar w:fldCharType="separate"/>
            </w:r>
            <w:r w:rsidR="002D52EF">
              <w:rPr>
                <w:noProof/>
                <w:webHidden/>
              </w:rPr>
              <w:t>35</w:t>
            </w:r>
            <w:r w:rsidR="002D52EF">
              <w:rPr>
                <w:noProof/>
                <w:webHidden/>
              </w:rPr>
              <w:fldChar w:fldCharType="end"/>
            </w:r>
          </w:hyperlink>
        </w:p>
        <w:p w14:paraId="51774607" w14:textId="3E72C7FB" w:rsidR="002D52EF" w:rsidRDefault="00040C2B">
          <w:pPr>
            <w:pStyle w:val="TOC3"/>
            <w:tabs>
              <w:tab w:val="right" w:leader="dot" w:pos="9350"/>
            </w:tabs>
            <w:rPr>
              <w:noProof/>
              <w:sz w:val="22"/>
              <w:szCs w:val="22"/>
            </w:rPr>
          </w:pPr>
          <w:hyperlink w:anchor="_Toc57035149" w:history="1">
            <w:r w:rsidR="002D52EF" w:rsidRPr="008C6024">
              <w:rPr>
                <w:rStyle w:val="Hyperlink"/>
                <w:rFonts w:ascii="Arial" w:hAnsi="Arial" w:cs="Arial"/>
                <w:i/>
                <w:noProof/>
              </w:rPr>
              <w:t>Domestic financing</w:t>
            </w:r>
            <w:r w:rsidR="002D52EF">
              <w:rPr>
                <w:noProof/>
                <w:webHidden/>
              </w:rPr>
              <w:tab/>
            </w:r>
            <w:r w:rsidR="002D52EF">
              <w:rPr>
                <w:noProof/>
                <w:webHidden/>
              </w:rPr>
              <w:fldChar w:fldCharType="begin"/>
            </w:r>
            <w:r w:rsidR="002D52EF">
              <w:rPr>
                <w:noProof/>
                <w:webHidden/>
              </w:rPr>
              <w:instrText xml:space="preserve"> PAGEREF _Toc57035149 \h </w:instrText>
            </w:r>
            <w:r w:rsidR="002D52EF">
              <w:rPr>
                <w:noProof/>
                <w:webHidden/>
              </w:rPr>
            </w:r>
            <w:r w:rsidR="002D52EF">
              <w:rPr>
                <w:noProof/>
                <w:webHidden/>
              </w:rPr>
              <w:fldChar w:fldCharType="separate"/>
            </w:r>
            <w:r w:rsidR="002D52EF">
              <w:rPr>
                <w:noProof/>
                <w:webHidden/>
              </w:rPr>
              <w:t>37</w:t>
            </w:r>
            <w:r w:rsidR="002D52EF">
              <w:rPr>
                <w:noProof/>
                <w:webHidden/>
              </w:rPr>
              <w:fldChar w:fldCharType="end"/>
            </w:r>
          </w:hyperlink>
        </w:p>
        <w:p w14:paraId="67C66B88" w14:textId="587E8D85" w:rsidR="002D52EF" w:rsidRDefault="00040C2B">
          <w:pPr>
            <w:pStyle w:val="TOC3"/>
            <w:tabs>
              <w:tab w:val="right" w:leader="dot" w:pos="9350"/>
            </w:tabs>
            <w:rPr>
              <w:noProof/>
              <w:sz w:val="22"/>
              <w:szCs w:val="22"/>
            </w:rPr>
          </w:pPr>
          <w:hyperlink w:anchor="_Toc57035150" w:history="1">
            <w:r w:rsidR="002D52EF" w:rsidRPr="008C6024">
              <w:rPr>
                <w:rStyle w:val="Hyperlink"/>
                <w:rFonts w:ascii="Arial" w:hAnsi="Arial" w:cs="Arial"/>
                <w:i/>
                <w:noProof/>
              </w:rPr>
              <w:t>Future financing</w:t>
            </w:r>
            <w:r w:rsidR="002D52EF">
              <w:rPr>
                <w:noProof/>
                <w:webHidden/>
              </w:rPr>
              <w:tab/>
            </w:r>
            <w:r w:rsidR="002D52EF">
              <w:rPr>
                <w:noProof/>
                <w:webHidden/>
              </w:rPr>
              <w:fldChar w:fldCharType="begin"/>
            </w:r>
            <w:r w:rsidR="002D52EF">
              <w:rPr>
                <w:noProof/>
                <w:webHidden/>
              </w:rPr>
              <w:instrText xml:space="preserve"> PAGEREF _Toc57035150 \h </w:instrText>
            </w:r>
            <w:r w:rsidR="002D52EF">
              <w:rPr>
                <w:noProof/>
                <w:webHidden/>
              </w:rPr>
            </w:r>
            <w:r w:rsidR="002D52EF">
              <w:rPr>
                <w:noProof/>
                <w:webHidden/>
              </w:rPr>
              <w:fldChar w:fldCharType="separate"/>
            </w:r>
            <w:r w:rsidR="002D52EF">
              <w:rPr>
                <w:noProof/>
                <w:webHidden/>
              </w:rPr>
              <w:t>38</w:t>
            </w:r>
            <w:r w:rsidR="002D52EF">
              <w:rPr>
                <w:noProof/>
                <w:webHidden/>
              </w:rPr>
              <w:fldChar w:fldCharType="end"/>
            </w:r>
          </w:hyperlink>
        </w:p>
        <w:p w14:paraId="42183D50" w14:textId="6C8B8304" w:rsidR="002D52EF" w:rsidRDefault="00040C2B">
          <w:pPr>
            <w:pStyle w:val="TOC3"/>
            <w:tabs>
              <w:tab w:val="right" w:leader="dot" w:pos="9350"/>
            </w:tabs>
            <w:rPr>
              <w:noProof/>
              <w:sz w:val="22"/>
              <w:szCs w:val="22"/>
            </w:rPr>
          </w:pPr>
          <w:hyperlink w:anchor="_Toc57035151" w:history="1">
            <w:r w:rsidR="002D52EF" w:rsidRPr="008C6024">
              <w:rPr>
                <w:rStyle w:val="Hyperlink"/>
                <w:rFonts w:ascii="Arial" w:hAnsi="Arial" w:cs="Arial"/>
                <w:i/>
                <w:noProof/>
              </w:rPr>
              <w:t>Key takeaways on HIV financing</w:t>
            </w:r>
            <w:r w:rsidR="002D52EF">
              <w:rPr>
                <w:noProof/>
                <w:webHidden/>
              </w:rPr>
              <w:tab/>
            </w:r>
            <w:r w:rsidR="002D52EF">
              <w:rPr>
                <w:noProof/>
                <w:webHidden/>
              </w:rPr>
              <w:fldChar w:fldCharType="begin"/>
            </w:r>
            <w:r w:rsidR="002D52EF">
              <w:rPr>
                <w:noProof/>
                <w:webHidden/>
              </w:rPr>
              <w:instrText xml:space="preserve"> PAGEREF _Toc57035151 \h </w:instrText>
            </w:r>
            <w:r w:rsidR="002D52EF">
              <w:rPr>
                <w:noProof/>
                <w:webHidden/>
              </w:rPr>
            </w:r>
            <w:r w:rsidR="002D52EF">
              <w:rPr>
                <w:noProof/>
                <w:webHidden/>
              </w:rPr>
              <w:fldChar w:fldCharType="separate"/>
            </w:r>
            <w:r w:rsidR="002D52EF">
              <w:rPr>
                <w:noProof/>
                <w:webHidden/>
              </w:rPr>
              <w:t>38</w:t>
            </w:r>
            <w:r w:rsidR="002D52EF">
              <w:rPr>
                <w:noProof/>
                <w:webHidden/>
              </w:rPr>
              <w:fldChar w:fldCharType="end"/>
            </w:r>
          </w:hyperlink>
        </w:p>
        <w:p w14:paraId="36F4F809" w14:textId="26EF0C4E" w:rsidR="002D52EF" w:rsidRDefault="00040C2B">
          <w:pPr>
            <w:pStyle w:val="TOC1"/>
            <w:tabs>
              <w:tab w:val="right" w:leader="dot" w:pos="9350"/>
            </w:tabs>
            <w:rPr>
              <w:noProof/>
              <w:sz w:val="22"/>
              <w:szCs w:val="22"/>
            </w:rPr>
          </w:pPr>
          <w:hyperlink w:anchor="_Toc57035152" w:history="1">
            <w:r w:rsidR="002D52EF" w:rsidRPr="008C6024">
              <w:rPr>
                <w:rStyle w:val="Hyperlink"/>
                <w:rFonts w:ascii="Arial" w:hAnsi="Arial" w:cs="Arial"/>
                <w:b/>
                <w:noProof/>
              </w:rPr>
              <w:t>CHAPTER 3. INVESTMENT CASE 2.0 FRAMEWORK AND METHODOLOGY</w:t>
            </w:r>
            <w:r w:rsidR="002D52EF">
              <w:rPr>
                <w:noProof/>
                <w:webHidden/>
              </w:rPr>
              <w:tab/>
            </w:r>
            <w:r w:rsidR="002D52EF">
              <w:rPr>
                <w:noProof/>
                <w:webHidden/>
              </w:rPr>
              <w:fldChar w:fldCharType="begin"/>
            </w:r>
            <w:r w:rsidR="002D52EF">
              <w:rPr>
                <w:noProof/>
                <w:webHidden/>
              </w:rPr>
              <w:instrText xml:space="preserve"> PAGEREF _Toc57035152 \h </w:instrText>
            </w:r>
            <w:r w:rsidR="002D52EF">
              <w:rPr>
                <w:noProof/>
                <w:webHidden/>
              </w:rPr>
            </w:r>
            <w:r w:rsidR="002D52EF">
              <w:rPr>
                <w:noProof/>
                <w:webHidden/>
              </w:rPr>
              <w:fldChar w:fldCharType="separate"/>
            </w:r>
            <w:r w:rsidR="002D52EF">
              <w:rPr>
                <w:noProof/>
                <w:webHidden/>
              </w:rPr>
              <w:t>39</w:t>
            </w:r>
            <w:r w:rsidR="002D52EF">
              <w:rPr>
                <w:noProof/>
                <w:webHidden/>
              </w:rPr>
              <w:fldChar w:fldCharType="end"/>
            </w:r>
          </w:hyperlink>
        </w:p>
        <w:p w14:paraId="6EDC402B" w14:textId="04711636" w:rsidR="002D52EF" w:rsidRDefault="00040C2B">
          <w:pPr>
            <w:pStyle w:val="TOC2"/>
            <w:tabs>
              <w:tab w:val="right" w:leader="dot" w:pos="9350"/>
            </w:tabs>
            <w:rPr>
              <w:noProof/>
              <w:sz w:val="22"/>
              <w:szCs w:val="22"/>
            </w:rPr>
          </w:pPr>
          <w:hyperlink w:anchor="_Toc57035153" w:history="1">
            <w:r w:rsidR="002D52EF" w:rsidRPr="008C6024">
              <w:rPr>
                <w:rStyle w:val="Hyperlink"/>
                <w:rFonts w:ascii="Arial" w:hAnsi="Arial" w:cs="Arial"/>
                <w:b/>
                <w:noProof/>
              </w:rPr>
              <w:t>The investment case framework 2.0</w:t>
            </w:r>
            <w:r w:rsidR="002D52EF">
              <w:rPr>
                <w:noProof/>
                <w:webHidden/>
              </w:rPr>
              <w:tab/>
            </w:r>
            <w:r w:rsidR="002D52EF">
              <w:rPr>
                <w:noProof/>
                <w:webHidden/>
              </w:rPr>
              <w:fldChar w:fldCharType="begin"/>
            </w:r>
            <w:r w:rsidR="002D52EF">
              <w:rPr>
                <w:noProof/>
                <w:webHidden/>
              </w:rPr>
              <w:instrText xml:space="preserve"> PAGEREF _Toc57035153 \h </w:instrText>
            </w:r>
            <w:r w:rsidR="002D52EF">
              <w:rPr>
                <w:noProof/>
                <w:webHidden/>
              </w:rPr>
            </w:r>
            <w:r w:rsidR="002D52EF">
              <w:rPr>
                <w:noProof/>
                <w:webHidden/>
              </w:rPr>
              <w:fldChar w:fldCharType="separate"/>
            </w:r>
            <w:r w:rsidR="002D52EF">
              <w:rPr>
                <w:noProof/>
                <w:webHidden/>
              </w:rPr>
              <w:t>39</w:t>
            </w:r>
            <w:r w:rsidR="002D52EF">
              <w:rPr>
                <w:noProof/>
                <w:webHidden/>
              </w:rPr>
              <w:fldChar w:fldCharType="end"/>
            </w:r>
          </w:hyperlink>
        </w:p>
        <w:p w14:paraId="129695BA" w14:textId="092DCFA0" w:rsidR="002D52EF" w:rsidRDefault="00040C2B">
          <w:pPr>
            <w:pStyle w:val="TOC2"/>
            <w:tabs>
              <w:tab w:val="right" w:leader="dot" w:pos="9350"/>
            </w:tabs>
            <w:rPr>
              <w:noProof/>
              <w:sz w:val="22"/>
              <w:szCs w:val="22"/>
            </w:rPr>
          </w:pPr>
          <w:hyperlink w:anchor="_Toc57035154" w:history="1">
            <w:r w:rsidR="002D52EF" w:rsidRPr="008C6024">
              <w:rPr>
                <w:rStyle w:val="Hyperlink"/>
                <w:rFonts w:ascii="Arial" w:hAnsi="Arial" w:cs="Arial"/>
                <w:b/>
                <w:noProof/>
              </w:rPr>
              <w:t>Investment case methodology</w:t>
            </w:r>
            <w:r w:rsidR="002D52EF">
              <w:rPr>
                <w:noProof/>
                <w:webHidden/>
              </w:rPr>
              <w:tab/>
            </w:r>
            <w:r w:rsidR="002D52EF">
              <w:rPr>
                <w:noProof/>
                <w:webHidden/>
              </w:rPr>
              <w:fldChar w:fldCharType="begin"/>
            </w:r>
            <w:r w:rsidR="002D52EF">
              <w:rPr>
                <w:noProof/>
                <w:webHidden/>
              </w:rPr>
              <w:instrText xml:space="preserve"> PAGEREF _Toc57035154 \h </w:instrText>
            </w:r>
            <w:r w:rsidR="002D52EF">
              <w:rPr>
                <w:noProof/>
                <w:webHidden/>
              </w:rPr>
            </w:r>
            <w:r w:rsidR="002D52EF">
              <w:rPr>
                <w:noProof/>
                <w:webHidden/>
              </w:rPr>
              <w:fldChar w:fldCharType="separate"/>
            </w:r>
            <w:r w:rsidR="002D52EF">
              <w:rPr>
                <w:noProof/>
                <w:webHidden/>
              </w:rPr>
              <w:t>40</w:t>
            </w:r>
            <w:r w:rsidR="002D52EF">
              <w:rPr>
                <w:noProof/>
                <w:webHidden/>
              </w:rPr>
              <w:fldChar w:fldCharType="end"/>
            </w:r>
          </w:hyperlink>
        </w:p>
        <w:p w14:paraId="35FACDD3" w14:textId="3BBAAF22" w:rsidR="002D52EF" w:rsidRDefault="00040C2B">
          <w:pPr>
            <w:pStyle w:val="TOC3"/>
            <w:tabs>
              <w:tab w:val="right" w:leader="dot" w:pos="9350"/>
            </w:tabs>
            <w:rPr>
              <w:noProof/>
              <w:sz w:val="22"/>
              <w:szCs w:val="22"/>
            </w:rPr>
          </w:pPr>
          <w:hyperlink w:anchor="_Toc57035155" w:history="1">
            <w:r w:rsidR="002D52EF" w:rsidRPr="008C6024">
              <w:rPr>
                <w:rStyle w:val="Hyperlink"/>
                <w:rFonts w:ascii="Arial" w:hAnsi="Arial" w:cs="Arial"/>
                <w:i/>
                <w:noProof/>
              </w:rPr>
              <w:t>Scenario design</w:t>
            </w:r>
            <w:r w:rsidR="002D52EF">
              <w:rPr>
                <w:noProof/>
                <w:webHidden/>
              </w:rPr>
              <w:tab/>
            </w:r>
            <w:r w:rsidR="002D52EF">
              <w:rPr>
                <w:noProof/>
                <w:webHidden/>
              </w:rPr>
              <w:fldChar w:fldCharType="begin"/>
            </w:r>
            <w:r w:rsidR="002D52EF">
              <w:rPr>
                <w:noProof/>
                <w:webHidden/>
              </w:rPr>
              <w:instrText xml:space="preserve"> PAGEREF _Toc57035155 \h </w:instrText>
            </w:r>
            <w:r w:rsidR="002D52EF">
              <w:rPr>
                <w:noProof/>
                <w:webHidden/>
              </w:rPr>
            </w:r>
            <w:r w:rsidR="002D52EF">
              <w:rPr>
                <w:noProof/>
                <w:webHidden/>
              </w:rPr>
              <w:fldChar w:fldCharType="separate"/>
            </w:r>
            <w:r w:rsidR="002D52EF">
              <w:rPr>
                <w:noProof/>
                <w:webHidden/>
              </w:rPr>
              <w:t>40</w:t>
            </w:r>
            <w:r w:rsidR="002D52EF">
              <w:rPr>
                <w:noProof/>
                <w:webHidden/>
              </w:rPr>
              <w:fldChar w:fldCharType="end"/>
            </w:r>
          </w:hyperlink>
        </w:p>
        <w:p w14:paraId="71B6D58A" w14:textId="4DD4DEB3" w:rsidR="002D52EF" w:rsidRDefault="00040C2B">
          <w:pPr>
            <w:pStyle w:val="TOC3"/>
            <w:tabs>
              <w:tab w:val="right" w:leader="dot" w:pos="9350"/>
            </w:tabs>
            <w:rPr>
              <w:noProof/>
              <w:sz w:val="22"/>
              <w:szCs w:val="22"/>
            </w:rPr>
          </w:pPr>
          <w:hyperlink w:anchor="_Toc57035156" w:history="1">
            <w:r w:rsidR="002D52EF" w:rsidRPr="008C6024">
              <w:rPr>
                <w:rStyle w:val="Hyperlink"/>
                <w:rFonts w:ascii="Arial" w:hAnsi="Arial" w:cs="Arial"/>
                <w:i/>
                <w:noProof/>
              </w:rPr>
              <w:t>Impact modeling</w:t>
            </w:r>
            <w:r w:rsidR="002D52EF">
              <w:rPr>
                <w:noProof/>
                <w:webHidden/>
              </w:rPr>
              <w:tab/>
            </w:r>
            <w:r w:rsidR="002D52EF">
              <w:rPr>
                <w:noProof/>
                <w:webHidden/>
              </w:rPr>
              <w:fldChar w:fldCharType="begin"/>
            </w:r>
            <w:r w:rsidR="002D52EF">
              <w:rPr>
                <w:noProof/>
                <w:webHidden/>
              </w:rPr>
              <w:instrText xml:space="preserve"> PAGEREF _Toc57035156 \h </w:instrText>
            </w:r>
            <w:r w:rsidR="002D52EF">
              <w:rPr>
                <w:noProof/>
                <w:webHidden/>
              </w:rPr>
            </w:r>
            <w:r w:rsidR="002D52EF">
              <w:rPr>
                <w:noProof/>
                <w:webHidden/>
              </w:rPr>
              <w:fldChar w:fldCharType="separate"/>
            </w:r>
            <w:r w:rsidR="002D52EF">
              <w:rPr>
                <w:noProof/>
                <w:webHidden/>
              </w:rPr>
              <w:t>41</w:t>
            </w:r>
            <w:r w:rsidR="002D52EF">
              <w:rPr>
                <w:noProof/>
                <w:webHidden/>
              </w:rPr>
              <w:fldChar w:fldCharType="end"/>
            </w:r>
          </w:hyperlink>
        </w:p>
        <w:p w14:paraId="0E2B10B0" w14:textId="34B3E72C" w:rsidR="002D52EF" w:rsidRDefault="00040C2B">
          <w:pPr>
            <w:pStyle w:val="TOC3"/>
            <w:tabs>
              <w:tab w:val="right" w:leader="dot" w:pos="9350"/>
            </w:tabs>
            <w:rPr>
              <w:noProof/>
              <w:sz w:val="22"/>
              <w:szCs w:val="22"/>
            </w:rPr>
          </w:pPr>
          <w:hyperlink w:anchor="_Toc57035157" w:history="1">
            <w:r w:rsidR="002D52EF" w:rsidRPr="008C6024">
              <w:rPr>
                <w:rStyle w:val="Hyperlink"/>
                <w:rFonts w:ascii="Arial" w:hAnsi="Arial" w:cs="Arial"/>
                <w:i/>
                <w:noProof/>
              </w:rPr>
              <w:t>Cost estimation</w:t>
            </w:r>
            <w:r w:rsidR="002D52EF">
              <w:rPr>
                <w:noProof/>
                <w:webHidden/>
              </w:rPr>
              <w:tab/>
            </w:r>
            <w:r w:rsidR="002D52EF">
              <w:rPr>
                <w:noProof/>
                <w:webHidden/>
              </w:rPr>
              <w:fldChar w:fldCharType="begin"/>
            </w:r>
            <w:r w:rsidR="002D52EF">
              <w:rPr>
                <w:noProof/>
                <w:webHidden/>
              </w:rPr>
              <w:instrText xml:space="preserve"> PAGEREF _Toc57035157 \h </w:instrText>
            </w:r>
            <w:r w:rsidR="002D52EF">
              <w:rPr>
                <w:noProof/>
                <w:webHidden/>
              </w:rPr>
            </w:r>
            <w:r w:rsidR="002D52EF">
              <w:rPr>
                <w:noProof/>
                <w:webHidden/>
              </w:rPr>
              <w:fldChar w:fldCharType="separate"/>
            </w:r>
            <w:r w:rsidR="002D52EF">
              <w:rPr>
                <w:noProof/>
                <w:webHidden/>
              </w:rPr>
              <w:t>42</w:t>
            </w:r>
            <w:r w:rsidR="002D52EF">
              <w:rPr>
                <w:noProof/>
                <w:webHidden/>
              </w:rPr>
              <w:fldChar w:fldCharType="end"/>
            </w:r>
          </w:hyperlink>
        </w:p>
        <w:p w14:paraId="252BE5AA" w14:textId="5F04542A" w:rsidR="002D52EF" w:rsidRDefault="00040C2B">
          <w:pPr>
            <w:pStyle w:val="TOC3"/>
            <w:tabs>
              <w:tab w:val="right" w:leader="dot" w:pos="9350"/>
            </w:tabs>
            <w:rPr>
              <w:noProof/>
              <w:sz w:val="22"/>
              <w:szCs w:val="22"/>
            </w:rPr>
          </w:pPr>
          <w:hyperlink w:anchor="_Toc57035158" w:history="1">
            <w:r w:rsidR="002D52EF" w:rsidRPr="008C6024">
              <w:rPr>
                <w:rStyle w:val="Hyperlink"/>
                <w:rFonts w:ascii="Arial" w:hAnsi="Arial" w:cs="Arial"/>
                <w:i/>
                <w:noProof/>
              </w:rPr>
              <w:t>Optimization approach</w:t>
            </w:r>
            <w:r w:rsidR="002D52EF">
              <w:rPr>
                <w:noProof/>
                <w:webHidden/>
              </w:rPr>
              <w:tab/>
            </w:r>
            <w:r w:rsidR="002D52EF">
              <w:rPr>
                <w:noProof/>
                <w:webHidden/>
              </w:rPr>
              <w:fldChar w:fldCharType="begin"/>
            </w:r>
            <w:r w:rsidR="002D52EF">
              <w:rPr>
                <w:noProof/>
                <w:webHidden/>
              </w:rPr>
              <w:instrText xml:space="preserve"> PAGEREF _Toc57035158 \h </w:instrText>
            </w:r>
            <w:r w:rsidR="002D52EF">
              <w:rPr>
                <w:noProof/>
                <w:webHidden/>
              </w:rPr>
            </w:r>
            <w:r w:rsidR="002D52EF">
              <w:rPr>
                <w:noProof/>
                <w:webHidden/>
              </w:rPr>
              <w:fldChar w:fldCharType="separate"/>
            </w:r>
            <w:r w:rsidR="002D52EF">
              <w:rPr>
                <w:noProof/>
                <w:webHidden/>
              </w:rPr>
              <w:t>42</w:t>
            </w:r>
            <w:r w:rsidR="002D52EF">
              <w:rPr>
                <w:noProof/>
                <w:webHidden/>
              </w:rPr>
              <w:fldChar w:fldCharType="end"/>
            </w:r>
          </w:hyperlink>
        </w:p>
        <w:p w14:paraId="2016674D" w14:textId="643F1319" w:rsidR="002D52EF" w:rsidRDefault="00040C2B">
          <w:pPr>
            <w:pStyle w:val="TOC3"/>
            <w:tabs>
              <w:tab w:val="right" w:leader="dot" w:pos="9350"/>
            </w:tabs>
            <w:rPr>
              <w:noProof/>
              <w:sz w:val="22"/>
              <w:szCs w:val="22"/>
            </w:rPr>
          </w:pPr>
          <w:hyperlink w:anchor="_Toc57035159" w:history="1">
            <w:r w:rsidR="002D52EF" w:rsidRPr="008C6024">
              <w:rPr>
                <w:rStyle w:val="Hyperlink"/>
                <w:rFonts w:ascii="Arial" w:hAnsi="Arial" w:cs="Arial"/>
                <w:i/>
                <w:iCs/>
                <w:noProof/>
              </w:rPr>
              <w:t>Resource mobilization</w:t>
            </w:r>
            <w:r w:rsidR="002D52EF">
              <w:rPr>
                <w:noProof/>
                <w:webHidden/>
              </w:rPr>
              <w:tab/>
            </w:r>
            <w:r w:rsidR="002D52EF">
              <w:rPr>
                <w:noProof/>
                <w:webHidden/>
              </w:rPr>
              <w:fldChar w:fldCharType="begin"/>
            </w:r>
            <w:r w:rsidR="002D52EF">
              <w:rPr>
                <w:noProof/>
                <w:webHidden/>
              </w:rPr>
              <w:instrText xml:space="preserve"> PAGEREF _Toc57035159 \h </w:instrText>
            </w:r>
            <w:r w:rsidR="002D52EF">
              <w:rPr>
                <w:noProof/>
                <w:webHidden/>
              </w:rPr>
            </w:r>
            <w:r w:rsidR="002D52EF">
              <w:rPr>
                <w:noProof/>
                <w:webHidden/>
              </w:rPr>
              <w:fldChar w:fldCharType="separate"/>
            </w:r>
            <w:r w:rsidR="002D52EF">
              <w:rPr>
                <w:noProof/>
                <w:webHidden/>
              </w:rPr>
              <w:t>45</w:t>
            </w:r>
            <w:r w:rsidR="002D52EF">
              <w:rPr>
                <w:noProof/>
                <w:webHidden/>
              </w:rPr>
              <w:fldChar w:fldCharType="end"/>
            </w:r>
          </w:hyperlink>
        </w:p>
        <w:p w14:paraId="1685C5D3" w14:textId="7BE1F963" w:rsidR="002D52EF" w:rsidRDefault="00040C2B">
          <w:pPr>
            <w:pStyle w:val="TOC3"/>
            <w:tabs>
              <w:tab w:val="right" w:leader="dot" w:pos="9350"/>
            </w:tabs>
            <w:rPr>
              <w:noProof/>
              <w:sz w:val="22"/>
              <w:szCs w:val="22"/>
            </w:rPr>
          </w:pPr>
          <w:hyperlink w:anchor="_Toc57035160" w:history="1">
            <w:r w:rsidR="002D52EF" w:rsidRPr="008C6024">
              <w:rPr>
                <w:rStyle w:val="Hyperlink"/>
                <w:rFonts w:ascii="Arial" w:hAnsi="Arial" w:cs="Arial"/>
                <w:i/>
                <w:noProof/>
              </w:rPr>
              <w:t>Targeted program analyses: AGYW</w:t>
            </w:r>
            <w:r w:rsidR="002D52EF">
              <w:rPr>
                <w:noProof/>
                <w:webHidden/>
              </w:rPr>
              <w:tab/>
            </w:r>
            <w:r w:rsidR="002D52EF">
              <w:rPr>
                <w:noProof/>
                <w:webHidden/>
              </w:rPr>
              <w:fldChar w:fldCharType="begin"/>
            </w:r>
            <w:r w:rsidR="002D52EF">
              <w:rPr>
                <w:noProof/>
                <w:webHidden/>
              </w:rPr>
              <w:instrText xml:space="preserve"> PAGEREF _Toc57035160 \h </w:instrText>
            </w:r>
            <w:r w:rsidR="002D52EF">
              <w:rPr>
                <w:noProof/>
                <w:webHidden/>
              </w:rPr>
            </w:r>
            <w:r w:rsidR="002D52EF">
              <w:rPr>
                <w:noProof/>
                <w:webHidden/>
              </w:rPr>
              <w:fldChar w:fldCharType="separate"/>
            </w:r>
            <w:r w:rsidR="002D52EF">
              <w:rPr>
                <w:noProof/>
                <w:webHidden/>
              </w:rPr>
              <w:t>45</w:t>
            </w:r>
            <w:r w:rsidR="002D52EF">
              <w:rPr>
                <w:noProof/>
                <w:webHidden/>
              </w:rPr>
              <w:fldChar w:fldCharType="end"/>
            </w:r>
          </w:hyperlink>
        </w:p>
        <w:p w14:paraId="2502E2C1" w14:textId="57DFFE07" w:rsidR="002D52EF" w:rsidRDefault="00040C2B">
          <w:pPr>
            <w:pStyle w:val="TOC3"/>
            <w:tabs>
              <w:tab w:val="right" w:leader="dot" w:pos="9350"/>
            </w:tabs>
            <w:rPr>
              <w:noProof/>
              <w:sz w:val="22"/>
              <w:szCs w:val="22"/>
            </w:rPr>
          </w:pPr>
          <w:hyperlink w:anchor="_Toc57035161" w:history="1">
            <w:r w:rsidR="002D52EF" w:rsidRPr="008C6024">
              <w:rPr>
                <w:rStyle w:val="Hyperlink"/>
                <w:rFonts w:ascii="Arial" w:hAnsi="Arial" w:cs="Arial"/>
                <w:i/>
                <w:noProof/>
              </w:rPr>
              <w:t>Key assumptions and limitations of IC 2.0</w:t>
            </w:r>
            <w:r w:rsidR="002D52EF">
              <w:rPr>
                <w:noProof/>
                <w:webHidden/>
              </w:rPr>
              <w:tab/>
            </w:r>
            <w:r w:rsidR="002D52EF">
              <w:rPr>
                <w:noProof/>
                <w:webHidden/>
              </w:rPr>
              <w:fldChar w:fldCharType="begin"/>
            </w:r>
            <w:r w:rsidR="002D52EF">
              <w:rPr>
                <w:noProof/>
                <w:webHidden/>
              </w:rPr>
              <w:instrText xml:space="preserve"> PAGEREF _Toc57035161 \h </w:instrText>
            </w:r>
            <w:r w:rsidR="002D52EF">
              <w:rPr>
                <w:noProof/>
                <w:webHidden/>
              </w:rPr>
            </w:r>
            <w:r w:rsidR="002D52EF">
              <w:rPr>
                <w:noProof/>
                <w:webHidden/>
              </w:rPr>
              <w:fldChar w:fldCharType="separate"/>
            </w:r>
            <w:r w:rsidR="002D52EF">
              <w:rPr>
                <w:noProof/>
                <w:webHidden/>
              </w:rPr>
              <w:t>45</w:t>
            </w:r>
            <w:r w:rsidR="002D52EF">
              <w:rPr>
                <w:noProof/>
                <w:webHidden/>
              </w:rPr>
              <w:fldChar w:fldCharType="end"/>
            </w:r>
          </w:hyperlink>
        </w:p>
        <w:p w14:paraId="7AC1DB4E" w14:textId="5D90CFFA" w:rsidR="002D52EF" w:rsidRDefault="00040C2B">
          <w:pPr>
            <w:pStyle w:val="TOC3"/>
            <w:tabs>
              <w:tab w:val="right" w:leader="dot" w:pos="9350"/>
            </w:tabs>
            <w:rPr>
              <w:noProof/>
              <w:sz w:val="22"/>
              <w:szCs w:val="22"/>
            </w:rPr>
          </w:pPr>
          <w:hyperlink w:anchor="_Toc57035162" w:history="1">
            <w:r w:rsidR="002D52EF" w:rsidRPr="008C6024">
              <w:rPr>
                <w:rStyle w:val="Hyperlink"/>
                <w:rFonts w:ascii="Arial" w:hAnsi="Arial" w:cs="Arial"/>
                <w:i/>
                <w:noProof/>
              </w:rPr>
              <w:t>Data sources (see References)</w:t>
            </w:r>
            <w:r w:rsidR="002D52EF">
              <w:rPr>
                <w:noProof/>
                <w:webHidden/>
              </w:rPr>
              <w:tab/>
            </w:r>
            <w:r w:rsidR="002D52EF">
              <w:rPr>
                <w:noProof/>
                <w:webHidden/>
              </w:rPr>
              <w:fldChar w:fldCharType="begin"/>
            </w:r>
            <w:r w:rsidR="002D52EF">
              <w:rPr>
                <w:noProof/>
                <w:webHidden/>
              </w:rPr>
              <w:instrText xml:space="preserve"> PAGEREF _Toc57035162 \h </w:instrText>
            </w:r>
            <w:r w:rsidR="002D52EF">
              <w:rPr>
                <w:noProof/>
                <w:webHidden/>
              </w:rPr>
            </w:r>
            <w:r w:rsidR="002D52EF">
              <w:rPr>
                <w:noProof/>
                <w:webHidden/>
              </w:rPr>
              <w:fldChar w:fldCharType="separate"/>
            </w:r>
            <w:r w:rsidR="002D52EF">
              <w:rPr>
                <w:noProof/>
                <w:webHidden/>
              </w:rPr>
              <w:t>46</w:t>
            </w:r>
            <w:r w:rsidR="002D52EF">
              <w:rPr>
                <w:noProof/>
                <w:webHidden/>
              </w:rPr>
              <w:fldChar w:fldCharType="end"/>
            </w:r>
          </w:hyperlink>
        </w:p>
        <w:p w14:paraId="7A072D54" w14:textId="00F230DE" w:rsidR="002D52EF" w:rsidRDefault="00040C2B">
          <w:pPr>
            <w:pStyle w:val="TOC1"/>
            <w:tabs>
              <w:tab w:val="right" w:leader="dot" w:pos="9350"/>
            </w:tabs>
            <w:rPr>
              <w:noProof/>
              <w:sz w:val="22"/>
              <w:szCs w:val="22"/>
            </w:rPr>
          </w:pPr>
          <w:hyperlink w:anchor="_Toc57035163" w:history="1">
            <w:r w:rsidR="002D52EF" w:rsidRPr="008C6024">
              <w:rPr>
                <w:rStyle w:val="Hyperlink"/>
                <w:rFonts w:ascii="Arial" w:hAnsi="Arial" w:cs="Arial"/>
                <w:b/>
                <w:noProof/>
              </w:rPr>
              <w:t>CHAPTER 4: CONSTANT COVERAGE VS NATIONAL STRATEGY</w:t>
            </w:r>
            <w:r w:rsidR="002D52EF">
              <w:rPr>
                <w:noProof/>
                <w:webHidden/>
              </w:rPr>
              <w:tab/>
            </w:r>
            <w:r w:rsidR="002D52EF">
              <w:rPr>
                <w:noProof/>
                <w:webHidden/>
              </w:rPr>
              <w:fldChar w:fldCharType="begin"/>
            </w:r>
            <w:r w:rsidR="002D52EF">
              <w:rPr>
                <w:noProof/>
                <w:webHidden/>
              </w:rPr>
              <w:instrText xml:space="preserve"> PAGEREF _Toc57035163 \h </w:instrText>
            </w:r>
            <w:r w:rsidR="002D52EF">
              <w:rPr>
                <w:noProof/>
                <w:webHidden/>
              </w:rPr>
            </w:r>
            <w:r w:rsidR="002D52EF">
              <w:rPr>
                <w:noProof/>
                <w:webHidden/>
              </w:rPr>
              <w:fldChar w:fldCharType="separate"/>
            </w:r>
            <w:r w:rsidR="002D52EF">
              <w:rPr>
                <w:noProof/>
                <w:webHidden/>
              </w:rPr>
              <w:t>47</w:t>
            </w:r>
            <w:r w:rsidR="002D52EF">
              <w:rPr>
                <w:noProof/>
                <w:webHidden/>
              </w:rPr>
              <w:fldChar w:fldCharType="end"/>
            </w:r>
          </w:hyperlink>
        </w:p>
        <w:p w14:paraId="0062E23C" w14:textId="47A30D3B" w:rsidR="002D52EF" w:rsidRDefault="00040C2B">
          <w:pPr>
            <w:pStyle w:val="TOC2"/>
            <w:tabs>
              <w:tab w:val="right" w:leader="dot" w:pos="9350"/>
            </w:tabs>
            <w:rPr>
              <w:noProof/>
              <w:sz w:val="22"/>
              <w:szCs w:val="22"/>
            </w:rPr>
          </w:pPr>
          <w:hyperlink w:anchor="_Toc57035164" w:history="1">
            <w:r w:rsidR="002D52EF" w:rsidRPr="008C6024">
              <w:rPr>
                <w:rStyle w:val="Hyperlink"/>
                <w:rFonts w:ascii="Arial" w:hAnsi="Arial" w:cs="Arial"/>
                <w:b/>
                <w:noProof/>
              </w:rPr>
              <w:t>Constant Coverage Scenario</w:t>
            </w:r>
            <w:r w:rsidR="002D52EF">
              <w:rPr>
                <w:noProof/>
                <w:webHidden/>
              </w:rPr>
              <w:tab/>
            </w:r>
            <w:r w:rsidR="002D52EF">
              <w:rPr>
                <w:noProof/>
                <w:webHidden/>
              </w:rPr>
              <w:fldChar w:fldCharType="begin"/>
            </w:r>
            <w:r w:rsidR="002D52EF">
              <w:rPr>
                <w:noProof/>
                <w:webHidden/>
              </w:rPr>
              <w:instrText xml:space="preserve"> PAGEREF _Toc57035164 \h </w:instrText>
            </w:r>
            <w:r w:rsidR="002D52EF">
              <w:rPr>
                <w:noProof/>
                <w:webHidden/>
              </w:rPr>
            </w:r>
            <w:r w:rsidR="002D52EF">
              <w:rPr>
                <w:noProof/>
                <w:webHidden/>
              </w:rPr>
              <w:fldChar w:fldCharType="separate"/>
            </w:r>
            <w:r w:rsidR="002D52EF">
              <w:rPr>
                <w:noProof/>
                <w:webHidden/>
              </w:rPr>
              <w:t>47</w:t>
            </w:r>
            <w:r w:rsidR="002D52EF">
              <w:rPr>
                <w:noProof/>
                <w:webHidden/>
              </w:rPr>
              <w:fldChar w:fldCharType="end"/>
            </w:r>
          </w:hyperlink>
        </w:p>
        <w:p w14:paraId="6C8DCEDE" w14:textId="47EDEEA6" w:rsidR="002D52EF" w:rsidRDefault="00040C2B">
          <w:pPr>
            <w:pStyle w:val="TOC3"/>
            <w:tabs>
              <w:tab w:val="right" w:leader="dot" w:pos="9350"/>
            </w:tabs>
            <w:rPr>
              <w:noProof/>
              <w:sz w:val="22"/>
              <w:szCs w:val="22"/>
            </w:rPr>
          </w:pPr>
          <w:hyperlink w:anchor="_Toc57035165" w:history="1">
            <w:r w:rsidR="002D52EF" w:rsidRPr="008C6024">
              <w:rPr>
                <w:rStyle w:val="Hyperlink"/>
                <w:rFonts w:ascii="Arial" w:hAnsi="Arial" w:cs="Arial"/>
                <w:i/>
                <w:noProof/>
              </w:rPr>
              <w:t>Modeling assumptions</w:t>
            </w:r>
            <w:r w:rsidR="002D52EF">
              <w:rPr>
                <w:noProof/>
                <w:webHidden/>
              </w:rPr>
              <w:tab/>
            </w:r>
            <w:r w:rsidR="002D52EF">
              <w:rPr>
                <w:noProof/>
                <w:webHidden/>
              </w:rPr>
              <w:fldChar w:fldCharType="begin"/>
            </w:r>
            <w:r w:rsidR="002D52EF">
              <w:rPr>
                <w:noProof/>
                <w:webHidden/>
              </w:rPr>
              <w:instrText xml:space="preserve"> PAGEREF _Toc57035165 \h </w:instrText>
            </w:r>
            <w:r w:rsidR="002D52EF">
              <w:rPr>
                <w:noProof/>
                <w:webHidden/>
              </w:rPr>
            </w:r>
            <w:r w:rsidR="002D52EF">
              <w:rPr>
                <w:noProof/>
                <w:webHidden/>
              </w:rPr>
              <w:fldChar w:fldCharType="separate"/>
            </w:r>
            <w:r w:rsidR="002D52EF">
              <w:rPr>
                <w:noProof/>
                <w:webHidden/>
              </w:rPr>
              <w:t>47</w:t>
            </w:r>
            <w:r w:rsidR="002D52EF">
              <w:rPr>
                <w:noProof/>
                <w:webHidden/>
              </w:rPr>
              <w:fldChar w:fldCharType="end"/>
            </w:r>
          </w:hyperlink>
        </w:p>
        <w:p w14:paraId="174607E6" w14:textId="377E77AE" w:rsidR="002D52EF" w:rsidRDefault="00040C2B">
          <w:pPr>
            <w:pStyle w:val="TOC3"/>
            <w:tabs>
              <w:tab w:val="right" w:leader="dot" w:pos="9350"/>
            </w:tabs>
            <w:rPr>
              <w:noProof/>
              <w:sz w:val="22"/>
              <w:szCs w:val="22"/>
            </w:rPr>
          </w:pPr>
          <w:hyperlink w:anchor="_Toc57035166" w:history="1">
            <w:r w:rsidR="002D52EF" w:rsidRPr="008C6024">
              <w:rPr>
                <w:rStyle w:val="Hyperlink"/>
                <w:rFonts w:ascii="Arial" w:hAnsi="Arial" w:cs="Arial"/>
                <w:i/>
                <w:noProof/>
              </w:rPr>
              <w:t>Impact of Constant Coverage</w:t>
            </w:r>
            <w:r w:rsidR="002D52EF">
              <w:rPr>
                <w:noProof/>
                <w:webHidden/>
              </w:rPr>
              <w:tab/>
            </w:r>
            <w:r w:rsidR="002D52EF">
              <w:rPr>
                <w:noProof/>
                <w:webHidden/>
              </w:rPr>
              <w:fldChar w:fldCharType="begin"/>
            </w:r>
            <w:r w:rsidR="002D52EF">
              <w:rPr>
                <w:noProof/>
                <w:webHidden/>
              </w:rPr>
              <w:instrText xml:space="preserve"> PAGEREF _Toc57035166 \h </w:instrText>
            </w:r>
            <w:r w:rsidR="002D52EF">
              <w:rPr>
                <w:noProof/>
                <w:webHidden/>
              </w:rPr>
            </w:r>
            <w:r w:rsidR="002D52EF">
              <w:rPr>
                <w:noProof/>
                <w:webHidden/>
              </w:rPr>
              <w:fldChar w:fldCharType="separate"/>
            </w:r>
            <w:r w:rsidR="002D52EF">
              <w:rPr>
                <w:noProof/>
                <w:webHidden/>
              </w:rPr>
              <w:t>47</w:t>
            </w:r>
            <w:r w:rsidR="002D52EF">
              <w:rPr>
                <w:noProof/>
                <w:webHidden/>
              </w:rPr>
              <w:fldChar w:fldCharType="end"/>
            </w:r>
          </w:hyperlink>
        </w:p>
        <w:p w14:paraId="74A9BDF8" w14:textId="5773B6BA" w:rsidR="002D52EF" w:rsidRDefault="00040C2B">
          <w:pPr>
            <w:pStyle w:val="TOC3"/>
            <w:tabs>
              <w:tab w:val="right" w:leader="dot" w:pos="9350"/>
            </w:tabs>
            <w:rPr>
              <w:noProof/>
              <w:sz w:val="22"/>
              <w:szCs w:val="22"/>
            </w:rPr>
          </w:pPr>
          <w:hyperlink w:anchor="_Toc57035167" w:history="1">
            <w:r w:rsidR="002D52EF" w:rsidRPr="008C6024">
              <w:rPr>
                <w:rStyle w:val="Hyperlink"/>
                <w:rFonts w:ascii="Arial" w:hAnsi="Arial" w:cs="Arial"/>
                <w:i/>
                <w:noProof/>
              </w:rPr>
              <w:t>Costs of Constant Coverage</w:t>
            </w:r>
            <w:r w:rsidR="002D52EF">
              <w:rPr>
                <w:noProof/>
                <w:webHidden/>
              </w:rPr>
              <w:tab/>
            </w:r>
            <w:r w:rsidR="002D52EF">
              <w:rPr>
                <w:noProof/>
                <w:webHidden/>
              </w:rPr>
              <w:fldChar w:fldCharType="begin"/>
            </w:r>
            <w:r w:rsidR="002D52EF">
              <w:rPr>
                <w:noProof/>
                <w:webHidden/>
              </w:rPr>
              <w:instrText xml:space="preserve"> PAGEREF _Toc57035167 \h </w:instrText>
            </w:r>
            <w:r w:rsidR="002D52EF">
              <w:rPr>
                <w:noProof/>
                <w:webHidden/>
              </w:rPr>
            </w:r>
            <w:r w:rsidR="002D52EF">
              <w:rPr>
                <w:noProof/>
                <w:webHidden/>
              </w:rPr>
              <w:fldChar w:fldCharType="separate"/>
            </w:r>
            <w:r w:rsidR="002D52EF">
              <w:rPr>
                <w:noProof/>
                <w:webHidden/>
              </w:rPr>
              <w:t>48</w:t>
            </w:r>
            <w:r w:rsidR="002D52EF">
              <w:rPr>
                <w:noProof/>
                <w:webHidden/>
              </w:rPr>
              <w:fldChar w:fldCharType="end"/>
            </w:r>
          </w:hyperlink>
        </w:p>
        <w:p w14:paraId="2EE9D4DF" w14:textId="1F488358" w:rsidR="002D52EF" w:rsidRDefault="00040C2B">
          <w:pPr>
            <w:pStyle w:val="TOC3"/>
            <w:tabs>
              <w:tab w:val="right" w:leader="dot" w:pos="9350"/>
            </w:tabs>
            <w:rPr>
              <w:noProof/>
              <w:sz w:val="22"/>
              <w:szCs w:val="22"/>
            </w:rPr>
          </w:pPr>
          <w:hyperlink w:anchor="_Toc57035168" w:history="1">
            <w:r w:rsidR="002D52EF" w:rsidRPr="008C6024">
              <w:rPr>
                <w:rStyle w:val="Hyperlink"/>
                <w:rFonts w:ascii="Arial" w:hAnsi="Arial" w:cs="Arial"/>
                <w:i/>
                <w:noProof/>
              </w:rPr>
              <w:t>Takeaways of Constant Coverage</w:t>
            </w:r>
            <w:r w:rsidR="002D52EF">
              <w:rPr>
                <w:noProof/>
                <w:webHidden/>
              </w:rPr>
              <w:tab/>
            </w:r>
            <w:r w:rsidR="002D52EF">
              <w:rPr>
                <w:noProof/>
                <w:webHidden/>
              </w:rPr>
              <w:fldChar w:fldCharType="begin"/>
            </w:r>
            <w:r w:rsidR="002D52EF">
              <w:rPr>
                <w:noProof/>
                <w:webHidden/>
              </w:rPr>
              <w:instrText xml:space="preserve"> PAGEREF _Toc57035168 \h </w:instrText>
            </w:r>
            <w:r w:rsidR="002D52EF">
              <w:rPr>
                <w:noProof/>
                <w:webHidden/>
              </w:rPr>
            </w:r>
            <w:r w:rsidR="002D52EF">
              <w:rPr>
                <w:noProof/>
                <w:webHidden/>
              </w:rPr>
              <w:fldChar w:fldCharType="separate"/>
            </w:r>
            <w:r w:rsidR="002D52EF">
              <w:rPr>
                <w:noProof/>
                <w:webHidden/>
              </w:rPr>
              <w:t>49</w:t>
            </w:r>
            <w:r w:rsidR="002D52EF">
              <w:rPr>
                <w:noProof/>
                <w:webHidden/>
              </w:rPr>
              <w:fldChar w:fldCharType="end"/>
            </w:r>
          </w:hyperlink>
        </w:p>
        <w:p w14:paraId="5B983990" w14:textId="1F0E148E" w:rsidR="002D52EF" w:rsidRDefault="00040C2B">
          <w:pPr>
            <w:pStyle w:val="TOC2"/>
            <w:tabs>
              <w:tab w:val="right" w:leader="dot" w:pos="9350"/>
            </w:tabs>
            <w:rPr>
              <w:noProof/>
              <w:sz w:val="22"/>
              <w:szCs w:val="22"/>
            </w:rPr>
          </w:pPr>
          <w:hyperlink w:anchor="_Toc57035169" w:history="1">
            <w:r w:rsidR="002D52EF" w:rsidRPr="008C6024">
              <w:rPr>
                <w:rStyle w:val="Hyperlink"/>
                <w:rFonts w:ascii="Arial" w:hAnsi="Arial" w:cs="Arial"/>
                <w:b/>
                <w:noProof/>
              </w:rPr>
              <w:t>The National Strategy Scenario</w:t>
            </w:r>
            <w:r w:rsidR="002D52EF">
              <w:rPr>
                <w:noProof/>
                <w:webHidden/>
              </w:rPr>
              <w:tab/>
            </w:r>
            <w:r w:rsidR="002D52EF">
              <w:rPr>
                <w:noProof/>
                <w:webHidden/>
              </w:rPr>
              <w:fldChar w:fldCharType="begin"/>
            </w:r>
            <w:r w:rsidR="002D52EF">
              <w:rPr>
                <w:noProof/>
                <w:webHidden/>
              </w:rPr>
              <w:instrText xml:space="preserve"> PAGEREF _Toc57035169 \h </w:instrText>
            </w:r>
            <w:r w:rsidR="002D52EF">
              <w:rPr>
                <w:noProof/>
                <w:webHidden/>
              </w:rPr>
            </w:r>
            <w:r w:rsidR="002D52EF">
              <w:rPr>
                <w:noProof/>
                <w:webHidden/>
              </w:rPr>
              <w:fldChar w:fldCharType="separate"/>
            </w:r>
            <w:r w:rsidR="002D52EF">
              <w:rPr>
                <w:noProof/>
                <w:webHidden/>
              </w:rPr>
              <w:t>49</w:t>
            </w:r>
            <w:r w:rsidR="002D52EF">
              <w:rPr>
                <w:noProof/>
                <w:webHidden/>
              </w:rPr>
              <w:fldChar w:fldCharType="end"/>
            </w:r>
          </w:hyperlink>
        </w:p>
        <w:p w14:paraId="79E53F3F" w14:textId="725E4C1A" w:rsidR="002D52EF" w:rsidRDefault="00040C2B">
          <w:pPr>
            <w:pStyle w:val="TOC3"/>
            <w:tabs>
              <w:tab w:val="right" w:leader="dot" w:pos="9350"/>
            </w:tabs>
            <w:rPr>
              <w:noProof/>
              <w:sz w:val="22"/>
              <w:szCs w:val="22"/>
            </w:rPr>
          </w:pPr>
          <w:hyperlink w:anchor="_Toc57035170" w:history="1">
            <w:r w:rsidR="002D52EF" w:rsidRPr="008C6024">
              <w:rPr>
                <w:rStyle w:val="Hyperlink"/>
                <w:rFonts w:ascii="Arial" w:hAnsi="Arial" w:cs="Arial"/>
                <w:i/>
                <w:noProof/>
              </w:rPr>
              <w:t>Context: Ambitious national goals.</w:t>
            </w:r>
            <w:r w:rsidR="002D52EF">
              <w:rPr>
                <w:noProof/>
                <w:webHidden/>
              </w:rPr>
              <w:tab/>
            </w:r>
            <w:r w:rsidR="002D52EF">
              <w:rPr>
                <w:noProof/>
                <w:webHidden/>
              </w:rPr>
              <w:fldChar w:fldCharType="begin"/>
            </w:r>
            <w:r w:rsidR="002D52EF">
              <w:rPr>
                <w:noProof/>
                <w:webHidden/>
              </w:rPr>
              <w:instrText xml:space="preserve"> PAGEREF _Toc57035170 \h </w:instrText>
            </w:r>
            <w:r w:rsidR="002D52EF">
              <w:rPr>
                <w:noProof/>
                <w:webHidden/>
              </w:rPr>
            </w:r>
            <w:r w:rsidR="002D52EF">
              <w:rPr>
                <w:noProof/>
                <w:webHidden/>
              </w:rPr>
              <w:fldChar w:fldCharType="separate"/>
            </w:r>
            <w:r w:rsidR="002D52EF">
              <w:rPr>
                <w:noProof/>
                <w:webHidden/>
              </w:rPr>
              <w:t>49</w:t>
            </w:r>
            <w:r w:rsidR="002D52EF">
              <w:rPr>
                <w:noProof/>
                <w:webHidden/>
              </w:rPr>
              <w:fldChar w:fldCharType="end"/>
            </w:r>
          </w:hyperlink>
        </w:p>
        <w:p w14:paraId="6AB85057" w14:textId="2A499380" w:rsidR="002D52EF" w:rsidRDefault="00040C2B">
          <w:pPr>
            <w:pStyle w:val="TOC3"/>
            <w:tabs>
              <w:tab w:val="right" w:leader="dot" w:pos="9350"/>
            </w:tabs>
            <w:rPr>
              <w:noProof/>
              <w:sz w:val="22"/>
              <w:szCs w:val="22"/>
            </w:rPr>
          </w:pPr>
          <w:hyperlink w:anchor="_Toc57035171" w:history="1">
            <w:r w:rsidR="002D52EF" w:rsidRPr="008C6024">
              <w:rPr>
                <w:rStyle w:val="Hyperlink"/>
                <w:rFonts w:ascii="Arial" w:hAnsi="Arial" w:cs="Arial"/>
                <w:i/>
                <w:noProof/>
              </w:rPr>
              <w:t>Modeling assumptions</w:t>
            </w:r>
            <w:r w:rsidR="002D52EF">
              <w:rPr>
                <w:noProof/>
                <w:webHidden/>
              </w:rPr>
              <w:tab/>
            </w:r>
            <w:r w:rsidR="002D52EF">
              <w:rPr>
                <w:noProof/>
                <w:webHidden/>
              </w:rPr>
              <w:fldChar w:fldCharType="begin"/>
            </w:r>
            <w:r w:rsidR="002D52EF">
              <w:rPr>
                <w:noProof/>
                <w:webHidden/>
              </w:rPr>
              <w:instrText xml:space="preserve"> PAGEREF _Toc57035171 \h </w:instrText>
            </w:r>
            <w:r w:rsidR="002D52EF">
              <w:rPr>
                <w:noProof/>
                <w:webHidden/>
              </w:rPr>
            </w:r>
            <w:r w:rsidR="002D52EF">
              <w:rPr>
                <w:noProof/>
                <w:webHidden/>
              </w:rPr>
              <w:fldChar w:fldCharType="separate"/>
            </w:r>
            <w:r w:rsidR="002D52EF">
              <w:rPr>
                <w:noProof/>
                <w:webHidden/>
              </w:rPr>
              <w:t>50</w:t>
            </w:r>
            <w:r w:rsidR="002D52EF">
              <w:rPr>
                <w:noProof/>
                <w:webHidden/>
              </w:rPr>
              <w:fldChar w:fldCharType="end"/>
            </w:r>
          </w:hyperlink>
        </w:p>
        <w:p w14:paraId="3BEF0E92" w14:textId="26A5AEE1" w:rsidR="002D52EF" w:rsidRDefault="00040C2B">
          <w:pPr>
            <w:pStyle w:val="TOC3"/>
            <w:tabs>
              <w:tab w:val="right" w:leader="dot" w:pos="9350"/>
            </w:tabs>
            <w:rPr>
              <w:noProof/>
              <w:sz w:val="22"/>
              <w:szCs w:val="22"/>
            </w:rPr>
          </w:pPr>
          <w:hyperlink w:anchor="_Toc57035172" w:history="1">
            <w:r w:rsidR="002D52EF" w:rsidRPr="008C6024">
              <w:rPr>
                <w:rStyle w:val="Hyperlink"/>
                <w:rFonts w:ascii="Arial" w:hAnsi="Arial" w:cs="Arial"/>
                <w:i/>
                <w:noProof/>
              </w:rPr>
              <w:t>Impact of National Strategy</w:t>
            </w:r>
            <w:r w:rsidR="002D52EF">
              <w:rPr>
                <w:noProof/>
                <w:webHidden/>
              </w:rPr>
              <w:tab/>
            </w:r>
            <w:r w:rsidR="002D52EF">
              <w:rPr>
                <w:noProof/>
                <w:webHidden/>
              </w:rPr>
              <w:fldChar w:fldCharType="begin"/>
            </w:r>
            <w:r w:rsidR="002D52EF">
              <w:rPr>
                <w:noProof/>
                <w:webHidden/>
              </w:rPr>
              <w:instrText xml:space="preserve"> PAGEREF _Toc57035172 \h </w:instrText>
            </w:r>
            <w:r w:rsidR="002D52EF">
              <w:rPr>
                <w:noProof/>
                <w:webHidden/>
              </w:rPr>
            </w:r>
            <w:r w:rsidR="002D52EF">
              <w:rPr>
                <w:noProof/>
                <w:webHidden/>
              </w:rPr>
              <w:fldChar w:fldCharType="separate"/>
            </w:r>
            <w:r w:rsidR="002D52EF">
              <w:rPr>
                <w:noProof/>
                <w:webHidden/>
              </w:rPr>
              <w:t>50</w:t>
            </w:r>
            <w:r w:rsidR="002D52EF">
              <w:rPr>
                <w:noProof/>
                <w:webHidden/>
              </w:rPr>
              <w:fldChar w:fldCharType="end"/>
            </w:r>
          </w:hyperlink>
        </w:p>
        <w:p w14:paraId="5D0EBF45" w14:textId="7F8FFEE0" w:rsidR="002D52EF" w:rsidRDefault="00040C2B">
          <w:pPr>
            <w:pStyle w:val="TOC3"/>
            <w:tabs>
              <w:tab w:val="right" w:leader="dot" w:pos="9350"/>
            </w:tabs>
            <w:rPr>
              <w:noProof/>
              <w:sz w:val="22"/>
              <w:szCs w:val="22"/>
            </w:rPr>
          </w:pPr>
          <w:hyperlink w:anchor="_Toc57035173" w:history="1">
            <w:r w:rsidR="002D52EF" w:rsidRPr="008C6024">
              <w:rPr>
                <w:rStyle w:val="Hyperlink"/>
                <w:rFonts w:ascii="Arial" w:hAnsi="Arial" w:cs="Arial"/>
                <w:i/>
                <w:noProof/>
              </w:rPr>
              <w:t>Costs of National Strategy Scenario</w:t>
            </w:r>
            <w:r w:rsidR="002D52EF">
              <w:rPr>
                <w:noProof/>
                <w:webHidden/>
              </w:rPr>
              <w:tab/>
            </w:r>
            <w:r w:rsidR="002D52EF">
              <w:rPr>
                <w:noProof/>
                <w:webHidden/>
              </w:rPr>
              <w:fldChar w:fldCharType="begin"/>
            </w:r>
            <w:r w:rsidR="002D52EF">
              <w:rPr>
                <w:noProof/>
                <w:webHidden/>
              </w:rPr>
              <w:instrText xml:space="preserve"> PAGEREF _Toc57035173 \h </w:instrText>
            </w:r>
            <w:r w:rsidR="002D52EF">
              <w:rPr>
                <w:noProof/>
                <w:webHidden/>
              </w:rPr>
            </w:r>
            <w:r w:rsidR="002D52EF">
              <w:rPr>
                <w:noProof/>
                <w:webHidden/>
              </w:rPr>
              <w:fldChar w:fldCharType="separate"/>
            </w:r>
            <w:r w:rsidR="002D52EF">
              <w:rPr>
                <w:noProof/>
                <w:webHidden/>
              </w:rPr>
              <w:t>52</w:t>
            </w:r>
            <w:r w:rsidR="002D52EF">
              <w:rPr>
                <w:noProof/>
                <w:webHidden/>
              </w:rPr>
              <w:fldChar w:fldCharType="end"/>
            </w:r>
          </w:hyperlink>
        </w:p>
        <w:p w14:paraId="19CC97CE" w14:textId="7D2E529E" w:rsidR="002D52EF" w:rsidRDefault="00040C2B">
          <w:pPr>
            <w:pStyle w:val="TOC3"/>
            <w:tabs>
              <w:tab w:val="right" w:leader="dot" w:pos="9350"/>
            </w:tabs>
            <w:rPr>
              <w:noProof/>
              <w:sz w:val="22"/>
              <w:szCs w:val="22"/>
            </w:rPr>
          </w:pPr>
          <w:hyperlink w:anchor="_Toc57035174" w:history="1">
            <w:r w:rsidR="002D52EF" w:rsidRPr="008C6024">
              <w:rPr>
                <w:rStyle w:val="Hyperlink"/>
                <w:rFonts w:ascii="Arial" w:hAnsi="Arial" w:cs="Arial"/>
                <w:i/>
                <w:noProof/>
              </w:rPr>
              <w:t>Cost-effectiveness of National Strategy</w:t>
            </w:r>
            <w:r w:rsidR="002D52EF">
              <w:rPr>
                <w:noProof/>
                <w:webHidden/>
              </w:rPr>
              <w:tab/>
            </w:r>
            <w:r w:rsidR="002D52EF">
              <w:rPr>
                <w:noProof/>
                <w:webHidden/>
              </w:rPr>
              <w:fldChar w:fldCharType="begin"/>
            </w:r>
            <w:r w:rsidR="002D52EF">
              <w:rPr>
                <w:noProof/>
                <w:webHidden/>
              </w:rPr>
              <w:instrText xml:space="preserve"> PAGEREF _Toc57035174 \h </w:instrText>
            </w:r>
            <w:r w:rsidR="002D52EF">
              <w:rPr>
                <w:noProof/>
                <w:webHidden/>
              </w:rPr>
            </w:r>
            <w:r w:rsidR="002D52EF">
              <w:rPr>
                <w:noProof/>
                <w:webHidden/>
              </w:rPr>
              <w:fldChar w:fldCharType="separate"/>
            </w:r>
            <w:r w:rsidR="002D52EF">
              <w:rPr>
                <w:noProof/>
                <w:webHidden/>
              </w:rPr>
              <w:t>53</w:t>
            </w:r>
            <w:r w:rsidR="002D52EF">
              <w:rPr>
                <w:noProof/>
                <w:webHidden/>
              </w:rPr>
              <w:fldChar w:fldCharType="end"/>
            </w:r>
          </w:hyperlink>
        </w:p>
        <w:p w14:paraId="58E8763A" w14:textId="48E0043E" w:rsidR="002D52EF" w:rsidRDefault="00040C2B">
          <w:pPr>
            <w:pStyle w:val="TOC3"/>
            <w:tabs>
              <w:tab w:val="right" w:leader="dot" w:pos="9350"/>
            </w:tabs>
            <w:rPr>
              <w:noProof/>
              <w:sz w:val="22"/>
              <w:szCs w:val="22"/>
            </w:rPr>
          </w:pPr>
          <w:hyperlink w:anchor="_Toc57035175" w:history="1">
            <w:r w:rsidR="002D52EF" w:rsidRPr="008C6024">
              <w:rPr>
                <w:rStyle w:val="Hyperlink"/>
                <w:rFonts w:ascii="Arial" w:hAnsi="Arial" w:cs="Arial"/>
                <w:i/>
                <w:noProof/>
              </w:rPr>
              <w:t>Takeaways of National Strategy</w:t>
            </w:r>
            <w:r w:rsidR="002D52EF">
              <w:rPr>
                <w:noProof/>
                <w:webHidden/>
              </w:rPr>
              <w:tab/>
            </w:r>
            <w:r w:rsidR="002D52EF">
              <w:rPr>
                <w:noProof/>
                <w:webHidden/>
              </w:rPr>
              <w:fldChar w:fldCharType="begin"/>
            </w:r>
            <w:r w:rsidR="002D52EF">
              <w:rPr>
                <w:noProof/>
                <w:webHidden/>
              </w:rPr>
              <w:instrText xml:space="preserve"> PAGEREF _Toc57035175 \h </w:instrText>
            </w:r>
            <w:r w:rsidR="002D52EF">
              <w:rPr>
                <w:noProof/>
                <w:webHidden/>
              </w:rPr>
            </w:r>
            <w:r w:rsidR="002D52EF">
              <w:rPr>
                <w:noProof/>
                <w:webHidden/>
              </w:rPr>
              <w:fldChar w:fldCharType="separate"/>
            </w:r>
            <w:r w:rsidR="002D52EF">
              <w:rPr>
                <w:noProof/>
                <w:webHidden/>
              </w:rPr>
              <w:t>53</w:t>
            </w:r>
            <w:r w:rsidR="002D52EF">
              <w:rPr>
                <w:noProof/>
                <w:webHidden/>
              </w:rPr>
              <w:fldChar w:fldCharType="end"/>
            </w:r>
          </w:hyperlink>
        </w:p>
        <w:p w14:paraId="690C7858" w14:textId="7953CC9B" w:rsidR="002D52EF" w:rsidRDefault="00040C2B">
          <w:pPr>
            <w:pStyle w:val="TOC1"/>
            <w:tabs>
              <w:tab w:val="right" w:leader="dot" w:pos="9350"/>
            </w:tabs>
            <w:rPr>
              <w:noProof/>
              <w:sz w:val="22"/>
              <w:szCs w:val="22"/>
            </w:rPr>
          </w:pPr>
          <w:hyperlink w:anchor="_Toc57035176" w:history="1">
            <w:r w:rsidR="002D52EF" w:rsidRPr="008C6024">
              <w:rPr>
                <w:rStyle w:val="Hyperlink"/>
                <w:rFonts w:ascii="Arial" w:hAnsi="Arial" w:cs="Arial"/>
                <w:b/>
                <w:bCs/>
                <w:noProof/>
              </w:rPr>
              <w:t>CHAPTER 5: ACHIEVING NATIONAL GOALS MORE EFFICIENTLY</w:t>
            </w:r>
            <w:r w:rsidR="002D52EF">
              <w:rPr>
                <w:noProof/>
                <w:webHidden/>
              </w:rPr>
              <w:tab/>
            </w:r>
            <w:r w:rsidR="002D52EF">
              <w:rPr>
                <w:noProof/>
                <w:webHidden/>
              </w:rPr>
              <w:fldChar w:fldCharType="begin"/>
            </w:r>
            <w:r w:rsidR="002D52EF">
              <w:rPr>
                <w:noProof/>
                <w:webHidden/>
              </w:rPr>
              <w:instrText xml:space="preserve"> PAGEREF _Toc57035176 \h </w:instrText>
            </w:r>
            <w:r w:rsidR="002D52EF">
              <w:rPr>
                <w:noProof/>
                <w:webHidden/>
              </w:rPr>
            </w:r>
            <w:r w:rsidR="002D52EF">
              <w:rPr>
                <w:noProof/>
                <w:webHidden/>
              </w:rPr>
              <w:fldChar w:fldCharType="separate"/>
            </w:r>
            <w:r w:rsidR="002D52EF">
              <w:rPr>
                <w:noProof/>
                <w:webHidden/>
              </w:rPr>
              <w:t>55</w:t>
            </w:r>
            <w:r w:rsidR="002D52EF">
              <w:rPr>
                <w:noProof/>
                <w:webHidden/>
              </w:rPr>
              <w:fldChar w:fldCharType="end"/>
            </w:r>
          </w:hyperlink>
        </w:p>
        <w:p w14:paraId="1E71A9AD" w14:textId="1E0D2D31" w:rsidR="002D52EF" w:rsidRDefault="00040C2B">
          <w:pPr>
            <w:pStyle w:val="TOC2"/>
            <w:tabs>
              <w:tab w:val="right" w:leader="dot" w:pos="9350"/>
            </w:tabs>
            <w:rPr>
              <w:noProof/>
              <w:sz w:val="22"/>
              <w:szCs w:val="22"/>
            </w:rPr>
          </w:pPr>
          <w:hyperlink w:anchor="_Toc57035177" w:history="1">
            <w:r w:rsidR="002D52EF" w:rsidRPr="008C6024">
              <w:rPr>
                <w:rStyle w:val="Hyperlink"/>
                <w:rFonts w:ascii="Arial" w:hAnsi="Arial" w:cs="Arial"/>
                <w:b/>
                <w:noProof/>
              </w:rPr>
              <w:t>Prioritization of prevention spending</w:t>
            </w:r>
            <w:r w:rsidR="002D52EF">
              <w:rPr>
                <w:noProof/>
                <w:webHidden/>
              </w:rPr>
              <w:tab/>
            </w:r>
            <w:r w:rsidR="002D52EF">
              <w:rPr>
                <w:noProof/>
                <w:webHidden/>
              </w:rPr>
              <w:fldChar w:fldCharType="begin"/>
            </w:r>
            <w:r w:rsidR="002D52EF">
              <w:rPr>
                <w:noProof/>
                <w:webHidden/>
              </w:rPr>
              <w:instrText xml:space="preserve"> PAGEREF _Toc57035177 \h </w:instrText>
            </w:r>
            <w:r w:rsidR="002D52EF">
              <w:rPr>
                <w:noProof/>
                <w:webHidden/>
              </w:rPr>
            </w:r>
            <w:r w:rsidR="002D52EF">
              <w:rPr>
                <w:noProof/>
                <w:webHidden/>
              </w:rPr>
              <w:fldChar w:fldCharType="separate"/>
            </w:r>
            <w:r w:rsidR="002D52EF">
              <w:rPr>
                <w:noProof/>
                <w:webHidden/>
              </w:rPr>
              <w:t>55</w:t>
            </w:r>
            <w:r w:rsidR="002D52EF">
              <w:rPr>
                <w:noProof/>
                <w:webHidden/>
              </w:rPr>
              <w:fldChar w:fldCharType="end"/>
            </w:r>
          </w:hyperlink>
        </w:p>
        <w:p w14:paraId="0987264C" w14:textId="492641A9" w:rsidR="002D52EF" w:rsidRDefault="00040C2B">
          <w:pPr>
            <w:pStyle w:val="TOC3"/>
            <w:tabs>
              <w:tab w:val="right" w:leader="dot" w:pos="9350"/>
            </w:tabs>
            <w:rPr>
              <w:noProof/>
              <w:sz w:val="22"/>
              <w:szCs w:val="22"/>
            </w:rPr>
          </w:pPr>
          <w:hyperlink w:anchor="_Toc57035178" w:history="1">
            <w:r w:rsidR="002D52EF" w:rsidRPr="008C6024">
              <w:rPr>
                <w:rStyle w:val="Hyperlink"/>
                <w:rFonts w:ascii="Arial" w:hAnsi="Arial" w:cs="Arial"/>
                <w:i/>
                <w:noProof/>
              </w:rPr>
              <w:t>Prioritization of prevention interventions</w:t>
            </w:r>
            <w:r w:rsidR="002D52EF">
              <w:rPr>
                <w:noProof/>
                <w:webHidden/>
              </w:rPr>
              <w:tab/>
            </w:r>
            <w:r w:rsidR="002D52EF">
              <w:rPr>
                <w:noProof/>
                <w:webHidden/>
              </w:rPr>
              <w:fldChar w:fldCharType="begin"/>
            </w:r>
            <w:r w:rsidR="002D52EF">
              <w:rPr>
                <w:noProof/>
                <w:webHidden/>
              </w:rPr>
              <w:instrText xml:space="preserve"> PAGEREF _Toc57035178 \h </w:instrText>
            </w:r>
            <w:r w:rsidR="002D52EF">
              <w:rPr>
                <w:noProof/>
                <w:webHidden/>
              </w:rPr>
            </w:r>
            <w:r w:rsidR="002D52EF">
              <w:rPr>
                <w:noProof/>
                <w:webHidden/>
              </w:rPr>
              <w:fldChar w:fldCharType="separate"/>
            </w:r>
            <w:r w:rsidR="002D52EF">
              <w:rPr>
                <w:noProof/>
                <w:webHidden/>
              </w:rPr>
              <w:t>55</w:t>
            </w:r>
            <w:r w:rsidR="002D52EF">
              <w:rPr>
                <w:noProof/>
                <w:webHidden/>
              </w:rPr>
              <w:fldChar w:fldCharType="end"/>
            </w:r>
          </w:hyperlink>
        </w:p>
        <w:p w14:paraId="20D4D9EC" w14:textId="64044104" w:rsidR="002D52EF" w:rsidRDefault="00040C2B">
          <w:pPr>
            <w:pStyle w:val="TOC3"/>
            <w:tabs>
              <w:tab w:val="right" w:leader="dot" w:pos="9350"/>
            </w:tabs>
            <w:rPr>
              <w:noProof/>
              <w:sz w:val="22"/>
              <w:szCs w:val="22"/>
            </w:rPr>
          </w:pPr>
          <w:hyperlink w:anchor="_Toc57035179" w:history="1">
            <w:r w:rsidR="002D52EF" w:rsidRPr="008C6024">
              <w:rPr>
                <w:rStyle w:val="Hyperlink"/>
                <w:rFonts w:ascii="Arial" w:hAnsi="Arial" w:cs="Arial"/>
                <w:i/>
                <w:noProof/>
              </w:rPr>
              <w:t>Prioritization of geographies</w:t>
            </w:r>
            <w:r w:rsidR="002D52EF">
              <w:rPr>
                <w:noProof/>
                <w:webHidden/>
              </w:rPr>
              <w:tab/>
            </w:r>
            <w:r w:rsidR="002D52EF">
              <w:rPr>
                <w:noProof/>
                <w:webHidden/>
              </w:rPr>
              <w:fldChar w:fldCharType="begin"/>
            </w:r>
            <w:r w:rsidR="002D52EF">
              <w:rPr>
                <w:noProof/>
                <w:webHidden/>
              </w:rPr>
              <w:instrText xml:space="preserve"> PAGEREF _Toc57035179 \h </w:instrText>
            </w:r>
            <w:r w:rsidR="002D52EF">
              <w:rPr>
                <w:noProof/>
                <w:webHidden/>
              </w:rPr>
            </w:r>
            <w:r w:rsidR="002D52EF">
              <w:rPr>
                <w:noProof/>
                <w:webHidden/>
              </w:rPr>
              <w:fldChar w:fldCharType="separate"/>
            </w:r>
            <w:r w:rsidR="002D52EF">
              <w:rPr>
                <w:noProof/>
                <w:webHidden/>
              </w:rPr>
              <w:t>57</w:t>
            </w:r>
            <w:r w:rsidR="002D52EF">
              <w:rPr>
                <w:noProof/>
                <w:webHidden/>
              </w:rPr>
              <w:fldChar w:fldCharType="end"/>
            </w:r>
          </w:hyperlink>
        </w:p>
        <w:p w14:paraId="20B901F0" w14:textId="499A3458" w:rsidR="002D52EF" w:rsidRDefault="00040C2B">
          <w:pPr>
            <w:pStyle w:val="TOC2"/>
            <w:tabs>
              <w:tab w:val="right" w:leader="dot" w:pos="9350"/>
            </w:tabs>
            <w:rPr>
              <w:noProof/>
              <w:sz w:val="22"/>
              <w:szCs w:val="22"/>
            </w:rPr>
          </w:pPr>
          <w:hyperlink w:anchor="_Toc57035180" w:history="1">
            <w:r w:rsidR="002D52EF" w:rsidRPr="008C6024">
              <w:rPr>
                <w:rStyle w:val="Hyperlink"/>
                <w:rFonts w:ascii="Arial" w:hAnsi="Arial" w:cs="Arial"/>
                <w:b/>
                <w:noProof/>
              </w:rPr>
              <w:t>Technical efficiencies in ART delivery</w:t>
            </w:r>
            <w:r w:rsidR="002D52EF">
              <w:rPr>
                <w:noProof/>
                <w:webHidden/>
              </w:rPr>
              <w:tab/>
            </w:r>
            <w:r w:rsidR="002D52EF">
              <w:rPr>
                <w:noProof/>
                <w:webHidden/>
              </w:rPr>
              <w:fldChar w:fldCharType="begin"/>
            </w:r>
            <w:r w:rsidR="002D52EF">
              <w:rPr>
                <w:noProof/>
                <w:webHidden/>
              </w:rPr>
              <w:instrText xml:space="preserve"> PAGEREF _Toc57035180 \h </w:instrText>
            </w:r>
            <w:r w:rsidR="002D52EF">
              <w:rPr>
                <w:noProof/>
                <w:webHidden/>
              </w:rPr>
            </w:r>
            <w:r w:rsidR="002D52EF">
              <w:rPr>
                <w:noProof/>
                <w:webHidden/>
              </w:rPr>
              <w:fldChar w:fldCharType="separate"/>
            </w:r>
            <w:r w:rsidR="002D52EF">
              <w:rPr>
                <w:noProof/>
                <w:webHidden/>
              </w:rPr>
              <w:t>57</w:t>
            </w:r>
            <w:r w:rsidR="002D52EF">
              <w:rPr>
                <w:noProof/>
                <w:webHidden/>
              </w:rPr>
              <w:fldChar w:fldCharType="end"/>
            </w:r>
          </w:hyperlink>
        </w:p>
        <w:p w14:paraId="748C0770" w14:textId="53480BB5" w:rsidR="002D52EF" w:rsidRDefault="00040C2B">
          <w:pPr>
            <w:pStyle w:val="TOC3"/>
            <w:tabs>
              <w:tab w:val="right" w:leader="dot" w:pos="9350"/>
            </w:tabs>
            <w:rPr>
              <w:noProof/>
              <w:sz w:val="22"/>
              <w:szCs w:val="22"/>
            </w:rPr>
          </w:pPr>
          <w:hyperlink w:anchor="_Toc57035181" w:history="1">
            <w:r w:rsidR="002D52EF" w:rsidRPr="008C6024">
              <w:rPr>
                <w:rStyle w:val="Hyperlink"/>
                <w:rFonts w:ascii="Arial" w:hAnsi="Arial" w:cs="Arial"/>
                <w:i/>
                <w:noProof/>
              </w:rPr>
              <w:t>Dolutegravir-switch</w:t>
            </w:r>
            <w:r w:rsidR="002D52EF">
              <w:rPr>
                <w:noProof/>
                <w:webHidden/>
              </w:rPr>
              <w:tab/>
            </w:r>
            <w:r w:rsidR="002D52EF">
              <w:rPr>
                <w:noProof/>
                <w:webHidden/>
              </w:rPr>
              <w:fldChar w:fldCharType="begin"/>
            </w:r>
            <w:r w:rsidR="002D52EF">
              <w:rPr>
                <w:noProof/>
                <w:webHidden/>
              </w:rPr>
              <w:instrText xml:space="preserve"> PAGEREF _Toc57035181 \h </w:instrText>
            </w:r>
            <w:r w:rsidR="002D52EF">
              <w:rPr>
                <w:noProof/>
                <w:webHidden/>
              </w:rPr>
            </w:r>
            <w:r w:rsidR="002D52EF">
              <w:rPr>
                <w:noProof/>
                <w:webHidden/>
              </w:rPr>
              <w:fldChar w:fldCharType="separate"/>
            </w:r>
            <w:r w:rsidR="002D52EF">
              <w:rPr>
                <w:noProof/>
                <w:webHidden/>
              </w:rPr>
              <w:t>57</w:t>
            </w:r>
            <w:r w:rsidR="002D52EF">
              <w:rPr>
                <w:noProof/>
                <w:webHidden/>
              </w:rPr>
              <w:fldChar w:fldCharType="end"/>
            </w:r>
          </w:hyperlink>
        </w:p>
        <w:p w14:paraId="3B0636D1" w14:textId="0846E4B0" w:rsidR="002D52EF" w:rsidRDefault="00040C2B">
          <w:pPr>
            <w:pStyle w:val="TOC3"/>
            <w:tabs>
              <w:tab w:val="right" w:leader="dot" w:pos="9350"/>
            </w:tabs>
            <w:rPr>
              <w:noProof/>
              <w:sz w:val="22"/>
              <w:szCs w:val="22"/>
            </w:rPr>
          </w:pPr>
          <w:hyperlink w:anchor="_Toc57035182" w:history="1">
            <w:r w:rsidR="002D52EF" w:rsidRPr="008C6024">
              <w:rPr>
                <w:rStyle w:val="Hyperlink"/>
                <w:rFonts w:ascii="Arial" w:hAnsi="Arial" w:cs="Arial"/>
                <w:i/>
                <w:noProof/>
              </w:rPr>
              <w:t>Simplified lab testing algorithm for stable patients</w:t>
            </w:r>
            <w:r w:rsidR="002D52EF">
              <w:rPr>
                <w:noProof/>
                <w:webHidden/>
              </w:rPr>
              <w:tab/>
            </w:r>
            <w:r w:rsidR="002D52EF">
              <w:rPr>
                <w:noProof/>
                <w:webHidden/>
              </w:rPr>
              <w:fldChar w:fldCharType="begin"/>
            </w:r>
            <w:r w:rsidR="002D52EF">
              <w:rPr>
                <w:noProof/>
                <w:webHidden/>
              </w:rPr>
              <w:instrText xml:space="preserve"> PAGEREF _Toc57035182 \h </w:instrText>
            </w:r>
            <w:r w:rsidR="002D52EF">
              <w:rPr>
                <w:noProof/>
                <w:webHidden/>
              </w:rPr>
            </w:r>
            <w:r w:rsidR="002D52EF">
              <w:rPr>
                <w:noProof/>
                <w:webHidden/>
              </w:rPr>
              <w:fldChar w:fldCharType="separate"/>
            </w:r>
            <w:r w:rsidR="002D52EF">
              <w:rPr>
                <w:noProof/>
                <w:webHidden/>
              </w:rPr>
              <w:t>57</w:t>
            </w:r>
            <w:r w:rsidR="002D52EF">
              <w:rPr>
                <w:noProof/>
                <w:webHidden/>
              </w:rPr>
              <w:fldChar w:fldCharType="end"/>
            </w:r>
          </w:hyperlink>
        </w:p>
        <w:p w14:paraId="7871D5C0" w14:textId="17C79179" w:rsidR="002D52EF" w:rsidRDefault="00040C2B">
          <w:pPr>
            <w:pStyle w:val="TOC3"/>
            <w:tabs>
              <w:tab w:val="right" w:leader="dot" w:pos="9350"/>
            </w:tabs>
            <w:rPr>
              <w:noProof/>
              <w:sz w:val="22"/>
              <w:szCs w:val="22"/>
            </w:rPr>
          </w:pPr>
          <w:hyperlink w:anchor="_Toc57035183" w:history="1">
            <w:r w:rsidR="002D52EF" w:rsidRPr="008C6024">
              <w:rPr>
                <w:rStyle w:val="Hyperlink"/>
                <w:rFonts w:ascii="Arial" w:hAnsi="Arial" w:cs="Arial"/>
                <w:i/>
                <w:noProof/>
              </w:rPr>
              <w:t>Community-based support services for stable patients</w:t>
            </w:r>
            <w:r w:rsidR="002D52EF">
              <w:rPr>
                <w:noProof/>
                <w:webHidden/>
              </w:rPr>
              <w:tab/>
            </w:r>
            <w:r w:rsidR="002D52EF">
              <w:rPr>
                <w:noProof/>
                <w:webHidden/>
              </w:rPr>
              <w:fldChar w:fldCharType="begin"/>
            </w:r>
            <w:r w:rsidR="002D52EF">
              <w:rPr>
                <w:noProof/>
                <w:webHidden/>
              </w:rPr>
              <w:instrText xml:space="preserve"> PAGEREF _Toc57035183 \h </w:instrText>
            </w:r>
            <w:r w:rsidR="002D52EF">
              <w:rPr>
                <w:noProof/>
                <w:webHidden/>
              </w:rPr>
            </w:r>
            <w:r w:rsidR="002D52EF">
              <w:rPr>
                <w:noProof/>
                <w:webHidden/>
              </w:rPr>
              <w:fldChar w:fldCharType="separate"/>
            </w:r>
            <w:r w:rsidR="002D52EF">
              <w:rPr>
                <w:noProof/>
                <w:webHidden/>
              </w:rPr>
              <w:t>58</w:t>
            </w:r>
            <w:r w:rsidR="002D52EF">
              <w:rPr>
                <w:noProof/>
                <w:webHidden/>
              </w:rPr>
              <w:fldChar w:fldCharType="end"/>
            </w:r>
          </w:hyperlink>
        </w:p>
        <w:p w14:paraId="4222212F" w14:textId="202D804A" w:rsidR="002D52EF" w:rsidRDefault="00040C2B">
          <w:pPr>
            <w:pStyle w:val="TOC3"/>
            <w:tabs>
              <w:tab w:val="right" w:leader="dot" w:pos="9350"/>
            </w:tabs>
            <w:rPr>
              <w:noProof/>
              <w:sz w:val="22"/>
              <w:szCs w:val="22"/>
            </w:rPr>
          </w:pPr>
          <w:hyperlink w:anchor="_Toc57035184" w:history="1">
            <w:r w:rsidR="002D52EF" w:rsidRPr="008C6024">
              <w:rPr>
                <w:rStyle w:val="Hyperlink"/>
                <w:rFonts w:ascii="Arial" w:hAnsi="Arial" w:cs="Arial"/>
                <w:i/>
                <w:noProof/>
              </w:rPr>
              <w:t>Combined savings</w:t>
            </w:r>
            <w:r w:rsidR="002D52EF">
              <w:rPr>
                <w:noProof/>
                <w:webHidden/>
              </w:rPr>
              <w:tab/>
            </w:r>
            <w:r w:rsidR="002D52EF">
              <w:rPr>
                <w:noProof/>
                <w:webHidden/>
              </w:rPr>
              <w:fldChar w:fldCharType="begin"/>
            </w:r>
            <w:r w:rsidR="002D52EF">
              <w:rPr>
                <w:noProof/>
                <w:webHidden/>
              </w:rPr>
              <w:instrText xml:space="preserve"> PAGEREF _Toc57035184 \h </w:instrText>
            </w:r>
            <w:r w:rsidR="002D52EF">
              <w:rPr>
                <w:noProof/>
                <w:webHidden/>
              </w:rPr>
            </w:r>
            <w:r w:rsidR="002D52EF">
              <w:rPr>
                <w:noProof/>
                <w:webHidden/>
              </w:rPr>
              <w:fldChar w:fldCharType="separate"/>
            </w:r>
            <w:r w:rsidR="002D52EF">
              <w:rPr>
                <w:noProof/>
                <w:webHidden/>
              </w:rPr>
              <w:t>58</w:t>
            </w:r>
            <w:r w:rsidR="002D52EF">
              <w:rPr>
                <w:noProof/>
                <w:webHidden/>
              </w:rPr>
              <w:fldChar w:fldCharType="end"/>
            </w:r>
          </w:hyperlink>
        </w:p>
        <w:p w14:paraId="325FDA6C" w14:textId="7C7865C6" w:rsidR="002D52EF" w:rsidRDefault="00040C2B">
          <w:pPr>
            <w:pStyle w:val="TOC2"/>
            <w:tabs>
              <w:tab w:val="right" w:leader="dot" w:pos="9350"/>
            </w:tabs>
            <w:rPr>
              <w:noProof/>
              <w:sz w:val="22"/>
              <w:szCs w:val="22"/>
            </w:rPr>
          </w:pPr>
          <w:hyperlink w:anchor="_Toc57035185" w:history="1">
            <w:r w:rsidR="002D52EF" w:rsidRPr="008C6024">
              <w:rPr>
                <w:rStyle w:val="Hyperlink"/>
                <w:rFonts w:ascii="Arial" w:hAnsi="Arial" w:cs="Arial"/>
                <w:b/>
                <w:noProof/>
              </w:rPr>
              <w:t>Efficient strategy for targeted testing and counseling</w:t>
            </w:r>
            <w:r w:rsidR="002D52EF">
              <w:rPr>
                <w:noProof/>
                <w:webHidden/>
              </w:rPr>
              <w:tab/>
            </w:r>
            <w:r w:rsidR="002D52EF">
              <w:rPr>
                <w:noProof/>
                <w:webHidden/>
              </w:rPr>
              <w:fldChar w:fldCharType="begin"/>
            </w:r>
            <w:r w:rsidR="002D52EF">
              <w:rPr>
                <w:noProof/>
                <w:webHidden/>
              </w:rPr>
              <w:instrText xml:space="preserve"> PAGEREF _Toc57035185 \h </w:instrText>
            </w:r>
            <w:r w:rsidR="002D52EF">
              <w:rPr>
                <w:noProof/>
                <w:webHidden/>
              </w:rPr>
            </w:r>
            <w:r w:rsidR="002D52EF">
              <w:rPr>
                <w:noProof/>
                <w:webHidden/>
              </w:rPr>
              <w:fldChar w:fldCharType="separate"/>
            </w:r>
            <w:r w:rsidR="002D52EF">
              <w:rPr>
                <w:noProof/>
                <w:webHidden/>
              </w:rPr>
              <w:t>59</w:t>
            </w:r>
            <w:r w:rsidR="002D52EF">
              <w:rPr>
                <w:noProof/>
                <w:webHidden/>
              </w:rPr>
              <w:fldChar w:fldCharType="end"/>
            </w:r>
          </w:hyperlink>
        </w:p>
        <w:p w14:paraId="224B2C9D" w14:textId="149E1967" w:rsidR="002D52EF" w:rsidRDefault="00040C2B">
          <w:pPr>
            <w:pStyle w:val="TOC3"/>
            <w:tabs>
              <w:tab w:val="right" w:leader="dot" w:pos="9350"/>
            </w:tabs>
            <w:rPr>
              <w:noProof/>
              <w:sz w:val="22"/>
              <w:szCs w:val="22"/>
            </w:rPr>
          </w:pPr>
          <w:hyperlink w:anchor="_Toc57035186" w:history="1">
            <w:r w:rsidR="002D52EF" w:rsidRPr="008C6024">
              <w:rPr>
                <w:rStyle w:val="Hyperlink"/>
                <w:rFonts w:ascii="Arial" w:hAnsi="Arial" w:cs="Arial"/>
                <w:i/>
                <w:noProof/>
              </w:rPr>
              <w:t>Low testing coverage and need for targeting</w:t>
            </w:r>
            <w:r w:rsidR="002D52EF">
              <w:rPr>
                <w:noProof/>
                <w:webHidden/>
              </w:rPr>
              <w:tab/>
            </w:r>
            <w:r w:rsidR="002D52EF">
              <w:rPr>
                <w:noProof/>
                <w:webHidden/>
              </w:rPr>
              <w:fldChar w:fldCharType="begin"/>
            </w:r>
            <w:r w:rsidR="002D52EF">
              <w:rPr>
                <w:noProof/>
                <w:webHidden/>
              </w:rPr>
              <w:instrText xml:space="preserve"> PAGEREF _Toc57035186 \h </w:instrText>
            </w:r>
            <w:r w:rsidR="002D52EF">
              <w:rPr>
                <w:noProof/>
                <w:webHidden/>
              </w:rPr>
            </w:r>
            <w:r w:rsidR="002D52EF">
              <w:rPr>
                <w:noProof/>
                <w:webHidden/>
              </w:rPr>
              <w:fldChar w:fldCharType="separate"/>
            </w:r>
            <w:r w:rsidR="002D52EF">
              <w:rPr>
                <w:noProof/>
                <w:webHidden/>
              </w:rPr>
              <w:t>59</w:t>
            </w:r>
            <w:r w:rsidR="002D52EF">
              <w:rPr>
                <w:noProof/>
                <w:webHidden/>
              </w:rPr>
              <w:fldChar w:fldCharType="end"/>
            </w:r>
          </w:hyperlink>
        </w:p>
        <w:p w14:paraId="38FB5289" w14:textId="57CE1D1D" w:rsidR="002D52EF" w:rsidRDefault="00040C2B">
          <w:pPr>
            <w:pStyle w:val="TOC3"/>
            <w:tabs>
              <w:tab w:val="right" w:leader="dot" w:pos="9350"/>
            </w:tabs>
            <w:rPr>
              <w:noProof/>
              <w:sz w:val="22"/>
              <w:szCs w:val="22"/>
            </w:rPr>
          </w:pPr>
          <w:hyperlink w:anchor="_Toc57035187" w:history="1">
            <w:r w:rsidR="002D52EF" w:rsidRPr="008C6024">
              <w:rPr>
                <w:rStyle w:val="Hyperlink"/>
                <w:rFonts w:ascii="Arial" w:hAnsi="Arial" w:cs="Arial"/>
                <w:i/>
                <w:noProof/>
              </w:rPr>
              <w:t>Scaling-up targeted testing</w:t>
            </w:r>
            <w:r w:rsidR="002D52EF">
              <w:rPr>
                <w:noProof/>
                <w:webHidden/>
              </w:rPr>
              <w:tab/>
            </w:r>
            <w:r w:rsidR="002D52EF">
              <w:rPr>
                <w:noProof/>
                <w:webHidden/>
              </w:rPr>
              <w:fldChar w:fldCharType="begin"/>
            </w:r>
            <w:r w:rsidR="002D52EF">
              <w:rPr>
                <w:noProof/>
                <w:webHidden/>
              </w:rPr>
              <w:instrText xml:space="preserve"> PAGEREF _Toc57035187 \h </w:instrText>
            </w:r>
            <w:r w:rsidR="002D52EF">
              <w:rPr>
                <w:noProof/>
                <w:webHidden/>
              </w:rPr>
            </w:r>
            <w:r w:rsidR="002D52EF">
              <w:rPr>
                <w:noProof/>
                <w:webHidden/>
              </w:rPr>
              <w:fldChar w:fldCharType="separate"/>
            </w:r>
            <w:r w:rsidR="002D52EF">
              <w:rPr>
                <w:noProof/>
                <w:webHidden/>
              </w:rPr>
              <w:t>59</w:t>
            </w:r>
            <w:r w:rsidR="002D52EF">
              <w:rPr>
                <w:noProof/>
                <w:webHidden/>
              </w:rPr>
              <w:fldChar w:fldCharType="end"/>
            </w:r>
          </w:hyperlink>
        </w:p>
        <w:p w14:paraId="1C9A20E5" w14:textId="46A92922" w:rsidR="002D52EF" w:rsidRDefault="00040C2B">
          <w:pPr>
            <w:pStyle w:val="TOC3"/>
            <w:tabs>
              <w:tab w:val="right" w:leader="dot" w:pos="9350"/>
            </w:tabs>
            <w:rPr>
              <w:noProof/>
              <w:sz w:val="22"/>
              <w:szCs w:val="22"/>
            </w:rPr>
          </w:pPr>
          <w:hyperlink w:anchor="_Toc57035188" w:history="1">
            <w:r w:rsidR="002D52EF" w:rsidRPr="008C6024">
              <w:rPr>
                <w:rStyle w:val="Hyperlink"/>
                <w:rFonts w:ascii="Arial" w:hAnsi="Arial" w:cs="Arial"/>
                <w:i/>
                <w:noProof/>
              </w:rPr>
              <w:t>Impact on testing coverage</w:t>
            </w:r>
            <w:r w:rsidR="002D52EF">
              <w:rPr>
                <w:noProof/>
                <w:webHidden/>
              </w:rPr>
              <w:tab/>
            </w:r>
            <w:r w:rsidR="002D52EF">
              <w:rPr>
                <w:noProof/>
                <w:webHidden/>
              </w:rPr>
              <w:fldChar w:fldCharType="begin"/>
            </w:r>
            <w:r w:rsidR="002D52EF">
              <w:rPr>
                <w:noProof/>
                <w:webHidden/>
              </w:rPr>
              <w:instrText xml:space="preserve"> PAGEREF _Toc57035188 \h </w:instrText>
            </w:r>
            <w:r w:rsidR="002D52EF">
              <w:rPr>
                <w:noProof/>
                <w:webHidden/>
              </w:rPr>
            </w:r>
            <w:r w:rsidR="002D52EF">
              <w:rPr>
                <w:noProof/>
                <w:webHidden/>
              </w:rPr>
              <w:fldChar w:fldCharType="separate"/>
            </w:r>
            <w:r w:rsidR="002D52EF">
              <w:rPr>
                <w:noProof/>
                <w:webHidden/>
              </w:rPr>
              <w:t>60</w:t>
            </w:r>
            <w:r w:rsidR="002D52EF">
              <w:rPr>
                <w:noProof/>
                <w:webHidden/>
              </w:rPr>
              <w:fldChar w:fldCharType="end"/>
            </w:r>
          </w:hyperlink>
        </w:p>
        <w:p w14:paraId="5FECC3D6" w14:textId="590F9BC7" w:rsidR="002D52EF" w:rsidRDefault="00040C2B">
          <w:pPr>
            <w:pStyle w:val="TOC3"/>
            <w:tabs>
              <w:tab w:val="right" w:leader="dot" w:pos="9350"/>
            </w:tabs>
            <w:rPr>
              <w:noProof/>
              <w:sz w:val="22"/>
              <w:szCs w:val="22"/>
            </w:rPr>
          </w:pPr>
          <w:hyperlink w:anchor="_Toc57035189" w:history="1">
            <w:r w:rsidR="002D52EF" w:rsidRPr="008C6024">
              <w:rPr>
                <w:rStyle w:val="Hyperlink"/>
                <w:rFonts w:ascii="Arial" w:hAnsi="Arial" w:cs="Arial"/>
                <w:i/>
                <w:noProof/>
              </w:rPr>
              <w:t>Costs of testing scale-up</w:t>
            </w:r>
            <w:r w:rsidR="002D52EF">
              <w:rPr>
                <w:noProof/>
                <w:webHidden/>
              </w:rPr>
              <w:tab/>
            </w:r>
            <w:r w:rsidR="002D52EF">
              <w:rPr>
                <w:noProof/>
                <w:webHidden/>
              </w:rPr>
              <w:fldChar w:fldCharType="begin"/>
            </w:r>
            <w:r w:rsidR="002D52EF">
              <w:rPr>
                <w:noProof/>
                <w:webHidden/>
              </w:rPr>
              <w:instrText xml:space="preserve"> PAGEREF _Toc57035189 \h </w:instrText>
            </w:r>
            <w:r w:rsidR="002D52EF">
              <w:rPr>
                <w:noProof/>
                <w:webHidden/>
              </w:rPr>
            </w:r>
            <w:r w:rsidR="002D52EF">
              <w:rPr>
                <w:noProof/>
                <w:webHidden/>
              </w:rPr>
              <w:fldChar w:fldCharType="separate"/>
            </w:r>
            <w:r w:rsidR="002D52EF">
              <w:rPr>
                <w:noProof/>
                <w:webHidden/>
              </w:rPr>
              <w:t>61</w:t>
            </w:r>
            <w:r w:rsidR="002D52EF">
              <w:rPr>
                <w:noProof/>
                <w:webHidden/>
              </w:rPr>
              <w:fldChar w:fldCharType="end"/>
            </w:r>
          </w:hyperlink>
        </w:p>
        <w:p w14:paraId="1921CFFF" w14:textId="146005BE" w:rsidR="002D52EF" w:rsidRDefault="00040C2B">
          <w:pPr>
            <w:pStyle w:val="TOC2"/>
            <w:tabs>
              <w:tab w:val="right" w:leader="dot" w:pos="9350"/>
            </w:tabs>
            <w:rPr>
              <w:noProof/>
              <w:sz w:val="22"/>
              <w:szCs w:val="22"/>
            </w:rPr>
          </w:pPr>
          <w:hyperlink w:anchor="_Toc57035190" w:history="1">
            <w:r w:rsidR="002D52EF" w:rsidRPr="008C6024">
              <w:rPr>
                <w:rStyle w:val="Hyperlink"/>
                <w:rFonts w:ascii="Arial" w:hAnsi="Arial" w:cs="Arial"/>
                <w:b/>
                <w:noProof/>
              </w:rPr>
              <w:t>Optimization of Constant Coverage funding</w:t>
            </w:r>
            <w:r w:rsidR="002D52EF">
              <w:rPr>
                <w:noProof/>
                <w:webHidden/>
              </w:rPr>
              <w:tab/>
            </w:r>
            <w:r w:rsidR="002D52EF">
              <w:rPr>
                <w:noProof/>
                <w:webHidden/>
              </w:rPr>
              <w:fldChar w:fldCharType="begin"/>
            </w:r>
            <w:r w:rsidR="002D52EF">
              <w:rPr>
                <w:noProof/>
                <w:webHidden/>
              </w:rPr>
              <w:instrText xml:space="preserve"> PAGEREF _Toc57035190 \h </w:instrText>
            </w:r>
            <w:r w:rsidR="002D52EF">
              <w:rPr>
                <w:noProof/>
                <w:webHidden/>
              </w:rPr>
            </w:r>
            <w:r w:rsidR="002D52EF">
              <w:rPr>
                <w:noProof/>
                <w:webHidden/>
              </w:rPr>
              <w:fldChar w:fldCharType="separate"/>
            </w:r>
            <w:r w:rsidR="002D52EF">
              <w:rPr>
                <w:noProof/>
                <w:webHidden/>
              </w:rPr>
              <w:t>62</w:t>
            </w:r>
            <w:r w:rsidR="002D52EF">
              <w:rPr>
                <w:noProof/>
                <w:webHidden/>
              </w:rPr>
              <w:fldChar w:fldCharType="end"/>
            </w:r>
          </w:hyperlink>
        </w:p>
        <w:p w14:paraId="413528A7" w14:textId="5721D9F6" w:rsidR="002D52EF" w:rsidRDefault="00040C2B">
          <w:pPr>
            <w:pStyle w:val="TOC3"/>
            <w:tabs>
              <w:tab w:val="right" w:leader="dot" w:pos="9350"/>
            </w:tabs>
            <w:rPr>
              <w:noProof/>
              <w:sz w:val="22"/>
              <w:szCs w:val="22"/>
            </w:rPr>
          </w:pPr>
          <w:hyperlink w:anchor="_Toc57035191" w:history="1">
            <w:r w:rsidR="002D52EF" w:rsidRPr="008C6024">
              <w:rPr>
                <w:rStyle w:val="Hyperlink"/>
                <w:rFonts w:ascii="Arial" w:hAnsi="Arial" w:cs="Arial"/>
                <w:i/>
                <w:noProof/>
              </w:rPr>
              <w:t>Modeling assumptions</w:t>
            </w:r>
            <w:r w:rsidR="002D52EF">
              <w:rPr>
                <w:noProof/>
                <w:webHidden/>
              </w:rPr>
              <w:tab/>
            </w:r>
            <w:r w:rsidR="002D52EF">
              <w:rPr>
                <w:noProof/>
                <w:webHidden/>
              </w:rPr>
              <w:fldChar w:fldCharType="begin"/>
            </w:r>
            <w:r w:rsidR="002D52EF">
              <w:rPr>
                <w:noProof/>
                <w:webHidden/>
              </w:rPr>
              <w:instrText xml:space="preserve"> PAGEREF _Toc57035191 \h </w:instrText>
            </w:r>
            <w:r w:rsidR="002D52EF">
              <w:rPr>
                <w:noProof/>
                <w:webHidden/>
              </w:rPr>
            </w:r>
            <w:r w:rsidR="002D52EF">
              <w:rPr>
                <w:noProof/>
                <w:webHidden/>
              </w:rPr>
              <w:fldChar w:fldCharType="separate"/>
            </w:r>
            <w:r w:rsidR="002D52EF">
              <w:rPr>
                <w:noProof/>
                <w:webHidden/>
              </w:rPr>
              <w:t>62</w:t>
            </w:r>
            <w:r w:rsidR="002D52EF">
              <w:rPr>
                <w:noProof/>
                <w:webHidden/>
              </w:rPr>
              <w:fldChar w:fldCharType="end"/>
            </w:r>
          </w:hyperlink>
        </w:p>
        <w:p w14:paraId="2F655F4B" w14:textId="49330903" w:rsidR="002D52EF" w:rsidRDefault="00040C2B">
          <w:pPr>
            <w:pStyle w:val="TOC3"/>
            <w:tabs>
              <w:tab w:val="right" w:leader="dot" w:pos="9350"/>
            </w:tabs>
            <w:rPr>
              <w:noProof/>
              <w:sz w:val="22"/>
              <w:szCs w:val="22"/>
            </w:rPr>
          </w:pPr>
          <w:hyperlink w:anchor="_Toc57035192" w:history="1">
            <w:r w:rsidR="002D52EF" w:rsidRPr="008C6024">
              <w:rPr>
                <w:rStyle w:val="Hyperlink"/>
                <w:rFonts w:ascii="Arial" w:hAnsi="Arial" w:cs="Arial"/>
                <w:i/>
                <w:noProof/>
              </w:rPr>
              <w:t>Disease impact of Optimization at Scale</w:t>
            </w:r>
            <w:r w:rsidR="002D52EF">
              <w:rPr>
                <w:noProof/>
                <w:webHidden/>
              </w:rPr>
              <w:tab/>
            </w:r>
            <w:r w:rsidR="002D52EF">
              <w:rPr>
                <w:noProof/>
                <w:webHidden/>
              </w:rPr>
              <w:fldChar w:fldCharType="begin"/>
            </w:r>
            <w:r w:rsidR="002D52EF">
              <w:rPr>
                <w:noProof/>
                <w:webHidden/>
              </w:rPr>
              <w:instrText xml:space="preserve"> PAGEREF _Toc57035192 \h </w:instrText>
            </w:r>
            <w:r w:rsidR="002D52EF">
              <w:rPr>
                <w:noProof/>
                <w:webHidden/>
              </w:rPr>
            </w:r>
            <w:r w:rsidR="002D52EF">
              <w:rPr>
                <w:noProof/>
                <w:webHidden/>
              </w:rPr>
              <w:fldChar w:fldCharType="separate"/>
            </w:r>
            <w:r w:rsidR="002D52EF">
              <w:rPr>
                <w:noProof/>
                <w:webHidden/>
              </w:rPr>
              <w:t>62</w:t>
            </w:r>
            <w:r w:rsidR="002D52EF">
              <w:rPr>
                <w:noProof/>
                <w:webHidden/>
              </w:rPr>
              <w:fldChar w:fldCharType="end"/>
            </w:r>
          </w:hyperlink>
        </w:p>
        <w:p w14:paraId="5F0584CE" w14:textId="6950F6AF" w:rsidR="002D52EF" w:rsidRDefault="00040C2B">
          <w:pPr>
            <w:pStyle w:val="TOC3"/>
            <w:tabs>
              <w:tab w:val="right" w:leader="dot" w:pos="9350"/>
            </w:tabs>
            <w:rPr>
              <w:noProof/>
              <w:sz w:val="22"/>
              <w:szCs w:val="22"/>
            </w:rPr>
          </w:pPr>
          <w:hyperlink w:anchor="_Toc57035193" w:history="1">
            <w:r w:rsidR="002D52EF" w:rsidRPr="008C6024">
              <w:rPr>
                <w:rStyle w:val="Hyperlink"/>
                <w:rFonts w:ascii="Arial" w:hAnsi="Arial" w:cs="Arial"/>
                <w:i/>
                <w:noProof/>
              </w:rPr>
              <w:t>Cost-effectiveness of Optimization</w:t>
            </w:r>
            <w:r w:rsidR="002D52EF">
              <w:rPr>
                <w:noProof/>
                <w:webHidden/>
              </w:rPr>
              <w:tab/>
            </w:r>
            <w:r w:rsidR="002D52EF">
              <w:rPr>
                <w:noProof/>
                <w:webHidden/>
              </w:rPr>
              <w:fldChar w:fldCharType="begin"/>
            </w:r>
            <w:r w:rsidR="002D52EF">
              <w:rPr>
                <w:noProof/>
                <w:webHidden/>
              </w:rPr>
              <w:instrText xml:space="preserve"> PAGEREF _Toc57035193 \h </w:instrText>
            </w:r>
            <w:r w:rsidR="002D52EF">
              <w:rPr>
                <w:noProof/>
                <w:webHidden/>
              </w:rPr>
            </w:r>
            <w:r w:rsidR="002D52EF">
              <w:rPr>
                <w:noProof/>
                <w:webHidden/>
              </w:rPr>
              <w:fldChar w:fldCharType="separate"/>
            </w:r>
            <w:r w:rsidR="002D52EF">
              <w:rPr>
                <w:noProof/>
                <w:webHidden/>
              </w:rPr>
              <w:t>63</w:t>
            </w:r>
            <w:r w:rsidR="002D52EF">
              <w:rPr>
                <w:noProof/>
                <w:webHidden/>
              </w:rPr>
              <w:fldChar w:fldCharType="end"/>
            </w:r>
          </w:hyperlink>
        </w:p>
        <w:p w14:paraId="71C4B464" w14:textId="10A49DAD" w:rsidR="002D52EF" w:rsidRDefault="00040C2B">
          <w:pPr>
            <w:pStyle w:val="TOC2"/>
            <w:tabs>
              <w:tab w:val="right" w:leader="dot" w:pos="9350"/>
            </w:tabs>
            <w:rPr>
              <w:noProof/>
              <w:sz w:val="22"/>
              <w:szCs w:val="22"/>
            </w:rPr>
          </w:pPr>
          <w:hyperlink w:anchor="_Toc57035194" w:history="1">
            <w:r w:rsidR="002D52EF" w:rsidRPr="008C6024">
              <w:rPr>
                <w:rStyle w:val="Hyperlink"/>
                <w:rFonts w:ascii="Arial" w:hAnsi="Arial" w:cs="Arial"/>
                <w:i/>
                <w:noProof/>
              </w:rPr>
              <w:t>Key Takeaways of Optimization</w:t>
            </w:r>
            <w:r w:rsidR="002D52EF">
              <w:rPr>
                <w:noProof/>
                <w:webHidden/>
              </w:rPr>
              <w:tab/>
            </w:r>
            <w:r w:rsidR="002D52EF">
              <w:rPr>
                <w:noProof/>
                <w:webHidden/>
              </w:rPr>
              <w:fldChar w:fldCharType="begin"/>
            </w:r>
            <w:r w:rsidR="002D52EF">
              <w:rPr>
                <w:noProof/>
                <w:webHidden/>
              </w:rPr>
              <w:instrText xml:space="preserve"> PAGEREF _Toc57035194 \h </w:instrText>
            </w:r>
            <w:r w:rsidR="002D52EF">
              <w:rPr>
                <w:noProof/>
                <w:webHidden/>
              </w:rPr>
            </w:r>
            <w:r w:rsidR="002D52EF">
              <w:rPr>
                <w:noProof/>
                <w:webHidden/>
              </w:rPr>
              <w:fldChar w:fldCharType="separate"/>
            </w:r>
            <w:r w:rsidR="002D52EF">
              <w:rPr>
                <w:noProof/>
                <w:webHidden/>
              </w:rPr>
              <w:t>64</w:t>
            </w:r>
            <w:r w:rsidR="002D52EF">
              <w:rPr>
                <w:noProof/>
                <w:webHidden/>
              </w:rPr>
              <w:fldChar w:fldCharType="end"/>
            </w:r>
          </w:hyperlink>
        </w:p>
        <w:p w14:paraId="22494D33" w14:textId="0BCF9CD4" w:rsidR="002D52EF" w:rsidRDefault="00040C2B">
          <w:pPr>
            <w:pStyle w:val="TOC1"/>
            <w:tabs>
              <w:tab w:val="right" w:leader="dot" w:pos="9350"/>
            </w:tabs>
            <w:rPr>
              <w:noProof/>
              <w:sz w:val="22"/>
              <w:szCs w:val="22"/>
            </w:rPr>
          </w:pPr>
          <w:hyperlink w:anchor="_Toc57035195" w:history="1">
            <w:r w:rsidR="002D52EF" w:rsidRPr="008C6024">
              <w:rPr>
                <w:rStyle w:val="Hyperlink"/>
                <w:rFonts w:ascii="Arial" w:hAnsi="Arial" w:cs="Arial"/>
                <w:b/>
                <w:noProof/>
              </w:rPr>
              <w:t>CHAPTER 6: ADDRESSING POTENTIAL DECLINES IN DONOR FUNDING</w:t>
            </w:r>
            <w:r w:rsidR="002D52EF">
              <w:rPr>
                <w:noProof/>
                <w:webHidden/>
              </w:rPr>
              <w:tab/>
            </w:r>
            <w:r w:rsidR="002D52EF">
              <w:rPr>
                <w:noProof/>
                <w:webHidden/>
              </w:rPr>
              <w:fldChar w:fldCharType="begin"/>
            </w:r>
            <w:r w:rsidR="002D52EF">
              <w:rPr>
                <w:noProof/>
                <w:webHidden/>
              </w:rPr>
              <w:instrText xml:space="preserve"> PAGEREF _Toc57035195 \h </w:instrText>
            </w:r>
            <w:r w:rsidR="002D52EF">
              <w:rPr>
                <w:noProof/>
                <w:webHidden/>
              </w:rPr>
            </w:r>
            <w:r w:rsidR="002D52EF">
              <w:rPr>
                <w:noProof/>
                <w:webHidden/>
              </w:rPr>
              <w:fldChar w:fldCharType="separate"/>
            </w:r>
            <w:r w:rsidR="002D52EF">
              <w:rPr>
                <w:noProof/>
                <w:webHidden/>
              </w:rPr>
              <w:t>66</w:t>
            </w:r>
            <w:r w:rsidR="002D52EF">
              <w:rPr>
                <w:noProof/>
                <w:webHidden/>
              </w:rPr>
              <w:fldChar w:fldCharType="end"/>
            </w:r>
          </w:hyperlink>
        </w:p>
        <w:p w14:paraId="71237484" w14:textId="7BD7927B" w:rsidR="002D52EF" w:rsidRDefault="00040C2B">
          <w:pPr>
            <w:pStyle w:val="TOC2"/>
            <w:tabs>
              <w:tab w:val="right" w:leader="dot" w:pos="9350"/>
            </w:tabs>
            <w:rPr>
              <w:noProof/>
              <w:sz w:val="22"/>
              <w:szCs w:val="22"/>
            </w:rPr>
          </w:pPr>
          <w:hyperlink w:anchor="_Toc57035196" w:history="1">
            <w:r w:rsidR="002D52EF" w:rsidRPr="008C6024">
              <w:rPr>
                <w:rStyle w:val="Hyperlink"/>
                <w:rFonts w:ascii="Arial" w:hAnsi="Arial" w:cs="Arial"/>
                <w:b/>
                <w:noProof/>
              </w:rPr>
              <w:t>Context: Anticipated declines</w:t>
            </w:r>
            <w:r w:rsidR="002D52EF">
              <w:rPr>
                <w:noProof/>
                <w:webHidden/>
              </w:rPr>
              <w:tab/>
            </w:r>
            <w:r w:rsidR="002D52EF">
              <w:rPr>
                <w:noProof/>
                <w:webHidden/>
              </w:rPr>
              <w:fldChar w:fldCharType="begin"/>
            </w:r>
            <w:r w:rsidR="002D52EF">
              <w:rPr>
                <w:noProof/>
                <w:webHidden/>
              </w:rPr>
              <w:instrText xml:space="preserve"> PAGEREF _Toc57035196 \h </w:instrText>
            </w:r>
            <w:r w:rsidR="002D52EF">
              <w:rPr>
                <w:noProof/>
                <w:webHidden/>
              </w:rPr>
            </w:r>
            <w:r w:rsidR="002D52EF">
              <w:rPr>
                <w:noProof/>
                <w:webHidden/>
              </w:rPr>
              <w:fldChar w:fldCharType="separate"/>
            </w:r>
            <w:r w:rsidR="002D52EF">
              <w:rPr>
                <w:noProof/>
                <w:webHidden/>
              </w:rPr>
              <w:t>66</w:t>
            </w:r>
            <w:r w:rsidR="002D52EF">
              <w:rPr>
                <w:noProof/>
                <w:webHidden/>
              </w:rPr>
              <w:fldChar w:fldCharType="end"/>
            </w:r>
          </w:hyperlink>
        </w:p>
        <w:p w14:paraId="7839E7BB" w14:textId="23BF231C" w:rsidR="002D52EF" w:rsidRDefault="00040C2B">
          <w:pPr>
            <w:pStyle w:val="TOC3"/>
            <w:tabs>
              <w:tab w:val="right" w:leader="dot" w:pos="9350"/>
            </w:tabs>
            <w:rPr>
              <w:noProof/>
              <w:sz w:val="22"/>
              <w:szCs w:val="22"/>
            </w:rPr>
          </w:pPr>
          <w:hyperlink w:anchor="_Toc57035197" w:history="1">
            <w:r w:rsidR="002D52EF" w:rsidRPr="008C6024">
              <w:rPr>
                <w:rStyle w:val="Hyperlink"/>
                <w:rFonts w:ascii="Arial" w:hAnsi="Arial" w:cs="Arial"/>
                <w:i/>
                <w:noProof/>
              </w:rPr>
              <w:t>PEPFAR</w:t>
            </w:r>
            <w:r w:rsidR="002D52EF">
              <w:rPr>
                <w:noProof/>
                <w:webHidden/>
              </w:rPr>
              <w:tab/>
            </w:r>
            <w:r w:rsidR="002D52EF">
              <w:rPr>
                <w:noProof/>
                <w:webHidden/>
              </w:rPr>
              <w:fldChar w:fldCharType="begin"/>
            </w:r>
            <w:r w:rsidR="002D52EF">
              <w:rPr>
                <w:noProof/>
                <w:webHidden/>
              </w:rPr>
              <w:instrText xml:space="preserve"> PAGEREF _Toc57035197 \h </w:instrText>
            </w:r>
            <w:r w:rsidR="002D52EF">
              <w:rPr>
                <w:noProof/>
                <w:webHidden/>
              </w:rPr>
            </w:r>
            <w:r w:rsidR="002D52EF">
              <w:rPr>
                <w:noProof/>
                <w:webHidden/>
              </w:rPr>
              <w:fldChar w:fldCharType="separate"/>
            </w:r>
            <w:r w:rsidR="002D52EF">
              <w:rPr>
                <w:noProof/>
                <w:webHidden/>
              </w:rPr>
              <w:t>66</w:t>
            </w:r>
            <w:r w:rsidR="002D52EF">
              <w:rPr>
                <w:noProof/>
                <w:webHidden/>
              </w:rPr>
              <w:fldChar w:fldCharType="end"/>
            </w:r>
          </w:hyperlink>
        </w:p>
        <w:p w14:paraId="607BF3D5" w14:textId="2DC976DB" w:rsidR="002D52EF" w:rsidRDefault="00040C2B">
          <w:pPr>
            <w:pStyle w:val="TOC3"/>
            <w:tabs>
              <w:tab w:val="right" w:leader="dot" w:pos="9350"/>
            </w:tabs>
            <w:rPr>
              <w:noProof/>
              <w:sz w:val="22"/>
              <w:szCs w:val="22"/>
            </w:rPr>
          </w:pPr>
          <w:hyperlink w:anchor="_Toc57035198" w:history="1">
            <w:r w:rsidR="002D52EF" w:rsidRPr="008C6024">
              <w:rPr>
                <w:rStyle w:val="Hyperlink"/>
                <w:rFonts w:ascii="Arial" w:hAnsi="Arial" w:cs="Arial"/>
                <w:i/>
                <w:noProof/>
              </w:rPr>
              <w:t>Global Fund</w:t>
            </w:r>
            <w:r w:rsidR="002D52EF">
              <w:rPr>
                <w:noProof/>
                <w:webHidden/>
              </w:rPr>
              <w:tab/>
            </w:r>
            <w:r w:rsidR="002D52EF">
              <w:rPr>
                <w:noProof/>
                <w:webHidden/>
              </w:rPr>
              <w:fldChar w:fldCharType="begin"/>
            </w:r>
            <w:r w:rsidR="002D52EF">
              <w:rPr>
                <w:noProof/>
                <w:webHidden/>
              </w:rPr>
              <w:instrText xml:space="preserve"> PAGEREF _Toc57035198 \h </w:instrText>
            </w:r>
            <w:r w:rsidR="002D52EF">
              <w:rPr>
                <w:noProof/>
                <w:webHidden/>
              </w:rPr>
            </w:r>
            <w:r w:rsidR="002D52EF">
              <w:rPr>
                <w:noProof/>
                <w:webHidden/>
              </w:rPr>
              <w:fldChar w:fldCharType="separate"/>
            </w:r>
            <w:r w:rsidR="002D52EF">
              <w:rPr>
                <w:noProof/>
                <w:webHidden/>
              </w:rPr>
              <w:t>67</w:t>
            </w:r>
            <w:r w:rsidR="002D52EF">
              <w:rPr>
                <w:noProof/>
                <w:webHidden/>
              </w:rPr>
              <w:fldChar w:fldCharType="end"/>
            </w:r>
          </w:hyperlink>
        </w:p>
        <w:p w14:paraId="0E4618CF" w14:textId="724FA965" w:rsidR="002D52EF" w:rsidRDefault="00040C2B">
          <w:pPr>
            <w:pStyle w:val="TOC2"/>
            <w:tabs>
              <w:tab w:val="right" w:leader="dot" w:pos="9350"/>
            </w:tabs>
            <w:rPr>
              <w:noProof/>
              <w:sz w:val="22"/>
              <w:szCs w:val="22"/>
            </w:rPr>
          </w:pPr>
          <w:hyperlink w:anchor="_Toc57035199" w:history="1">
            <w:r w:rsidR="002D52EF" w:rsidRPr="008C6024">
              <w:rPr>
                <w:rStyle w:val="Hyperlink"/>
                <w:rFonts w:ascii="Arial" w:hAnsi="Arial" w:cs="Arial"/>
                <w:b/>
                <w:noProof/>
              </w:rPr>
              <w:t>Modeling Assumptions</w:t>
            </w:r>
            <w:r w:rsidR="002D52EF">
              <w:rPr>
                <w:noProof/>
                <w:webHidden/>
              </w:rPr>
              <w:tab/>
            </w:r>
            <w:r w:rsidR="002D52EF">
              <w:rPr>
                <w:noProof/>
                <w:webHidden/>
              </w:rPr>
              <w:fldChar w:fldCharType="begin"/>
            </w:r>
            <w:r w:rsidR="002D52EF">
              <w:rPr>
                <w:noProof/>
                <w:webHidden/>
              </w:rPr>
              <w:instrText xml:space="preserve"> PAGEREF _Toc57035199 \h </w:instrText>
            </w:r>
            <w:r w:rsidR="002D52EF">
              <w:rPr>
                <w:noProof/>
                <w:webHidden/>
              </w:rPr>
            </w:r>
            <w:r w:rsidR="002D52EF">
              <w:rPr>
                <w:noProof/>
                <w:webHidden/>
              </w:rPr>
              <w:fldChar w:fldCharType="separate"/>
            </w:r>
            <w:r w:rsidR="002D52EF">
              <w:rPr>
                <w:noProof/>
                <w:webHidden/>
              </w:rPr>
              <w:t>67</w:t>
            </w:r>
            <w:r w:rsidR="002D52EF">
              <w:rPr>
                <w:noProof/>
                <w:webHidden/>
              </w:rPr>
              <w:fldChar w:fldCharType="end"/>
            </w:r>
          </w:hyperlink>
        </w:p>
        <w:p w14:paraId="32327C4A" w14:textId="6B4F6E05" w:rsidR="002D52EF" w:rsidRDefault="00040C2B">
          <w:pPr>
            <w:pStyle w:val="TOC2"/>
            <w:tabs>
              <w:tab w:val="right" w:leader="dot" w:pos="9350"/>
            </w:tabs>
            <w:rPr>
              <w:noProof/>
              <w:sz w:val="22"/>
              <w:szCs w:val="22"/>
            </w:rPr>
          </w:pPr>
          <w:hyperlink w:anchor="_Toc57035200" w:history="1">
            <w:r w:rsidR="002D52EF" w:rsidRPr="008C6024">
              <w:rPr>
                <w:rStyle w:val="Hyperlink"/>
                <w:rFonts w:ascii="Arial" w:hAnsi="Arial" w:cs="Arial"/>
                <w:b/>
                <w:noProof/>
              </w:rPr>
              <w:t>Projected available resources</w:t>
            </w:r>
            <w:r w:rsidR="002D52EF">
              <w:rPr>
                <w:noProof/>
                <w:webHidden/>
              </w:rPr>
              <w:tab/>
            </w:r>
            <w:r w:rsidR="002D52EF">
              <w:rPr>
                <w:noProof/>
                <w:webHidden/>
              </w:rPr>
              <w:fldChar w:fldCharType="begin"/>
            </w:r>
            <w:r w:rsidR="002D52EF">
              <w:rPr>
                <w:noProof/>
                <w:webHidden/>
              </w:rPr>
              <w:instrText xml:space="preserve"> PAGEREF _Toc57035200 \h </w:instrText>
            </w:r>
            <w:r w:rsidR="002D52EF">
              <w:rPr>
                <w:noProof/>
                <w:webHidden/>
              </w:rPr>
            </w:r>
            <w:r w:rsidR="002D52EF">
              <w:rPr>
                <w:noProof/>
                <w:webHidden/>
              </w:rPr>
              <w:fldChar w:fldCharType="separate"/>
            </w:r>
            <w:r w:rsidR="002D52EF">
              <w:rPr>
                <w:noProof/>
                <w:webHidden/>
              </w:rPr>
              <w:t>68</w:t>
            </w:r>
            <w:r w:rsidR="002D52EF">
              <w:rPr>
                <w:noProof/>
                <w:webHidden/>
              </w:rPr>
              <w:fldChar w:fldCharType="end"/>
            </w:r>
          </w:hyperlink>
        </w:p>
        <w:p w14:paraId="55D6FA79" w14:textId="68D58063" w:rsidR="002D52EF" w:rsidRDefault="00040C2B">
          <w:pPr>
            <w:pStyle w:val="TOC2"/>
            <w:tabs>
              <w:tab w:val="right" w:leader="dot" w:pos="9350"/>
            </w:tabs>
            <w:rPr>
              <w:noProof/>
              <w:sz w:val="22"/>
              <w:szCs w:val="22"/>
            </w:rPr>
          </w:pPr>
          <w:hyperlink w:anchor="_Toc57035201" w:history="1">
            <w:r w:rsidR="002D52EF" w:rsidRPr="008C6024">
              <w:rPr>
                <w:rStyle w:val="Hyperlink"/>
                <w:rFonts w:ascii="Arial" w:hAnsi="Arial" w:cs="Arial"/>
                <w:b/>
                <w:noProof/>
              </w:rPr>
              <w:t>Disease impact of declining donor funds</w:t>
            </w:r>
            <w:r w:rsidR="002D52EF">
              <w:rPr>
                <w:noProof/>
                <w:webHidden/>
              </w:rPr>
              <w:tab/>
            </w:r>
            <w:r w:rsidR="002D52EF">
              <w:rPr>
                <w:noProof/>
                <w:webHidden/>
              </w:rPr>
              <w:fldChar w:fldCharType="begin"/>
            </w:r>
            <w:r w:rsidR="002D52EF">
              <w:rPr>
                <w:noProof/>
                <w:webHidden/>
              </w:rPr>
              <w:instrText xml:space="preserve"> PAGEREF _Toc57035201 \h </w:instrText>
            </w:r>
            <w:r w:rsidR="002D52EF">
              <w:rPr>
                <w:noProof/>
                <w:webHidden/>
              </w:rPr>
            </w:r>
            <w:r w:rsidR="002D52EF">
              <w:rPr>
                <w:noProof/>
                <w:webHidden/>
              </w:rPr>
              <w:fldChar w:fldCharType="separate"/>
            </w:r>
            <w:r w:rsidR="002D52EF">
              <w:rPr>
                <w:noProof/>
                <w:webHidden/>
              </w:rPr>
              <w:t>68</w:t>
            </w:r>
            <w:r w:rsidR="002D52EF">
              <w:rPr>
                <w:noProof/>
                <w:webHidden/>
              </w:rPr>
              <w:fldChar w:fldCharType="end"/>
            </w:r>
          </w:hyperlink>
        </w:p>
        <w:p w14:paraId="3353DAC2" w14:textId="2ABF5606" w:rsidR="002D52EF" w:rsidRDefault="00040C2B">
          <w:pPr>
            <w:pStyle w:val="TOC2"/>
            <w:tabs>
              <w:tab w:val="right" w:leader="dot" w:pos="9350"/>
            </w:tabs>
            <w:rPr>
              <w:noProof/>
              <w:sz w:val="22"/>
              <w:szCs w:val="22"/>
            </w:rPr>
          </w:pPr>
          <w:hyperlink w:anchor="_Toc57035202" w:history="1">
            <w:r w:rsidR="002D52EF" w:rsidRPr="008C6024">
              <w:rPr>
                <w:rStyle w:val="Hyperlink"/>
                <w:rFonts w:ascii="Arial" w:hAnsi="Arial" w:cs="Arial"/>
                <w:b/>
                <w:noProof/>
              </w:rPr>
              <w:t>Takeaways on declining donor funds</w:t>
            </w:r>
            <w:r w:rsidR="002D52EF">
              <w:rPr>
                <w:noProof/>
                <w:webHidden/>
              </w:rPr>
              <w:tab/>
            </w:r>
            <w:r w:rsidR="002D52EF">
              <w:rPr>
                <w:noProof/>
                <w:webHidden/>
              </w:rPr>
              <w:fldChar w:fldCharType="begin"/>
            </w:r>
            <w:r w:rsidR="002D52EF">
              <w:rPr>
                <w:noProof/>
                <w:webHidden/>
              </w:rPr>
              <w:instrText xml:space="preserve"> PAGEREF _Toc57035202 \h </w:instrText>
            </w:r>
            <w:r w:rsidR="002D52EF">
              <w:rPr>
                <w:noProof/>
                <w:webHidden/>
              </w:rPr>
            </w:r>
            <w:r w:rsidR="002D52EF">
              <w:rPr>
                <w:noProof/>
                <w:webHidden/>
              </w:rPr>
              <w:fldChar w:fldCharType="separate"/>
            </w:r>
            <w:r w:rsidR="002D52EF">
              <w:rPr>
                <w:noProof/>
                <w:webHidden/>
              </w:rPr>
              <w:t>70</w:t>
            </w:r>
            <w:r w:rsidR="002D52EF">
              <w:rPr>
                <w:noProof/>
                <w:webHidden/>
              </w:rPr>
              <w:fldChar w:fldCharType="end"/>
            </w:r>
          </w:hyperlink>
        </w:p>
        <w:p w14:paraId="32FC2669" w14:textId="14176256" w:rsidR="002D52EF" w:rsidRDefault="00040C2B">
          <w:pPr>
            <w:pStyle w:val="TOC1"/>
            <w:tabs>
              <w:tab w:val="right" w:leader="dot" w:pos="9350"/>
            </w:tabs>
            <w:rPr>
              <w:noProof/>
              <w:sz w:val="22"/>
              <w:szCs w:val="22"/>
            </w:rPr>
          </w:pPr>
          <w:hyperlink w:anchor="_Toc57035203" w:history="1">
            <w:r w:rsidR="002D52EF" w:rsidRPr="008C6024">
              <w:rPr>
                <w:rStyle w:val="Hyperlink"/>
                <w:rFonts w:ascii="Arial" w:hAnsi="Arial" w:cs="Arial"/>
                <w:b/>
                <w:noProof/>
              </w:rPr>
              <w:t>CHAPTER 7: DOMESTIC RESOURCE MOBILIZATION</w:t>
            </w:r>
            <w:r w:rsidR="002D52EF">
              <w:rPr>
                <w:noProof/>
                <w:webHidden/>
              </w:rPr>
              <w:tab/>
            </w:r>
            <w:r w:rsidR="002D52EF">
              <w:rPr>
                <w:noProof/>
                <w:webHidden/>
              </w:rPr>
              <w:fldChar w:fldCharType="begin"/>
            </w:r>
            <w:r w:rsidR="002D52EF">
              <w:rPr>
                <w:noProof/>
                <w:webHidden/>
              </w:rPr>
              <w:instrText xml:space="preserve"> PAGEREF _Toc57035203 \h </w:instrText>
            </w:r>
            <w:r w:rsidR="002D52EF">
              <w:rPr>
                <w:noProof/>
                <w:webHidden/>
              </w:rPr>
            </w:r>
            <w:r w:rsidR="002D52EF">
              <w:rPr>
                <w:noProof/>
                <w:webHidden/>
              </w:rPr>
              <w:fldChar w:fldCharType="separate"/>
            </w:r>
            <w:r w:rsidR="002D52EF">
              <w:rPr>
                <w:noProof/>
                <w:webHidden/>
              </w:rPr>
              <w:t>72</w:t>
            </w:r>
            <w:r w:rsidR="002D52EF">
              <w:rPr>
                <w:noProof/>
                <w:webHidden/>
              </w:rPr>
              <w:fldChar w:fldCharType="end"/>
            </w:r>
          </w:hyperlink>
        </w:p>
        <w:p w14:paraId="0E5A4D22" w14:textId="21E0EFCE" w:rsidR="002D52EF" w:rsidRDefault="00040C2B">
          <w:pPr>
            <w:pStyle w:val="TOC2"/>
            <w:tabs>
              <w:tab w:val="right" w:leader="dot" w:pos="9350"/>
            </w:tabs>
            <w:rPr>
              <w:noProof/>
              <w:sz w:val="22"/>
              <w:szCs w:val="22"/>
            </w:rPr>
          </w:pPr>
          <w:hyperlink w:anchor="_Toc57035204" w:history="1">
            <w:r w:rsidR="002D52EF" w:rsidRPr="008C6024">
              <w:rPr>
                <w:rStyle w:val="Hyperlink"/>
                <w:rFonts w:ascii="Arial" w:hAnsi="Arial" w:cs="Arial"/>
                <w:b/>
                <w:noProof/>
              </w:rPr>
              <w:t>Historical context of domestic financing (for HIV) in Tanzania</w:t>
            </w:r>
            <w:r w:rsidR="002D52EF">
              <w:rPr>
                <w:noProof/>
                <w:webHidden/>
              </w:rPr>
              <w:tab/>
            </w:r>
            <w:r w:rsidR="002D52EF">
              <w:rPr>
                <w:noProof/>
                <w:webHidden/>
              </w:rPr>
              <w:fldChar w:fldCharType="begin"/>
            </w:r>
            <w:r w:rsidR="002D52EF">
              <w:rPr>
                <w:noProof/>
                <w:webHidden/>
              </w:rPr>
              <w:instrText xml:space="preserve"> PAGEREF _Toc57035204 \h </w:instrText>
            </w:r>
            <w:r w:rsidR="002D52EF">
              <w:rPr>
                <w:noProof/>
                <w:webHidden/>
              </w:rPr>
            </w:r>
            <w:r w:rsidR="002D52EF">
              <w:rPr>
                <w:noProof/>
                <w:webHidden/>
              </w:rPr>
              <w:fldChar w:fldCharType="separate"/>
            </w:r>
            <w:r w:rsidR="002D52EF">
              <w:rPr>
                <w:noProof/>
                <w:webHidden/>
              </w:rPr>
              <w:t>72</w:t>
            </w:r>
            <w:r w:rsidR="002D52EF">
              <w:rPr>
                <w:noProof/>
                <w:webHidden/>
              </w:rPr>
              <w:fldChar w:fldCharType="end"/>
            </w:r>
          </w:hyperlink>
        </w:p>
        <w:p w14:paraId="394DD3AA" w14:textId="5DA273DE" w:rsidR="002D52EF" w:rsidRDefault="00040C2B">
          <w:pPr>
            <w:pStyle w:val="TOC2"/>
            <w:tabs>
              <w:tab w:val="right" w:leader="dot" w:pos="9350"/>
            </w:tabs>
            <w:rPr>
              <w:noProof/>
              <w:sz w:val="22"/>
              <w:szCs w:val="22"/>
            </w:rPr>
          </w:pPr>
          <w:hyperlink w:anchor="_Toc57035205" w:history="1">
            <w:r w:rsidR="002D52EF" w:rsidRPr="008C6024">
              <w:rPr>
                <w:rStyle w:val="Hyperlink"/>
                <w:rFonts w:ascii="Arial" w:hAnsi="Arial" w:cs="Arial"/>
                <w:b/>
                <w:noProof/>
              </w:rPr>
              <w:t>Future domestic public funding of the HIV response: What is feasible?</w:t>
            </w:r>
            <w:r w:rsidR="002D52EF">
              <w:rPr>
                <w:noProof/>
                <w:webHidden/>
              </w:rPr>
              <w:tab/>
            </w:r>
            <w:r w:rsidR="002D52EF">
              <w:rPr>
                <w:noProof/>
                <w:webHidden/>
              </w:rPr>
              <w:fldChar w:fldCharType="begin"/>
            </w:r>
            <w:r w:rsidR="002D52EF">
              <w:rPr>
                <w:noProof/>
                <w:webHidden/>
              </w:rPr>
              <w:instrText xml:space="preserve"> PAGEREF _Toc57035205 \h </w:instrText>
            </w:r>
            <w:r w:rsidR="002D52EF">
              <w:rPr>
                <w:noProof/>
                <w:webHidden/>
              </w:rPr>
            </w:r>
            <w:r w:rsidR="002D52EF">
              <w:rPr>
                <w:noProof/>
                <w:webHidden/>
              </w:rPr>
              <w:fldChar w:fldCharType="separate"/>
            </w:r>
            <w:r w:rsidR="002D52EF">
              <w:rPr>
                <w:noProof/>
                <w:webHidden/>
              </w:rPr>
              <w:t>72</w:t>
            </w:r>
            <w:r w:rsidR="002D52EF">
              <w:rPr>
                <w:noProof/>
                <w:webHidden/>
              </w:rPr>
              <w:fldChar w:fldCharType="end"/>
            </w:r>
          </w:hyperlink>
        </w:p>
        <w:p w14:paraId="79BDF114" w14:textId="778DD457" w:rsidR="002D52EF" w:rsidRDefault="00040C2B">
          <w:pPr>
            <w:pStyle w:val="TOC2"/>
            <w:tabs>
              <w:tab w:val="right" w:leader="dot" w:pos="9350"/>
            </w:tabs>
            <w:rPr>
              <w:noProof/>
              <w:sz w:val="22"/>
              <w:szCs w:val="22"/>
            </w:rPr>
          </w:pPr>
          <w:hyperlink w:anchor="_Toc57035206" w:history="1">
            <w:r w:rsidR="002D52EF" w:rsidRPr="008C6024">
              <w:rPr>
                <w:rStyle w:val="Hyperlink"/>
                <w:rFonts w:ascii="Arial" w:hAnsi="Arial" w:cs="Arial"/>
                <w:b/>
                <w:noProof/>
              </w:rPr>
              <w:t>Modeling Assumptions</w:t>
            </w:r>
            <w:r w:rsidR="002D52EF">
              <w:rPr>
                <w:noProof/>
                <w:webHidden/>
              </w:rPr>
              <w:tab/>
            </w:r>
            <w:r w:rsidR="002D52EF">
              <w:rPr>
                <w:noProof/>
                <w:webHidden/>
              </w:rPr>
              <w:fldChar w:fldCharType="begin"/>
            </w:r>
            <w:r w:rsidR="002D52EF">
              <w:rPr>
                <w:noProof/>
                <w:webHidden/>
              </w:rPr>
              <w:instrText xml:space="preserve"> PAGEREF _Toc57035206 \h </w:instrText>
            </w:r>
            <w:r w:rsidR="002D52EF">
              <w:rPr>
                <w:noProof/>
                <w:webHidden/>
              </w:rPr>
            </w:r>
            <w:r w:rsidR="002D52EF">
              <w:rPr>
                <w:noProof/>
                <w:webHidden/>
              </w:rPr>
              <w:fldChar w:fldCharType="separate"/>
            </w:r>
            <w:r w:rsidR="002D52EF">
              <w:rPr>
                <w:noProof/>
                <w:webHidden/>
              </w:rPr>
              <w:t>74</w:t>
            </w:r>
            <w:r w:rsidR="002D52EF">
              <w:rPr>
                <w:noProof/>
                <w:webHidden/>
              </w:rPr>
              <w:fldChar w:fldCharType="end"/>
            </w:r>
          </w:hyperlink>
        </w:p>
        <w:p w14:paraId="06D681AF" w14:textId="5EF95F12" w:rsidR="002D52EF" w:rsidRDefault="00040C2B">
          <w:pPr>
            <w:pStyle w:val="TOC2"/>
            <w:tabs>
              <w:tab w:val="right" w:leader="dot" w:pos="9350"/>
            </w:tabs>
            <w:rPr>
              <w:noProof/>
              <w:sz w:val="22"/>
              <w:szCs w:val="22"/>
            </w:rPr>
          </w:pPr>
          <w:hyperlink w:anchor="_Toc57035207" w:history="1">
            <w:r w:rsidR="002D52EF" w:rsidRPr="008C6024">
              <w:rPr>
                <w:rStyle w:val="Hyperlink"/>
                <w:rFonts w:ascii="Arial" w:hAnsi="Arial" w:cs="Arial"/>
                <w:b/>
                <w:noProof/>
              </w:rPr>
              <w:t>Projected available resources</w:t>
            </w:r>
            <w:r w:rsidR="002D52EF">
              <w:rPr>
                <w:noProof/>
                <w:webHidden/>
              </w:rPr>
              <w:tab/>
            </w:r>
            <w:r w:rsidR="002D52EF">
              <w:rPr>
                <w:noProof/>
                <w:webHidden/>
              </w:rPr>
              <w:fldChar w:fldCharType="begin"/>
            </w:r>
            <w:r w:rsidR="002D52EF">
              <w:rPr>
                <w:noProof/>
                <w:webHidden/>
              </w:rPr>
              <w:instrText xml:space="preserve"> PAGEREF _Toc57035207 \h </w:instrText>
            </w:r>
            <w:r w:rsidR="002D52EF">
              <w:rPr>
                <w:noProof/>
                <w:webHidden/>
              </w:rPr>
            </w:r>
            <w:r w:rsidR="002D52EF">
              <w:rPr>
                <w:noProof/>
                <w:webHidden/>
              </w:rPr>
              <w:fldChar w:fldCharType="separate"/>
            </w:r>
            <w:r w:rsidR="002D52EF">
              <w:rPr>
                <w:noProof/>
                <w:webHidden/>
              </w:rPr>
              <w:t>74</w:t>
            </w:r>
            <w:r w:rsidR="002D52EF">
              <w:rPr>
                <w:noProof/>
                <w:webHidden/>
              </w:rPr>
              <w:fldChar w:fldCharType="end"/>
            </w:r>
          </w:hyperlink>
        </w:p>
        <w:p w14:paraId="6E39BBF6" w14:textId="5756C59B" w:rsidR="002D52EF" w:rsidRDefault="00040C2B">
          <w:pPr>
            <w:pStyle w:val="TOC2"/>
            <w:tabs>
              <w:tab w:val="right" w:leader="dot" w:pos="9350"/>
            </w:tabs>
            <w:rPr>
              <w:noProof/>
              <w:sz w:val="22"/>
              <w:szCs w:val="22"/>
            </w:rPr>
          </w:pPr>
          <w:hyperlink w:anchor="_Toc57035208" w:history="1">
            <w:r w:rsidR="002D52EF" w:rsidRPr="008C6024">
              <w:rPr>
                <w:rStyle w:val="Hyperlink"/>
                <w:rFonts w:ascii="Arial" w:hAnsi="Arial" w:cs="Arial"/>
                <w:b/>
                <w:noProof/>
              </w:rPr>
              <w:t>Estimated impact of the additional domestic contribution</w:t>
            </w:r>
            <w:r w:rsidR="002D52EF">
              <w:rPr>
                <w:noProof/>
                <w:webHidden/>
              </w:rPr>
              <w:tab/>
            </w:r>
            <w:r w:rsidR="002D52EF">
              <w:rPr>
                <w:noProof/>
                <w:webHidden/>
              </w:rPr>
              <w:fldChar w:fldCharType="begin"/>
            </w:r>
            <w:r w:rsidR="002D52EF">
              <w:rPr>
                <w:noProof/>
                <w:webHidden/>
              </w:rPr>
              <w:instrText xml:space="preserve"> PAGEREF _Toc57035208 \h </w:instrText>
            </w:r>
            <w:r w:rsidR="002D52EF">
              <w:rPr>
                <w:noProof/>
                <w:webHidden/>
              </w:rPr>
            </w:r>
            <w:r w:rsidR="002D52EF">
              <w:rPr>
                <w:noProof/>
                <w:webHidden/>
              </w:rPr>
              <w:fldChar w:fldCharType="separate"/>
            </w:r>
            <w:r w:rsidR="002D52EF">
              <w:rPr>
                <w:noProof/>
                <w:webHidden/>
              </w:rPr>
              <w:t>76</w:t>
            </w:r>
            <w:r w:rsidR="002D52EF">
              <w:rPr>
                <w:noProof/>
                <w:webHidden/>
              </w:rPr>
              <w:fldChar w:fldCharType="end"/>
            </w:r>
          </w:hyperlink>
        </w:p>
        <w:p w14:paraId="37ECBEB5" w14:textId="77C8F359" w:rsidR="002D52EF" w:rsidRDefault="00040C2B">
          <w:pPr>
            <w:pStyle w:val="TOC2"/>
            <w:tabs>
              <w:tab w:val="right" w:leader="dot" w:pos="9350"/>
            </w:tabs>
            <w:rPr>
              <w:noProof/>
              <w:sz w:val="22"/>
              <w:szCs w:val="22"/>
            </w:rPr>
          </w:pPr>
          <w:hyperlink w:anchor="_Toc57035209" w:history="1">
            <w:r w:rsidR="002D52EF" w:rsidRPr="008C6024">
              <w:rPr>
                <w:rStyle w:val="Hyperlink"/>
                <w:rFonts w:ascii="Arial" w:hAnsi="Arial" w:cs="Arial"/>
                <w:b/>
                <w:noProof/>
              </w:rPr>
              <w:t>Key takeaways on domestic resource mobilization</w:t>
            </w:r>
            <w:r w:rsidR="002D52EF">
              <w:rPr>
                <w:noProof/>
                <w:webHidden/>
              </w:rPr>
              <w:tab/>
            </w:r>
            <w:r w:rsidR="002D52EF">
              <w:rPr>
                <w:noProof/>
                <w:webHidden/>
              </w:rPr>
              <w:fldChar w:fldCharType="begin"/>
            </w:r>
            <w:r w:rsidR="002D52EF">
              <w:rPr>
                <w:noProof/>
                <w:webHidden/>
              </w:rPr>
              <w:instrText xml:space="preserve"> PAGEREF _Toc57035209 \h </w:instrText>
            </w:r>
            <w:r w:rsidR="002D52EF">
              <w:rPr>
                <w:noProof/>
                <w:webHidden/>
              </w:rPr>
            </w:r>
            <w:r w:rsidR="002D52EF">
              <w:rPr>
                <w:noProof/>
                <w:webHidden/>
              </w:rPr>
              <w:fldChar w:fldCharType="separate"/>
            </w:r>
            <w:r w:rsidR="002D52EF">
              <w:rPr>
                <w:noProof/>
                <w:webHidden/>
              </w:rPr>
              <w:t>77</w:t>
            </w:r>
            <w:r w:rsidR="002D52EF">
              <w:rPr>
                <w:noProof/>
                <w:webHidden/>
              </w:rPr>
              <w:fldChar w:fldCharType="end"/>
            </w:r>
          </w:hyperlink>
        </w:p>
        <w:p w14:paraId="105D06CA" w14:textId="7969F57E" w:rsidR="002D52EF" w:rsidRDefault="00040C2B">
          <w:pPr>
            <w:pStyle w:val="TOC2"/>
            <w:tabs>
              <w:tab w:val="right" w:leader="dot" w:pos="9350"/>
            </w:tabs>
            <w:rPr>
              <w:noProof/>
              <w:sz w:val="22"/>
              <w:szCs w:val="22"/>
            </w:rPr>
          </w:pPr>
          <w:hyperlink w:anchor="_Toc57035210" w:history="1">
            <w:r w:rsidR="002D52EF" w:rsidRPr="008C6024">
              <w:rPr>
                <w:rStyle w:val="Hyperlink"/>
                <w:rFonts w:ascii="Arial" w:hAnsi="Arial" w:cs="Arial"/>
                <w:b/>
                <w:noProof/>
              </w:rPr>
              <w:t>Macro-economic and financial benefits of increased investment in the HIV response</w:t>
            </w:r>
            <w:r w:rsidR="002D52EF">
              <w:rPr>
                <w:noProof/>
                <w:webHidden/>
              </w:rPr>
              <w:tab/>
            </w:r>
            <w:r w:rsidR="002D52EF">
              <w:rPr>
                <w:noProof/>
                <w:webHidden/>
              </w:rPr>
              <w:fldChar w:fldCharType="begin"/>
            </w:r>
            <w:r w:rsidR="002D52EF">
              <w:rPr>
                <w:noProof/>
                <w:webHidden/>
              </w:rPr>
              <w:instrText xml:space="preserve"> PAGEREF _Toc57035210 \h </w:instrText>
            </w:r>
            <w:r w:rsidR="002D52EF">
              <w:rPr>
                <w:noProof/>
                <w:webHidden/>
              </w:rPr>
            </w:r>
            <w:r w:rsidR="002D52EF">
              <w:rPr>
                <w:noProof/>
                <w:webHidden/>
              </w:rPr>
              <w:fldChar w:fldCharType="separate"/>
            </w:r>
            <w:r w:rsidR="002D52EF">
              <w:rPr>
                <w:noProof/>
                <w:webHidden/>
              </w:rPr>
              <w:t>78</w:t>
            </w:r>
            <w:r w:rsidR="002D52EF">
              <w:rPr>
                <w:noProof/>
                <w:webHidden/>
              </w:rPr>
              <w:fldChar w:fldCharType="end"/>
            </w:r>
          </w:hyperlink>
        </w:p>
        <w:p w14:paraId="5BDA2F79" w14:textId="0D4EE82B" w:rsidR="002D52EF" w:rsidRDefault="00040C2B">
          <w:pPr>
            <w:pStyle w:val="TOC2"/>
            <w:tabs>
              <w:tab w:val="right" w:leader="dot" w:pos="9350"/>
            </w:tabs>
            <w:rPr>
              <w:noProof/>
              <w:sz w:val="22"/>
              <w:szCs w:val="22"/>
            </w:rPr>
          </w:pPr>
          <w:hyperlink w:anchor="_Toc57035211" w:history="1">
            <w:r w:rsidR="002D52EF" w:rsidRPr="008C6024">
              <w:rPr>
                <w:rStyle w:val="Hyperlink"/>
                <w:rFonts w:ascii="Arial" w:hAnsi="Arial" w:cs="Arial"/>
                <w:b/>
                <w:noProof/>
              </w:rPr>
              <w:t>Potential mechanisms for implementing increased domestic funding for the HIV response</w:t>
            </w:r>
            <w:r w:rsidR="002D52EF">
              <w:rPr>
                <w:noProof/>
                <w:webHidden/>
              </w:rPr>
              <w:tab/>
            </w:r>
            <w:r w:rsidR="002D52EF">
              <w:rPr>
                <w:noProof/>
                <w:webHidden/>
              </w:rPr>
              <w:fldChar w:fldCharType="begin"/>
            </w:r>
            <w:r w:rsidR="002D52EF">
              <w:rPr>
                <w:noProof/>
                <w:webHidden/>
              </w:rPr>
              <w:instrText xml:space="preserve"> PAGEREF _Toc57035211 \h </w:instrText>
            </w:r>
            <w:r w:rsidR="002D52EF">
              <w:rPr>
                <w:noProof/>
                <w:webHidden/>
              </w:rPr>
            </w:r>
            <w:r w:rsidR="002D52EF">
              <w:rPr>
                <w:noProof/>
                <w:webHidden/>
              </w:rPr>
              <w:fldChar w:fldCharType="separate"/>
            </w:r>
            <w:r w:rsidR="002D52EF">
              <w:rPr>
                <w:noProof/>
                <w:webHidden/>
              </w:rPr>
              <w:t>78</w:t>
            </w:r>
            <w:r w:rsidR="002D52EF">
              <w:rPr>
                <w:noProof/>
                <w:webHidden/>
              </w:rPr>
              <w:fldChar w:fldCharType="end"/>
            </w:r>
          </w:hyperlink>
        </w:p>
        <w:p w14:paraId="5C5C28B8" w14:textId="1477A8EF" w:rsidR="002D52EF" w:rsidRDefault="00040C2B">
          <w:pPr>
            <w:pStyle w:val="TOC3"/>
            <w:tabs>
              <w:tab w:val="right" w:leader="dot" w:pos="9350"/>
            </w:tabs>
            <w:rPr>
              <w:noProof/>
              <w:sz w:val="22"/>
              <w:szCs w:val="22"/>
            </w:rPr>
          </w:pPr>
          <w:hyperlink w:anchor="_Toc57035212" w:history="1">
            <w:r w:rsidR="002D52EF" w:rsidRPr="008C6024">
              <w:rPr>
                <w:rStyle w:val="Hyperlink"/>
                <w:rFonts w:ascii="Arial" w:hAnsi="Arial" w:cs="Arial"/>
                <w:i/>
                <w:noProof/>
              </w:rPr>
              <w:t>National Health Insurance Fund</w:t>
            </w:r>
            <w:r w:rsidR="002D52EF">
              <w:rPr>
                <w:noProof/>
                <w:webHidden/>
              </w:rPr>
              <w:tab/>
            </w:r>
            <w:r w:rsidR="002D52EF">
              <w:rPr>
                <w:noProof/>
                <w:webHidden/>
              </w:rPr>
              <w:fldChar w:fldCharType="begin"/>
            </w:r>
            <w:r w:rsidR="002D52EF">
              <w:rPr>
                <w:noProof/>
                <w:webHidden/>
              </w:rPr>
              <w:instrText xml:space="preserve"> PAGEREF _Toc57035212 \h </w:instrText>
            </w:r>
            <w:r w:rsidR="002D52EF">
              <w:rPr>
                <w:noProof/>
                <w:webHidden/>
              </w:rPr>
            </w:r>
            <w:r w:rsidR="002D52EF">
              <w:rPr>
                <w:noProof/>
                <w:webHidden/>
              </w:rPr>
              <w:fldChar w:fldCharType="separate"/>
            </w:r>
            <w:r w:rsidR="002D52EF">
              <w:rPr>
                <w:noProof/>
                <w:webHidden/>
              </w:rPr>
              <w:t>79</w:t>
            </w:r>
            <w:r w:rsidR="002D52EF">
              <w:rPr>
                <w:noProof/>
                <w:webHidden/>
              </w:rPr>
              <w:fldChar w:fldCharType="end"/>
            </w:r>
          </w:hyperlink>
        </w:p>
        <w:p w14:paraId="56930D09" w14:textId="32444AD9" w:rsidR="002D52EF" w:rsidRDefault="00040C2B">
          <w:pPr>
            <w:pStyle w:val="TOC3"/>
            <w:tabs>
              <w:tab w:val="right" w:leader="dot" w:pos="9350"/>
            </w:tabs>
            <w:rPr>
              <w:noProof/>
              <w:sz w:val="22"/>
              <w:szCs w:val="22"/>
            </w:rPr>
          </w:pPr>
          <w:hyperlink w:anchor="_Toc57035213" w:history="1">
            <w:r w:rsidR="002D52EF" w:rsidRPr="008C6024">
              <w:rPr>
                <w:rStyle w:val="Hyperlink"/>
                <w:rFonts w:ascii="Arial" w:hAnsi="Arial" w:cs="Arial"/>
                <w:i/>
                <w:noProof/>
              </w:rPr>
              <w:t>Community Health Fund</w:t>
            </w:r>
            <w:r w:rsidR="002D52EF">
              <w:rPr>
                <w:noProof/>
                <w:webHidden/>
              </w:rPr>
              <w:tab/>
            </w:r>
            <w:r w:rsidR="002D52EF">
              <w:rPr>
                <w:noProof/>
                <w:webHidden/>
              </w:rPr>
              <w:fldChar w:fldCharType="begin"/>
            </w:r>
            <w:r w:rsidR="002D52EF">
              <w:rPr>
                <w:noProof/>
                <w:webHidden/>
              </w:rPr>
              <w:instrText xml:space="preserve"> PAGEREF _Toc57035213 \h </w:instrText>
            </w:r>
            <w:r w:rsidR="002D52EF">
              <w:rPr>
                <w:noProof/>
                <w:webHidden/>
              </w:rPr>
            </w:r>
            <w:r w:rsidR="002D52EF">
              <w:rPr>
                <w:noProof/>
                <w:webHidden/>
              </w:rPr>
              <w:fldChar w:fldCharType="separate"/>
            </w:r>
            <w:r w:rsidR="002D52EF">
              <w:rPr>
                <w:noProof/>
                <w:webHidden/>
              </w:rPr>
              <w:t>80</w:t>
            </w:r>
            <w:r w:rsidR="002D52EF">
              <w:rPr>
                <w:noProof/>
                <w:webHidden/>
              </w:rPr>
              <w:fldChar w:fldCharType="end"/>
            </w:r>
          </w:hyperlink>
        </w:p>
        <w:p w14:paraId="6267E537" w14:textId="278291B3" w:rsidR="002D52EF" w:rsidRDefault="00040C2B">
          <w:pPr>
            <w:pStyle w:val="TOC3"/>
            <w:tabs>
              <w:tab w:val="right" w:leader="dot" w:pos="9350"/>
            </w:tabs>
            <w:rPr>
              <w:noProof/>
              <w:sz w:val="22"/>
              <w:szCs w:val="22"/>
            </w:rPr>
          </w:pPr>
          <w:hyperlink w:anchor="_Toc57035214" w:history="1">
            <w:r w:rsidR="002D52EF" w:rsidRPr="008C6024">
              <w:rPr>
                <w:rStyle w:val="Hyperlink"/>
                <w:rFonts w:ascii="Arial" w:hAnsi="Arial" w:cs="Arial"/>
                <w:i/>
                <w:noProof/>
              </w:rPr>
              <w:t>AIDS Trust Fund</w:t>
            </w:r>
            <w:r w:rsidR="002D52EF">
              <w:rPr>
                <w:noProof/>
                <w:webHidden/>
              </w:rPr>
              <w:tab/>
            </w:r>
            <w:r w:rsidR="002D52EF">
              <w:rPr>
                <w:noProof/>
                <w:webHidden/>
              </w:rPr>
              <w:fldChar w:fldCharType="begin"/>
            </w:r>
            <w:r w:rsidR="002D52EF">
              <w:rPr>
                <w:noProof/>
                <w:webHidden/>
              </w:rPr>
              <w:instrText xml:space="preserve"> PAGEREF _Toc57035214 \h </w:instrText>
            </w:r>
            <w:r w:rsidR="002D52EF">
              <w:rPr>
                <w:noProof/>
                <w:webHidden/>
              </w:rPr>
            </w:r>
            <w:r w:rsidR="002D52EF">
              <w:rPr>
                <w:noProof/>
                <w:webHidden/>
              </w:rPr>
              <w:fldChar w:fldCharType="separate"/>
            </w:r>
            <w:r w:rsidR="002D52EF">
              <w:rPr>
                <w:noProof/>
                <w:webHidden/>
              </w:rPr>
              <w:t>80</w:t>
            </w:r>
            <w:r w:rsidR="002D52EF">
              <w:rPr>
                <w:noProof/>
                <w:webHidden/>
              </w:rPr>
              <w:fldChar w:fldCharType="end"/>
            </w:r>
          </w:hyperlink>
        </w:p>
        <w:p w14:paraId="46D14BBE" w14:textId="36C5885B" w:rsidR="002D52EF" w:rsidRDefault="00040C2B">
          <w:pPr>
            <w:pStyle w:val="TOC1"/>
            <w:tabs>
              <w:tab w:val="right" w:leader="dot" w:pos="9350"/>
            </w:tabs>
            <w:rPr>
              <w:noProof/>
              <w:sz w:val="22"/>
              <w:szCs w:val="22"/>
            </w:rPr>
          </w:pPr>
          <w:hyperlink w:anchor="_Toc57035215" w:history="1">
            <w:r w:rsidR="002D52EF" w:rsidRPr="008C6024">
              <w:rPr>
                <w:rStyle w:val="Hyperlink"/>
                <w:rFonts w:ascii="Arial" w:hAnsi="Arial" w:cs="Arial"/>
                <w:b/>
                <w:noProof/>
              </w:rPr>
              <w:t>CHAPTER 8. SCALING UP THE AGYW PACKAGE OF PREVENTION INTERVENTIONS</w:t>
            </w:r>
            <w:r w:rsidR="002D52EF">
              <w:rPr>
                <w:noProof/>
                <w:webHidden/>
              </w:rPr>
              <w:tab/>
            </w:r>
            <w:r w:rsidR="002D52EF">
              <w:rPr>
                <w:noProof/>
                <w:webHidden/>
              </w:rPr>
              <w:fldChar w:fldCharType="begin"/>
            </w:r>
            <w:r w:rsidR="002D52EF">
              <w:rPr>
                <w:noProof/>
                <w:webHidden/>
              </w:rPr>
              <w:instrText xml:space="preserve"> PAGEREF _Toc57035215 \h </w:instrText>
            </w:r>
            <w:r w:rsidR="002D52EF">
              <w:rPr>
                <w:noProof/>
                <w:webHidden/>
              </w:rPr>
            </w:r>
            <w:r w:rsidR="002D52EF">
              <w:rPr>
                <w:noProof/>
                <w:webHidden/>
              </w:rPr>
              <w:fldChar w:fldCharType="separate"/>
            </w:r>
            <w:r w:rsidR="002D52EF">
              <w:rPr>
                <w:noProof/>
                <w:webHidden/>
              </w:rPr>
              <w:t>82</w:t>
            </w:r>
            <w:r w:rsidR="002D52EF">
              <w:rPr>
                <w:noProof/>
                <w:webHidden/>
              </w:rPr>
              <w:fldChar w:fldCharType="end"/>
            </w:r>
          </w:hyperlink>
        </w:p>
        <w:p w14:paraId="66538CEA" w14:textId="0DAE9C74" w:rsidR="002D52EF" w:rsidRDefault="00040C2B">
          <w:pPr>
            <w:pStyle w:val="TOC2"/>
            <w:tabs>
              <w:tab w:val="right" w:leader="dot" w:pos="9350"/>
            </w:tabs>
            <w:rPr>
              <w:noProof/>
              <w:sz w:val="22"/>
              <w:szCs w:val="22"/>
            </w:rPr>
          </w:pPr>
          <w:hyperlink w:anchor="_Toc57035216" w:history="1">
            <w:r w:rsidR="002D52EF" w:rsidRPr="008C6024">
              <w:rPr>
                <w:rStyle w:val="Hyperlink"/>
                <w:rFonts w:ascii="Arial" w:hAnsi="Arial" w:cs="Arial"/>
                <w:b/>
                <w:bCs/>
                <w:noProof/>
              </w:rPr>
              <w:t>High incidence among AGYW</w:t>
            </w:r>
            <w:r w:rsidR="002D52EF">
              <w:rPr>
                <w:noProof/>
                <w:webHidden/>
              </w:rPr>
              <w:tab/>
            </w:r>
            <w:r w:rsidR="002D52EF">
              <w:rPr>
                <w:noProof/>
                <w:webHidden/>
              </w:rPr>
              <w:fldChar w:fldCharType="begin"/>
            </w:r>
            <w:r w:rsidR="002D52EF">
              <w:rPr>
                <w:noProof/>
                <w:webHidden/>
              </w:rPr>
              <w:instrText xml:space="preserve"> PAGEREF _Toc57035216 \h </w:instrText>
            </w:r>
            <w:r w:rsidR="002D52EF">
              <w:rPr>
                <w:noProof/>
                <w:webHidden/>
              </w:rPr>
            </w:r>
            <w:r w:rsidR="002D52EF">
              <w:rPr>
                <w:noProof/>
                <w:webHidden/>
              </w:rPr>
              <w:fldChar w:fldCharType="separate"/>
            </w:r>
            <w:r w:rsidR="002D52EF">
              <w:rPr>
                <w:noProof/>
                <w:webHidden/>
              </w:rPr>
              <w:t>82</w:t>
            </w:r>
            <w:r w:rsidR="002D52EF">
              <w:rPr>
                <w:noProof/>
                <w:webHidden/>
              </w:rPr>
              <w:fldChar w:fldCharType="end"/>
            </w:r>
          </w:hyperlink>
        </w:p>
        <w:p w14:paraId="2E51E57E" w14:textId="68E461E8" w:rsidR="002D52EF" w:rsidRDefault="00040C2B">
          <w:pPr>
            <w:pStyle w:val="TOC2"/>
            <w:tabs>
              <w:tab w:val="right" w:leader="dot" w:pos="9350"/>
            </w:tabs>
            <w:rPr>
              <w:noProof/>
              <w:sz w:val="22"/>
              <w:szCs w:val="22"/>
            </w:rPr>
          </w:pPr>
          <w:hyperlink w:anchor="_Toc57035217" w:history="1">
            <w:r w:rsidR="002D52EF" w:rsidRPr="008C6024">
              <w:rPr>
                <w:rStyle w:val="Hyperlink"/>
                <w:rFonts w:ascii="Arial" w:hAnsi="Arial" w:cs="Arial"/>
                <w:b/>
                <w:bCs/>
                <w:iCs/>
                <w:noProof/>
              </w:rPr>
              <w:t>Comprehensive prevention approach to reducing incidence among AGYW</w:t>
            </w:r>
            <w:r w:rsidR="002D52EF">
              <w:rPr>
                <w:noProof/>
                <w:webHidden/>
              </w:rPr>
              <w:tab/>
            </w:r>
            <w:r w:rsidR="002D52EF">
              <w:rPr>
                <w:noProof/>
                <w:webHidden/>
              </w:rPr>
              <w:fldChar w:fldCharType="begin"/>
            </w:r>
            <w:r w:rsidR="002D52EF">
              <w:rPr>
                <w:noProof/>
                <w:webHidden/>
              </w:rPr>
              <w:instrText xml:space="preserve"> PAGEREF _Toc57035217 \h </w:instrText>
            </w:r>
            <w:r w:rsidR="002D52EF">
              <w:rPr>
                <w:noProof/>
                <w:webHidden/>
              </w:rPr>
            </w:r>
            <w:r w:rsidR="002D52EF">
              <w:rPr>
                <w:noProof/>
                <w:webHidden/>
              </w:rPr>
              <w:fldChar w:fldCharType="separate"/>
            </w:r>
            <w:r w:rsidR="002D52EF">
              <w:rPr>
                <w:noProof/>
                <w:webHidden/>
              </w:rPr>
              <w:t>83</w:t>
            </w:r>
            <w:r w:rsidR="002D52EF">
              <w:rPr>
                <w:noProof/>
                <w:webHidden/>
              </w:rPr>
              <w:fldChar w:fldCharType="end"/>
            </w:r>
          </w:hyperlink>
        </w:p>
        <w:p w14:paraId="16DDEF9D" w14:textId="22E5B538" w:rsidR="002D52EF" w:rsidRDefault="00040C2B">
          <w:pPr>
            <w:pStyle w:val="TOC2"/>
            <w:tabs>
              <w:tab w:val="right" w:leader="dot" w:pos="9350"/>
            </w:tabs>
            <w:rPr>
              <w:noProof/>
              <w:sz w:val="22"/>
              <w:szCs w:val="22"/>
            </w:rPr>
          </w:pPr>
          <w:hyperlink w:anchor="_Toc57035218" w:history="1">
            <w:r w:rsidR="002D52EF" w:rsidRPr="008C6024">
              <w:rPr>
                <w:rStyle w:val="Hyperlink"/>
                <w:rFonts w:ascii="Arial" w:hAnsi="Arial" w:cs="Arial"/>
                <w:b/>
                <w:bCs/>
                <w:noProof/>
              </w:rPr>
              <w:t>Need for to scale-up AGYW interventions</w:t>
            </w:r>
            <w:r w:rsidR="002D52EF">
              <w:rPr>
                <w:noProof/>
                <w:webHidden/>
              </w:rPr>
              <w:tab/>
            </w:r>
            <w:r w:rsidR="002D52EF">
              <w:rPr>
                <w:noProof/>
                <w:webHidden/>
              </w:rPr>
              <w:fldChar w:fldCharType="begin"/>
            </w:r>
            <w:r w:rsidR="002D52EF">
              <w:rPr>
                <w:noProof/>
                <w:webHidden/>
              </w:rPr>
              <w:instrText xml:space="preserve"> PAGEREF _Toc57035218 \h </w:instrText>
            </w:r>
            <w:r w:rsidR="002D52EF">
              <w:rPr>
                <w:noProof/>
                <w:webHidden/>
              </w:rPr>
            </w:r>
            <w:r w:rsidR="002D52EF">
              <w:rPr>
                <w:noProof/>
                <w:webHidden/>
              </w:rPr>
              <w:fldChar w:fldCharType="separate"/>
            </w:r>
            <w:r w:rsidR="002D52EF">
              <w:rPr>
                <w:noProof/>
                <w:webHidden/>
              </w:rPr>
              <w:t>84</w:t>
            </w:r>
            <w:r w:rsidR="002D52EF">
              <w:rPr>
                <w:noProof/>
                <w:webHidden/>
              </w:rPr>
              <w:fldChar w:fldCharType="end"/>
            </w:r>
          </w:hyperlink>
        </w:p>
        <w:p w14:paraId="5B3E0F88" w14:textId="3668FA81" w:rsidR="002D52EF" w:rsidRDefault="00040C2B">
          <w:pPr>
            <w:pStyle w:val="TOC2"/>
            <w:tabs>
              <w:tab w:val="right" w:leader="dot" w:pos="9350"/>
            </w:tabs>
            <w:rPr>
              <w:noProof/>
              <w:sz w:val="22"/>
              <w:szCs w:val="22"/>
            </w:rPr>
          </w:pPr>
          <w:hyperlink w:anchor="_Toc57035219" w:history="1">
            <w:r w:rsidR="002D52EF" w:rsidRPr="008C6024">
              <w:rPr>
                <w:rStyle w:val="Hyperlink"/>
                <w:rFonts w:ascii="Arial" w:hAnsi="Arial" w:cs="Arial"/>
                <w:b/>
                <w:bCs/>
                <w:noProof/>
              </w:rPr>
              <w:t>Targeting the highest incidence districts</w:t>
            </w:r>
            <w:r w:rsidR="002D52EF">
              <w:rPr>
                <w:noProof/>
                <w:webHidden/>
              </w:rPr>
              <w:tab/>
            </w:r>
            <w:r w:rsidR="002D52EF">
              <w:rPr>
                <w:noProof/>
                <w:webHidden/>
              </w:rPr>
              <w:fldChar w:fldCharType="begin"/>
            </w:r>
            <w:r w:rsidR="002D52EF">
              <w:rPr>
                <w:noProof/>
                <w:webHidden/>
              </w:rPr>
              <w:instrText xml:space="preserve"> PAGEREF _Toc57035219 \h </w:instrText>
            </w:r>
            <w:r w:rsidR="002D52EF">
              <w:rPr>
                <w:noProof/>
                <w:webHidden/>
              </w:rPr>
            </w:r>
            <w:r w:rsidR="002D52EF">
              <w:rPr>
                <w:noProof/>
                <w:webHidden/>
              </w:rPr>
              <w:fldChar w:fldCharType="separate"/>
            </w:r>
            <w:r w:rsidR="002D52EF">
              <w:rPr>
                <w:noProof/>
                <w:webHidden/>
              </w:rPr>
              <w:t>85</w:t>
            </w:r>
            <w:r w:rsidR="002D52EF">
              <w:rPr>
                <w:noProof/>
                <w:webHidden/>
              </w:rPr>
              <w:fldChar w:fldCharType="end"/>
            </w:r>
          </w:hyperlink>
        </w:p>
        <w:p w14:paraId="76E6C8C4" w14:textId="762C9E27" w:rsidR="002D52EF" w:rsidRDefault="00040C2B">
          <w:pPr>
            <w:pStyle w:val="TOC2"/>
            <w:tabs>
              <w:tab w:val="right" w:leader="dot" w:pos="9350"/>
            </w:tabs>
            <w:rPr>
              <w:noProof/>
              <w:sz w:val="22"/>
              <w:szCs w:val="22"/>
            </w:rPr>
          </w:pPr>
          <w:hyperlink w:anchor="_Toc57035220" w:history="1">
            <w:r w:rsidR="002D52EF" w:rsidRPr="008C6024">
              <w:rPr>
                <w:rStyle w:val="Hyperlink"/>
                <w:rFonts w:ascii="Arial" w:hAnsi="Arial" w:cs="Arial"/>
                <w:b/>
                <w:bCs/>
                <w:noProof/>
              </w:rPr>
              <w:t>Modeling assumptions: AGYW prevention scale-up</w:t>
            </w:r>
            <w:r w:rsidR="002D52EF">
              <w:rPr>
                <w:noProof/>
                <w:webHidden/>
              </w:rPr>
              <w:tab/>
            </w:r>
            <w:r w:rsidR="002D52EF">
              <w:rPr>
                <w:noProof/>
                <w:webHidden/>
              </w:rPr>
              <w:fldChar w:fldCharType="begin"/>
            </w:r>
            <w:r w:rsidR="002D52EF">
              <w:rPr>
                <w:noProof/>
                <w:webHidden/>
              </w:rPr>
              <w:instrText xml:space="preserve"> PAGEREF _Toc57035220 \h </w:instrText>
            </w:r>
            <w:r w:rsidR="002D52EF">
              <w:rPr>
                <w:noProof/>
                <w:webHidden/>
              </w:rPr>
            </w:r>
            <w:r w:rsidR="002D52EF">
              <w:rPr>
                <w:noProof/>
                <w:webHidden/>
              </w:rPr>
              <w:fldChar w:fldCharType="separate"/>
            </w:r>
            <w:r w:rsidR="002D52EF">
              <w:rPr>
                <w:noProof/>
                <w:webHidden/>
              </w:rPr>
              <w:t>86</w:t>
            </w:r>
            <w:r w:rsidR="002D52EF">
              <w:rPr>
                <w:noProof/>
                <w:webHidden/>
              </w:rPr>
              <w:fldChar w:fldCharType="end"/>
            </w:r>
          </w:hyperlink>
        </w:p>
        <w:p w14:paraId="0EB10AC8" w14:textId="63045606" w:rsidR="002D52EF" w:rsidRDefault="00040C2B">
          <w:pPr>
            <w:pStyle w:val="TOC2"/>
            <w:tabs>
              <w:tab w:val="right" w:leader="dot" w:pos="9350"/>
            </w:tabs>
            <w:rPr>
              <w:noProof/>
              <w:sz w:val="22"/>
              <w:szCs w:val="22"/>
            </w:rPr>
          </w:pPr>
          <w:hyperlink w:anchor="_Toc57035221" w:history="1">
            <w:r w:rsidR="002D52EF" w:rsidRPr="008C6024">
              <w:rPr>
                <w:rStyle w:val="Hyperlink"/>
                <w:rFonts w:ascii="Arial" w:hAnsi="Arial" w:cs="Arial"/>
                <w:b/>
                <w:bCs/>
                <w:iCs/>
                <w:noProof/>
              </w:rPr>
              <w:t>Impact of AGYW program scale-up</w:t>
            </w:r>
            <w:r w:rsidR="002D52EF">
              <w:rPr>
                <w:noProof/>
                <w:webHidden/>
              </w:rPr>
              <w:tab/>
            </w:r>
            <w:r w:rsidR="002D52EF">
              <w:rPr>
                <w:noProof/>
                <w:webHidden/>
              </w:rPr>
              <w:fldChar w:fldCharType="begin"/>
            </w:r>
            <w:r w:rsidR="002D52EF">
              <w:rPr>
                <w:noProof/>
                <w:webHidden/>
              </w:rPr>
              <w:instrText xml:space="preserve"> PAGEREF _Toc57035221 \h </w:instrText>
            </w:r>
            <w:r w:rsidR="002D52EF">
              <w:rPr>
                <w:noProof/>
                <w:webHidden/>
              </w:rPr>
            </w:r>
            <w:r w:rsidR="002D52EF">
              <w:rPr>
                <w:noProof/>
                <w:webHidden/>
              </w:rPr>
              <w:fldChar w:fldCharType="separate"/>
            </w:r>
            <w:r w:rsidR="002D52EF">
              <w:rPr>
                <w:noProof/>
                <w:webHidden/>
              </w:rPr>
              <w:t>86</w:t>
            </w:r>
            <w:r w:rsidR="002D52EF">
              <w:rPr>
                <w:noProof/>
                <w:webHidden/>
              </w:rPr>
              <w:fldChar w:fldCharType="end"/>
            </w:r>
          </w:hyperlink>
        </w:p>
        <w:p w14:paraId="38F74CA2" w14:textId="21949918" w:rsidR="002D52EF" w:rsidRDefault="00040C2B">
          <w:pPr>
            <w:pStyle w:val="TOC2"/>
            <w:tabs>
              <w:tab w:val="right" w:leader="dot" w:pos="9350"/>
            </w:tabs>
            <w:rPr>
              <w:noProof/>
              <w:sz w:val="22"/>
              <w:szCs w:val="22"/>
            </w:rPr>
          </w:pPr>
          <w:hyperlink w:anchor="_Toc57035222" w:history="1">
            <w:r w:rsidR="002D52EF" w:rsidRPr="008C6024">
              <w:rPr>
                <w:rStyle w:val="Hyperlink"/>
                <w:rFonts w:ascii="Arial" w:hAnsi="Arial" w:cs="Arial"/>
                <w:b/>
                <w:bCs/>
                <w:noProof/>
              </w:rPr>
              <w:t>Costs of AGYW prevention scale-up</w:t>
            </w:r>
            <w:r w:rsidR="002D52EF">
              <w:rPr>
                <w:noProof/>
                <w:webHidden/>
              </w:rPr>
              <w:tab/>
            </w:r>
            <w:r w:rsidR="002D52EF">
              <w:rPr>
                <w:noProof/>
                <w:webHidden/>
              </w:rPr>
              <w:fldChar w:fldCharType="begin"/>
            </w:r>
            <w:r w:rsidR="002D52EF">
              <w:rPr>
                <w:noProof/>
                <w:webHidden/>
              </w:rPr>
              <w:instrText xml:space="preserve"> PAGEREF _Toc57035222 \h </w:instrText>
            </w:r>
            <w:r w:rsidR="002D52EF">
              <w:rPr>
                <w:noProof/>
                <w:webHidden/>
              </w:rPr>
            </w:r>
            <w:r w:rsidR="002D52EF">
              <w:rPr>
                <w:noProof/>
                <w:webHidden/>
              </w:rPr>
              <w:fldChar w:fldCharType="separate"/>
            </w:r>
            <w:r w:rsidR="002D52EF">
              <w:rPr>
                <w:noProof/>
                <w:webHidden/>
              </w:rPr>
              <w:t>87</w:t>
            </w:r>
            <w:r w:rsidR="002D52EF">
              <w:rPr>
                <w:noProof/>
                <w:webHidden/>
              </w:rPr>
              <w:fldChar w:fldCharType="end"/>
            </w:r>
          </w:hyperlink>
        </w:p>
        <w:p w14:paraId="0243C29D" w14:textId="79DE2A19" w:rsidR="002D52EF" w:rsidRDefault="00040C2B">
          <w:pPr>
            <w:pStyle w:val="TOC3"/>
            <w:tabs>
              <w:tab w:val="right" w:leader="dot" w:pos="9350"/>
            </w:tabs>
            <w:rPr>
              <w:noProof/>
              <w:sz w:val="22"/>
              <w:szCs w:val="22"/>
            </w:rPr>
          </w:pPr>
          <w:hyperlink w:anchor="_Toc57035223" w:history="1">
            <w:r w:rsidR="002D52EF" w:rsidRPr="008C6024">
              <w:rPr>
                <w:rStyle w:val="Hyperlink"/>
                <w:rFonts w:ascii="Arial" w:hAnsi="Arial" w:cs="Arial"/>
                <w:i/>
                <w:noProof/>
              </w:rPr>
              <w:t>Cost-effectiveness of AGYW prevention scale-up</w:t>
            </w:r>
            <w:r w:rsidR="002D52EF">
              <w:rPr>
                <w:noProof/>
                <w:webHidden/>
              </w:rPr>
              <w:tab/>
            </w:r>
            <w:r w:rsidR="002D52EF">
              <w:rPr>
                <w:noProof/>
                <w:webHidden/>
              </w:rPr>
              <w:fldChar w:fldCharType="begin"/>
            </w:r>
            <w:r w:rsidR="002D52EF">
              <w:rPr>
                <w:noProof/>
                <w:webHidden/>
              </w:rPr>
              <w:instrText xml:space="preserve"> PAGEREF _Toc57035223 \h </w:instrText>
            </w:r>
            <w:r w:rsidR="002D52EF">
              <w:rPr>
                <w:noProof/>
                <w:webHidden/>
              </w:rPr>
            </w:r>
            <w:r w:rsidR="002D52EF">
              <w:rPr>
                <w:noProof/>
                <w:webHidden/>
              </w:rPr>
              <w:fldChar w:fldCharType="separate"/>
            </w:r>
            <w:r w:rsidR="002D52EF">
              <w:rPr>
                <w:noProof/>
                <w:webHidden/>
              </w:rPr>
              <w:t>88</w:t>
            </w:r>
            <w:r w:rsidR="002D52EF">
              <w:rPr>
                <w:noProof/>
                <w:webHidden/>
              </w:rPr>
              <w:fldChar w:fldCharType="end"/>
            </w:r>
          </w:hyperlink>
        </w:p>
        <w:p w14:paraId="7C8DB9C1" w14:textId="4973E1B2" w:rsidR="002D52EF" w:rsidRDefault="00040C2B">
          <w:pPr>
            <w:pStyle w:val="TOC2"/>
            <w:tabs>
              <w:tab w:val="right" w:leader="dot" w:pos="9350"/>
            </w:tabs>
            <w:rPr>
              <w:noProof/>
              <w:sz w:val="22"/>
              <w:szCs w:val="22"/>
            </w:rPr>
          </w:pPr>
          <w:hyperlink w:anchor="_Toc57035224" w:history="1">
            <w:r w:rsidR="002D52EF" w:rsidRPr="008C6024">
              <w:rPr>
                <w:rStyle w:val="Hyperlink"/>
                <w:rFonts w:ascii="Arial" w:hAnsi="Arial" w:cs="Arial"/>
                <w:b/>
                <w:bCs/>
                <w:noProof/>
              </w:rPr>
              <w:t>Financing AGYW prevention scale-up: Cost-sharing</w:t>
            </w:r>
            <w:r w:rsidR="002D52EF">
              <w:rPr>
                <w:noProof/>
                <w:webHidden/>
              </w:rPr>
              <w:tab/>
            </w:r>
            <w:r w:rsidR="002D52EF">
              <w:rPr>
                <w:noProof/>
                <w:webHidden/>
              </w:rPr>
              <w:fldChar w:fldCharType="begin"/>
            </w:r>
            <w:r w:rsidR="002D52EF">
              <w:rPr>
                <w:noProof/>
                <w:webHidden/>
              </w:rPr>
              <w:instrText xml:space="preserve"> PAGEREF _Toc57035224 \h </w:instrText>
            </w:r>
            <w:r w:rsidR="002D52EF">
              <w:rPr>
                <w:noProof/>
                <w:webHidden/>
              </w:rPr>
            </w:r>
            <w:r w:rsidR="002D52EF">
              <w:rPr>
                <w:noProof/>
                <w:webHidden/>
              </w:rPr>
              <w:fldChar w:fldCharType="separate"/>
            </w:r>
            <w:r w:rsidR="002D52EF">
              <w:rPr>
                <w:noProof/>
                <w:webHidden/>
              </w:rPr>
              <w:t>88</w:t>
            </w:r>
            <w:r w:rsidR="002D52EF">
              <w:rPr>
                <w:noProof/>
                <w:webHidden/>
              </w:rPr>
              <w:fldChar w:fldCharType="end"/>
            </w:r>
          </w:hyperlink>
        </w:p>
        <w:p w14:paraId="641C0E36" w14:textId="34903A50" w:rsidR="002D52EF" w:rsidRDefault="00040C2B">
          <w:pPr>
            <w:pStyle w:val="TOC2"/>
            <w:tabs>
              <w:tab w:val="right" w:leader="dot" w:pos="9350"/>
            </w:tabs>
            <w:rPr>
              <w:noProof/>
              <w:sz w:val="22"/>
              <w:szCs w:val="22"/>
            </w:rPr>
          </w:pPr>
          <w:hyperlink w:anchor="_Toc57035225" w:history="1">
            <w:r w:rsidR="002D52EF" w:rsidRPr="008C6024">
              <w:rPr>
                <w:rStyle w:val="Hyperlink"/>
                <w:rFonts w:ascii="Arial" w:hAnsi="Arial" w:cs="Arial"/>
                <w:b/>
                <w:noProof/>
              </w:rPr>
              <w:t>Takeaways on AGYW prevention program scale-up</w:t>
            </w:r>
            <w:r w:rsidR="002D52EF">
              <w:rPr>
                <w:noProof/>
                <w:webHidden/>
              </w:rPr>
              <w:tab/>
            </w:r>
            <w:r w:rsidR="002D52EF">
              <w:rPr>
                <w:noProof/>
                <w:webHidden/>
              </w:rPr>
              <w:fldChar w:fldCharType="begin"/>
            </w:r>
            <w:r w:rsidR="002D52EF">
              <w:rPr>
                <w:noProof/>
                <w:webHidden/>
              </w:rPr>
              <w:instrText xml:space="preserve"> PAGEREF _Toc57035225 \h </w:instrText>
            </w:r>
            <w:r w:rsidR="002D52EF">
              <w:rPr>
                <w:noProof/>
                <w:webHidden/>
              </w:rPr>
            </w:r>
            <w:r w:rsidR="002D52EF">
              <w:rPr>
                <w:noProof/>
                <w:webHidden/>
              </w:rPr>
              <w:fldChar w:fldCharType="separate"/>
            </w:r>
            <w:r w:rsidR="002D52EF">
              <w:rPr>
                <w:noProof/>
                <w:webHidden/>
              </w:rPr>
              <w:t>89</w:t>
            </w:r>
            <w:r w:rsidR="002D52EF">
              <w:rPr>
                <w:noProof/>
                <w:webHidden/>
              </w:rPr>
              <w:fldChar w:fldCharType="end"/>
            </w:r>
          </w:hyperlink>
        </w:p>
        <w:p w14:paraId="235A0A28" w14:textId="60B24ADF" w:rsidR="002D52EF" w:rsidRDefault="00040C2B">
          <w:pPr>
            <w:pStyle w:val="TOC1"/>
            <w:tabs>
              <w:tab w:val="right" w:leader="dot" w:pos="9350"/>
            </w:tabs>
            <w:rPr>
              <w:noProof/>
              <w:sz w:val="22"/>
              <w:szCs w:val="22"/>
            </w:rPr>
          </w:pPr>
          <w:hyperlink w:anchor="_Toc57035226" w:history="1">
            <w:r w:rsidR="002D52EF" w:rsidRPr="008C6024">
              <w:rPr>
                <w:rStyle w:val="Hyperlink"/>
                <w:rFonts w:ascii="Arial" w:eastAsia="Times New Roman" w:hAnsi="Arial" w:cs="Arial"/>
                <w:b/>
                <w:bCs/>
                <w:noProof/>
              </w:rPr>
              <w:t>CHAPTER 9. CONCLUSIONS</w:t>
            </w:r>
            <w:r w:rsidR="002D52EF">
              <w:rPr>
                <w:noProof/>
                <w:webHidden/>
              </w:rPr>
              <w:tab/>
            </w:r>
            <w:r w:rsidR="002D52EF">
              <w:rPr>
                <w:noProof/>
                <w:webHidden/>
              </w:rPr>
              <w:fldChar w:fldCharType="begin"/>
            </w:r>
            <w:r w:rsidR="002D52EF">
              <w:rPr>
                <w:noProof/>
                <w:webHidden/>
              </w:rPr>
              <w:instrText xml:space="preserve"> PAGEREF _Toc57035226 \h </w:instrText>
            </w:r>
            <w:r w:rsidR="002D52EF">
              <w:rPr>
                <w:noProof/>
                <w:webHidden/>
              </w:rPr>
            </w:r>
            <w:r w:rsidR="002D52EF">
              <w:rPr>
                <w:noProof/>
                <w:webHidden/>
              </w:rPr>
              <w:fldChar w:fldCharType="separate"/>
            </w:r>
            <w:r w:rsidR="002D52EF">
              <w:rPr>
                <w:noProof/>
                <w:webHidden/>
              </w:rPr>
              <w:t>90</w:t>
            </w:r>
            <w:r w:rsidR="002D52EF">
              <w:rPr>
                <w:noProof/>
                <w:webHidden/>
              </w:rPr>
              <w:fldChar w:fldCharType="end"/>
            </w:r>
          </w:hyperlink>
        </w:p>
        <w:p w14:paraId="50446085" w14:textId="6C9057F5" w:rsidR="002D52EF" w:rsidRDefault="00040C2B">
          <w:pPr>
            <w:pStyle w:val="TOC2"/>
            <w:tabs>
              <w:tab w:val="right" w:leader="dot" w:pos="9350"/>
            </w:tabs>
            <w:rPr>
              <w:noProof/>
              <w:sz w:val="22"/>
              <w:szCs w:val="22"/>
            </w:rPr>
          </w:pPr>
          <w:hyperlink w:anchor="_Toc57035227" w:history="1">
            <w:r w:rsidR="002D52EF" w:rsidRPr="008C6024">
              <w:rPr>
                <w:rStyle w:val="Hyperlink"/>
                <w:rFonts w:ascii="Arial" w:hAnsi="Arial" w:cs="Arial"/>
                <w:b/>
                <w:bCs/>
                <w:noProof/>
              </w:rPr>
              <w:t>Summing up the Investment Case for HIV 2.0</w:t>
            </w:r>
            <w:r w:rsidR="002D52EF">
              <w:rPr>
                <w:noProof/>
                <w:webHidden/>
              </w:rPr>
              <w:tab/>
            </w:r>
            <w:r w:rsidR="002D52EF">
              <w:rPr>
                <w:noProof/>
                <w:webHidden/>
              </w:rPr>
              <w:fldChar w:fldCharType="begin"/>
            </w:r>
            <w:r w:rsidR="002D52EF">
              <w:rPr>
                <w:noProof/>
                <w:webHidden/>
              </w:rPr>
              <w:instrText xml:space="preserve"> PAGEREF _Toc57035227 \h </w:instrText>
            </w:r>
            <w:r w:rsidR="002D52EF">
              <w:rPr>
                <w:noProof/>
                <w:webHidden/>
              </w:rPr>
            </w:r>
            <w:r w:rsidR="002D52EF">
              <w:rPr>
                <w:noProof/>
                <w:webHidden/>
              </w:rPr>
              <w:fldChar w:fldCharType="separate"/>
            </w:r>
            <w:r w:rsidR="002D52EF">
              <w:rPr>
                <w:noProof/>
                <w:webHidden/>
              </w:rPr>
              <w:t>90</w:t>
            </w:r>
            <w:r w:rsidR="002D52EF">
              <w:rPr>
                <w:noProof/>
                <w:webHidden/>
              </w:rPr>
              <w:fldChar w:fldCharType="end"/>
            </w:r>
          </w:hyperlink>
        </w:p>
        <w:p w14:paraId="6A37ACCC" w14:textId="12DD953C" w:rsidR="002D52EF" w:rsidRDefault="00040C2B">
          <w:pPr>
            <w:pStyle w:val="TOC2"/>
            <w:tabs>
              <w:tab w:val="right" w:leader="dot" w:pos="9350"/>
            </w:tabs>
            <w:rPr>
              <w:noProof/>
              <w:sz w:val="22"/>
              <w:szCs w:val="22"/>
            </w:rPr>
          </w:pPr>
          <w:hyperlink w:anchor="_Toc57035228" w:history="1">
            <w:r w:rsidR="002D52EF" w:rsidRPr="008C6024">
              <w:rPr>
                <w:rStyle w:val="Hyperlink"/>
                <w:rFonts w:ascii="Arial" w:hAnsi="Arial" w:cs="Arial"/>
                <w:b/>
                <w:bCs/>
                <w:noProof/>
              </w:rPr>
              <w:t>Achieving maximum impact</w:t>
            </w:r>
            <w:r w:rsidR="002D52EF">
              <w:rPr>
                <w:noProof/>
                <w:webHidden/>
              </w:rPr>
              <w:tab/>
            </w:r>
            <w:r w:rsidR="002D52EF">
              <w:rPr>
                <w:noProof/>
                <w:webHidden/>
              </w:rPr>
              <w:fldChar w:fldCharType="begin"/>
            </w:r>
            <w:r w:rsidR="002D52EF">
              <w:rPr>
                <w:noProof/>
                <w:webHidden/>
              </w:rPr>
              <w:instrText xml:space="preserve"> PAGEREF _Toc57035228 \h </w:instrText>
            </w:r>
            <w:r w:rsidR="002D52EF">
              <w:rPr>
                <w:noProof/>
                <w:webHidden/>
              </w:rPr>
            </w:r>
            <w:r w:rsidR="002D52EF">
              <w:rPr>
                <w:noProof/>
                <w:webHidden/>
              </w:rPr>
              <w:fldChar w:fldCharType="separate"/>
            </w:r>
            <w:r w:rsidR="002D52EF">
              <w:rPr>
                <w:noProof/>
                <w:webHidden/>
              </w:rPr>
              <w:t>93</w:t>
            </w:r>
            <w:r w:rsidR="002D52EF">
              <w:rPr>
                <w:noProof/>
                <w:webHidden/>
              </w:rPr>
              <w:fldChar w:fldCharType="end"/>
            </w:r>
          </w:hyperlink>
        </w:p>
        <w:p w14:paraId="74ED102F" w14:textId="554E99FF" w:rsidR="002D52EF" w:rsidRDefault="00040C2B">
          <w:pPr>
            <w:pStyle w:val="TOC3"/>
            <w:tabs>
              <w:tab w:val="right" w:leader="dot" w:pos="9350"/>
            </w:tabs>
            <w:rPr>
              <w:noProof/>
              <w:sz w:val="22"/>
              <w:szCs w:val="22"/>
            </w:rPr>
          </w:pPr>
          <w:hyperlink w:anchor="_Toc57035229" w:history="1">
            <w:r w:rsidR="002D52EF" w:rsidRPr="008C6024">
              <w:rPr>
                <w:rStyle w:val="Hyperlink"/>
                <w:rFonts w:ascii="Arial" w:hAnsi="Arial" w:cs="Arial"/>
                <w:i/>
                <w:iCs/>
                <w:noProof/>
              </w:rPr>
              <w:t>Operationalizing the IC recommendations</w:t>
            </w:r>
            <w:r w:rsidR="002D52EF">
              <w:rPr>
                <w:noProof/>
                <w:webHidden/>
              </w:rPr>
              <w:tab/>
            </w:r>
            <w:r w:rsidR="002D52EF">
              <w:rPr>
                <w:noProof/>
                <w:webHidden/>
              </w:rPr>
              <w:fldChar w:fldCharType="begin"/>
            </w:r>
            <w:r w:rsidR="002D52EF">
              <w:rPr>
                <w:noProof/>
                <w:webHidden/>
              </w:rPr>
              <w:instrText xml:space="preserve"> PAGEREF _Toc57035229 \h </w:instrText>
            </w:r>
            <w:r w:rsidR="002D52EF">
              <w:rPr>
                <w:noProof/>
                <w:webHidden/>
              </w:rPr>
            </w:r>
            <w:r w:rsidR="002D52EF">
              <w:rPr>
                <w:noProof/>
                <w:webHidden/>
              </w:rPr>
              <w:fldChar w:fldCharType="separate"/>
            </w:r>
            <w:r w:rsidR="002D52EF">
              <w:rPr>
                <w:noProof/>
                <w:webHidden/>
              </w:rPr>
              <w:t>93</w:t>
            </w:r>
            <w:r w:rsidR="002D52EF">
              <w:rPr>
                <w:noProof/>
                <w:webHidden/>
              </w:rPr>
              <w:fldChar w:fldCharType="end"/>
            </w:r>
          </w:hyperlink>
        </w:p>
        <w:p w14:paraId="4592C180" w14:textId="0B9EAA6B" w:rsidR="002D52EF" w:rsidRDefault="00040C2B">
          <w:pPr>
            <w:pStyle w:val="TOC3"/>
            <w:tabs>
              <w:tab w:val="right" w:leader="dot" w:pos="9350"/>
            </w:tabs>
            <w:rPr>
              <w:noProof/>
              <w:sz w:val="22"/>
              <w:szCs w:val="22"/>
            </w:rPr>
          </w:pPr>
          <w:hyperlink w:anchor="_Toc57035230" w:history="1">
            <w:r w:rsidR="002D52EF" w:rsidRPr="008C6024">
              <w:rPr>
                <w:rStyle w:val="Hyperlink"/>
                <w:rFonts w:ascii="Arial" w:hAnsi="Arial" w:cs="Arial"/>
                <w:i/>
                <w:iCs/>
                <w:noProof/>
              </w:rPr>
              <w:t>Critical enablers and synergies</w:t>
            </w:r>
            <w:r w:rsidR="002D52EF">
              <w:rPr>
                <w:noProof/>
                <w:webHidden/>
              </w:rPr>
              <w:tab/>
            </w:r>
            <w:r w:rsidR="002D52EF">
              <w:rPr>
                <w:noProof/>
                <w:webHidden/>
              </w:rPr>
              <w:fldChar w:fldCharType="begin"/>
            </w:r>
            <w:r w:rsidR="002D52EF">
              <w:rPr>
                <w:noProof/>
                <w:webHidden/>
              </w:rPr>
              <w:instrText xml:space="preserve"> PAGEREF _Toc57035230 \h </w:instrText>
            </w:r>
            <w:r w:rsidR="002D52EF">
              <w:rPr>
                <w:noProof/>
                <w:webHidden/>
              </w:rPr>
            </w:r>
            <w:r w:rsidR="002D52EF">
              <w:rPr>
                <w:noProof/>
                <w:webHidden/>
              </w:rPr>
              <w:fldChar w:fldCharType="separate"/>
            </w:r>
            <w:r w:rsidR="002D52EF">
              <w:rPr>
                <w:noProof/>
                <w:webHidden/>
              </w:rPr>
              <w:t>94</w:t>
            </w:r>
            <w:r w:rsidR="002D52EF">
              <w:rPr>
                <w:noProof/>
                <w:webHidden/>
              </w:rPr>
              <w:fldChar w:fldCharType="end"/>
            </w:r>
          </w:hyperlink>
        </w:p>
        <w:p w14:paraId="2A163108" w14:textId="4C0E3BA4" w:rsidR="002D52EF" w:rsidRDefault="00040C2B">
          <w:pPr>
            <w:pStyle w:val="TOC3"/>
            <w:tabs>
              <w:tab w:val="right" w:leader="dot" w:pos="9350"/>
            </w:tabs>
            <w:rPr>
              <w:noProof/>
              <w:sz w:val="22"/>
              <w:szCs w:val="22"/>
            </w:rPr>
          </w:pPr>
          <w:hyperlink w:anchor="_Toc57035231" w:history="1">
            <w:r w:rsidR="002D52EF" w:rsidRPr="008C6024">
              <w:rPr>
                <w:rStyle w:val="Hyperlink"/>
                <w:rFonts w:ascii="Arial" w:hAnsi="Arial" w:cs="Arial"/>
                <w:i/>
                <w:iCs/>
                <w:noProof/>
              </w:rPr>
              <w:t>Call to Action</w:t>
            </w:r>
            <w:r w:rsidR="002D52EF">
              <w:rPr>
                <w:noProof/>
                <w:webHidden/>
              </w:rPr>
              <w:tab/>
            </w:r>
            <w:r w:rsidR="002D52EF">
              <w:rPr>
                <w:noProof/>
                <w:webHidden/>
              </w:rPr>
              <w:fldChar w:fldCharType="begin"/>
            </w:r>
            <w:r w:rsidR="002D52EF">
              <w:rPr>
                <w:noProof/>
                <w:webHidden/>
              </w:rPr>
              <w:instrText xml:space="preserve"> PAGEREF _Toc57035231 \h </w:instrText>
            </w:r>
            <w:r w:rsidR="002D52EF">
              <w:rPr>
                <w:noProof/>
                <w:webHidden/>
              </w:rPr>
            </w:r>
            <w:r w:rsidR="002D52EF">
              <w:rPr>
                <w:noProof/>
                <w:webHidden/>
              </w:rPr>
              <w:fldChar w:fldCharType="separate"/>
            </w:r>
            <w:r w:rsidR="002D52EF">
              <w:rPr>
                <w:noProof/>
                <w:webHidden/>
              </w:rPr>
              <w:t>94</w:t>
            </w:r>
            <w:r w:rsidR="002D52EF">
              <w:rPr>
                <w:noProof/>
                <w:webHidden/>
              </w:rPr>
              <w:fldChar w:fldCharType="end"/>
            </w:r>
          </w:hyperlink>
        </w:p>
        <w:p w14:paraId="3063B81B" w14:textId="4F5A4258" w:rsidR="002D52EF" w:rsidRDefault="00040C2B">
          <w:pPr>
            <w:pStyle w:val="TOC1"/>
            <w:tabs>
              <w:tab w:val="right" w:leader="dot" w:pos="9350"/>
            </w:tabs>
            <w:rPr>
              <w:noProof/>
              <w:sz w:val="22"/>
              <w:szCs w:val="22"/>
            </w:rPr>
          </w:pPr>
          <w:hyperlink w:anchor="_Toc57035232" w:history="1">
            <w:r w:rsidR="002D52EF" w:rsidRPr="008C6024">
              <w:rPr>
                <w:rStyle w:val="Hyperlink"/>
                <w:rFonts w:ascii="Arial" w:hAnsi="Arial" w:cs="Arial"/>
                <w:b/>
                <w:noProof/>
              </w:rPr>
              <w:t>ANNEXES</w:t>
            </w:r>
            <w:r w:rsidR="002D52EF">
              <w:rPr>
                <w:noProof/>
                <w:webHidden/>
              </w:rPr>
              <w:tab/>
            </w:r>
            <w:r w:rsidR="002D52EF">
              <w:rPr>
                <w:noProof/>
                <w:webHidden/>
              </w:rPr>
              <w:fldChar w:fldCharType="begin"/>
            </w:r>
            <w:r w:rsidR="002D52EF">
              <w:rPr>
                <w:noProof/>
                <w:webHidden/>
              </w:rPr>
              <w:instrText xml:space="preserve"> PAGEREF _Toc57035232 \h </w:instrText>
            </w:r>
            <w:r w:rsidR="002D52EF">
              <w:rPr>
                <w:noProof/>
                <w:webHidden/>
              </w:rPr>
            </w:r>
            <w:r w:rsidR="002D52EF">
              <w:rPr>
                <w:noProof/>
                <w:webHidden/>
              </w:rPr>
              <w:fldChar w:fldCharType="separate"/>
            </w:r>
            <w:r w:rsidR="002D52EF">
              <w:rPr>
                <w:noProof/>
                <w:webHidden/>
              </w:rPr>
              <w:t>95</w:t>
            </w:r>
            <w:r w:rsidR="002D52EF">
              <w:rPr>
                <w:noProof/>
                <w:webHidden/>
              </w:rPr>
              <w:fldChar w:fldCharType="end"/>
            </w:r>
          </w:hyperlink>
        </w:p>
        <w:p w14:paraId="7C9AA01F" w14:textId="7DB7252B" w:rsidR="002D52EF" w:rsidRDefault="00040C2B">
          <w:pPr>
            <w:pStyle w:val="TOC2"/>
            <w:tabs>
              <w:tab w:val="right" w:leader="dot" w:pos="9350"/>
            </w:tabs>
            <w:rPr>
              <w:noProof/>
              <w:sz w:val="22"/>
              <w:szCs w:val="22"/>
            </w:rPr>
          </w:pPr>
          <w:hyperlink w:anchor="_Toc57035233" w:history="1">
            <w:r w:rsidR="002D52EF" w:rsidRPr="008C6024">
              <w:rPr>
                <w:rStyle w:val="Hyperlink"/>
                <w:rFonts w:ascii="Arial" w:hAnsi="Arial" w:cs="Arial"/>
                <w:noProof/>
              </w:rPr>
              <w:t>Annex 1. List of stakeholders consulted- November 2018</w:t>
            </w:r>
            <w:r w:rsidR="002D52EF">
              <w:rPr>
                <w:noProof/>
                <w:webHidden/>
              </w:rPr>
              <w:tab/>
            </w:r>
            <w:r w:rsidR="002D52EF">
              <w:rPr>
                <w:noProof/>
                <w:webHidden/>
              </w:rPr>
              <w:fldChar w:fldCharType="begin"/>
            </w:r>
            <w:r w:rsidR="002D52EF">
              <w:rPr>
                <w:noProof/>
                <w:webHidden/>
              </w:rPr>
              <w:instrText xml:space="preserve"> PAGEREF _Toc57035233 \h </w:instrText>
            </w:r>
            <w:r w:rsidR="002D52EF">
              <w:rPr>
                <w:noProof/>
                <w:webHidden/>
              </w:rPr>
            </w:r>
            <w:r w:rsidR="002D52EF">
              <w:rPr>
                <w:noProof/>
                <w:webHidden/>
              </w:rPr>
              <w:fldChar w:fldCharType="separate"/>
            </w:r>
            <w:r w:rsidR="002D52EF">
              <w:rPr>
                <w:noProof/>
                <w:webHidden/>
              </w:rPr>
              <w:t>96</w:t>
            </w:r>
            <w:r w:rsidR="002D52EF">
              <w:rPr>
                <w:noProof/>
                <w:webHidden/>
              </w:rPr>
              <w:fldChar w:fldCharType="end"/>
            </w:r>
          </w:hyperlink>
        </w:p>
        <w:p w14:paraId="52FDCDEE" w14:textId="6C7D65A7" w:rsidR="002D52EF" w:rsidRDefault="00040C2B">
          <w:pPr>
            <w:pStyle w:val="TOC2"/>
            <w:tabs>
              <w:tab w:val="right" w:leader="dot" w:pos="9350"/>
            </w:tabs>
            <w:rPr>
              <w:noProof/>
              <w:sz w:val="22"/>
              <w:szCs w:val="22"/>
            </w:rPr>
          </w:pPr>
          <w:hyperlink w:anchor="_Toc57035234" w:history="1">
            <w:r w:rsidR="002D52EF" w:rsidRPr="008C6024">
              <w:rPr>
                <w:rStyle w:val="Hyperlink"/>
                <w:rFonts w:ascii="Arial" w:hAnsi="Arial" w:cs="Arial"/>
                <w:noProof/>
              </w:rPr>
              <w:t>Annex 2. Agenda for Technical Working Group Meeting- February 2019</w:t>
            </w:r>
            <w:r w:rsidR="002D52EF">
              <w:rPr>
                <w:noProof/>
                <w:webHidden/>
              </w:rPr>
              <w:tab/>
            </w:r>
            <w:r w:rsidR="002D52EF">
              <w:rPr>
                <w:noProof/>
                <w:webHidden/>
              </w:rPr>
              <w:fldChar w:fldCharType="begin"/>
            </w:r>
            <w:r w:rsidR="002D52EF">
              <w:rPr>
                <w:noProof/>
                <w:webHidden/>
              </w:rPr>
              <w:instrText xml:space="preserve"> PAGEREF _Toc57035234 \h </w:instrText>
            </w:r>
            <w:r w:rsidR="002D52EF">
              <w:rPr>
                <w:noProof/>
                <w:webHidden/>
              </w:rPr>
            </w:r>
            <w:r w:rsidR="002D52EF">
              <w:rPr>
                <w:noProof/>
                <w:webHidden/>
              </w:rPr>
              <w:fldChar w:fldCharType="separate"/>
            </w:r>
            <w:r w:rsidR="002D52EF">
              <w:rPr>
                <w:noProof/>
                <w:webHidden/>
              </w:rPr>
              <w:t>97</w:t>
            </w:r>
            <w:r w:rsidR="002D52EF">
              <w:rPr>
                <w:noProof/>
                <w:webHidden/>
              </w:rPr>
              <w:fldChar w:fldCharType="end"/>
            </w:r>
          </w:hyperlink>
        </w:p>
        <w:p w14:paraId="6DD20949" w14:textId="24BB3CF1" w:rsidR="002D52EF" w:rsidRDefault="00040C2B">
          <w:pPr>
            <w:pStyle w:val="TOC2"/>
            <w:tabs>
              <w:tab w:val="right" w:leader="dot" w:pos="9350"/>
            </w:tabs>
            <w:rPr>
              <w:noProof/>
              <w:sz w:val="22"/>
              <w:szCs w:val="22"/>
            </w:rPr>
          </w:pPr>
          <w:hyperlink w:anchor="_Toc57035235" w:history="1">
            <w:r w:rsidR="002D52EF" w:rsidRPr="008C6024">
              <w:rPr>
                <w:rStyle w:val="Hyperlink"/>
                <w:rFonts w:ascii="Arial" w:hAnsi="Arial" w:cs="Arial"/>
                <w:noProof/>
              </w:rPr>
              <w:t>Annex 3. HIV prevalence in Tanzania by age and sex</w:t>
            </w:r>
            <w:r w:rsidR="002D52EF">
              <w:rPr>
                <w:noProof/>
                <w:webHidden/>
              </w:rPr>
              <w:tab/>
            </w:r>
            <w:r w:rsidR="002D52EF">
              <w:rPr>
                <w:noProof/>
                <w:webHidden/>
              </w:rPr>
              <w:fldChar w:fldCharType="begin"/>
            </w:r>
            <w:r w:rsidR="002D52EF">
              <w:rPr>
                <w:noProof/>
                <w:webHidden/>
              </w:rPr>
              <w:instrText xml:space="preserve"> PAGEREF _Toc57035235 \h </w:instrText>
            </w:r>
            <w:r w:rsidR="002D52EF">
              <w:rPr>
                <w:noProof/>
                <w:webHidden/>
              </w:rPr>
            </w:r>
            <w:r w:rsidR="002D52EF">
              <w:rPr>
                <w:noProof/>
                <w:webHidden/>
              </w:rPr>
              <w:fldChar w:fldCharType="separate"/>
            </w:r>
            <w:r w:rsidR="002D52EF">
              <w:rPr>
                <w:noProof/>
                <w:webHidden/>
              </w:rPr>
              <w:t>98</w:t>
            </w:r>
            <w:r w:rsidR="002D52EF">
              <w:rPr>
                <w:noProof/>
                <w:webHidden/>
              </w:rPr>
              <w:fldChar w:fldCharType="end"/>
            </w:r>
          </w:hyperlink>
        </w:p>
        <w:p w14:paraId="2DBB2FF4" w14:textId="771CC850" w:rsidR="002D52EF" w:rsidRDefault="00040C2B">
          <w:pPr>
            <w:pStyle w:val="TOC2"/>
            <w:tabs>
              <w:tab w:val="right" w:leader="dot" w:pos="9350"/>
            </w:tabs>
            <w:rPr>
              <w:noProof/>
              <w:sz w:val="22"/>
              <w:szCs w:val="22"/>
            </w:rPr>
          </w:pPr>
          <w:hyperlink w:anchor="_Toc57035236" w:history="1">
            <w:r w:rsidR="002D52EF" w:rsidRPr="008C6024">
              <w:rPr>
                <w:rStyle w:val="Hyperlink"/>
                <w:rFonts w:ascii="Arial" w:hAnsi="Arial" w:cs="Arial"/>
                <w:noProof/>
              </w:rPr>
              <w:t>Annex 4. Goals model</w:t>
            </w:r>
            <w:r w:rsidR="002D52EF">
              <w:rPr>
                <w:noProof/>
                <w:webHidden/>
              </w:rPr>
              <w:tab/>
            </w:r>
            <w:r w:rsidR="002D52EF">
              <w:rPr>
                <w:noProof/>
                <w:webHidden/>
              </w:rPr>
              <w:fldChar w:fldCharType="begin"/>
            </w:r>
            <w:r w:rsidR="002D52EF">
              <w:rPr>
                <w:noProof/>
                <w:webHidden/>
              </w:rPr>
              <w:instrText xml:space="preserve"> PAGEREF _Toc57035236 \h </w:instrText>
            </w:r>
            <w:r w:rsidR="002D52EF">
              <w:rPr>
                <w:noProof/>
                <w:webHidden/>
              </w:rPr>
            </w:r>
            <w:r w:rsidR="002D52EF">
              <w:rPr>
                <w:noProof/>
                <w:webHidden/>
              </w:rPr>
              <w:fldChar w:fldCharType="separate"/>
            </w:r>
            <w:r w:rsidR="002D52EF">
              <w:rPr>
                <w:noProof/>
                <w:webHidden/>
              </w:rPr>
              <w:t>99</w:t>
            </w:r>
            <w:r w:rsidR="002D52EF">
              <w:rPr>
                <w:noProof/>
                <w:webHidden/>
              </w:rPr>
              <w:fldChar w:fldCharType="end"/>
            </w:r>
          </w:hyperlink>
        </w:p>
        <w:p w14:paraId="012B75FE" w14:textId="6FB2911A" w:rsidR="002D52EF" w:rsidRDefault="00040C2B">
          <w:pPr>
            <w:pStyle w:val="TOC2"/>
            <w:tabs>
              <w:tab w:val="right" w:leader="dot" w:pos="9350"/>
            </w:tabs>
            <w:rPr>
              <w:noProof/>
              <w:sz w:val="22"/>
              <w:szCs w:val="22"/>
            </w:rPr>
          </w:pPr>
          <w:hyperlink w:anchor="_Toc57035237" w:history="1">
            <w:r w:rsidR="002D52EF" w:rsidRPr="008C6024">
              <w:rPr>
                <w:rStyle w:val="Hyperlink"/>
                <w:rFonts w:ascii="Arial" w:hAnsi="Arial" w:cs="Arial"/>
                <w:noProof/>
              </w:rPr>
              <w:t>Annex 5. Unit costs</w:t>
            </w:r>
            <w:r w:rsidR="002D52EF">
              <w:rPr>
                <w:noProof/>
                <w:webHidden/>
              </w:rPr>
              <w:tab/>
            </w:r>
            <w:r w:rsidR="002D52EF">
              <w:rPr>
                <w:noProof/>
                <w:webHidden/>
              </w:rPr>
              <w:fldChar w:fldCharType="begin"/>
            </w:r>
            <w:r w:rsidR="002D52EF">
              <w:rPr>
                <w:noProof/>
                <w:webHidden/>
              </w:rPr>
              <w:instrText xml:space="preserve"> PAGEREF _Toc57035237 \h </w:instrText>
            </w:r>
            <w:r w:rsidR="002D52EF">
              <w:rPr>
                <w:noProof/>
                <w:webHidden/>
              </w:rPr>
            </w:r>
            <w:r w:rsidR="002D52EF">
              <w:rPr>
                <w:noProof/>
                <w:webHidden/>
              </w:rPr>
              <w:fldChar w:fldCharType="separate"/>
            </w:r>
            <w:r w:rsidR="002D52EF">
              <w:rPr>
                <w:noProof/>
                <w:webHidden/>
              </w:rPr>
              <w:t>104</w:t>
            </w:r>
            <w:r w:rsidR="002D52EF">
              <w:rPr>
                <w:noProof/>
                <w:webHidden/>
              </w:rPr>
              <w:fldChar w:fldCharType="end"/>
            </w:r>
          </w:hyperlink>
        </w:p>
        <w:p w14:paraId="7B5A3649" w14:textId="1209E19D" w:rsidR="002D52EF" w:rsidRDefault="00040C2B">
          <w:pPr>
            <w:pStyle w:val="TOC2"/>
            <w:tabs>
              <w:tab w:val="right" w:leader="dot" w:pos="9350"/>
            </w:tabs>
            <w:rPr>
              <w:noProof/>
              <w:sz w:val="22"/>
              <w:szCs w:val="22"/>
            </w:rPr>
          </w:pPr>
          <w:hyperlink w:anchor="_Toc57035238" w:history="1">
            <w:r w:rsidR="002D52EF" w:rsidRPr="008C6024">
              <w:rPr>
                <w:rStyle w:val="Hyperlink"/>
                <w:rFonts w:ascii="Arial" w:hAnsi="Arial" w:cs="Arial"/>
                <w:noProof/>
              </w:rPr>
              <w:t>Annex 6. Geographic prioritization results</w:t>
            </w:r>
            <w:r w:rsidR="002D52EF">
              <w:rPr>
                <w:noProof/>
                <w:webHidden/>
              </w:rPr>
              <w:tab/>
            </w:r>
            <w:r w:rsidR="002D52EF">
              <w:rPr>
                <w:noProof/>
                <w:webHidden/>
              </w:rPr>
              <w:fldChar w:fldCharType="begin"/>
            </w:r>
            <w:r w:rsidR="002D52EF">
              <w:rPr>
                <w:noProof/>
                <w:webHidden/>
              </w:rPr>
              <w:instrText xml:space="preserve"> PAGEREF _Toc57035238 \h </w:instrText>
            </w:r>
            <w:r w:rsidR="002D52EF">
              <w:rPr>
                <w:noProof/>
                <w:webHidden/>
              </w:rPr>
            </w:r>
            <w:r w:rsidR="002D52EF">
              <w:rPr>
                <w:noProof/>
                <w:webHidden/>
              </w:rPr>
              <w:fldChar w:fldCharType="separate"/>
            </w:r>
            <w:r w:rsidR="002D52EF">
              <w:rPr>
                <w:noProof/>
                <w:webHidden/>
              </w:rPr>
              <w:t>105</w:t>
            </w:r>
            <w:r w:rsidR="002D52EF">
              <w:rPr>
                <w:noProof/>
                <w:webHidden/>
              </w:rPr>
              <w:fldChar w:fldCharType="end"/>
            </w:r>
          </w:hyperlink>
        </w:p>
        <w:p w14:paraId="4EE18462" w14:textId="473DEE40" w:rsidR="002D52EF" w:rsidRDefault="00040C2B">
          <w:pPr>
            <w:pStyle w:val="TOC2"/>
            <w:tabs>
              <w:tab w:val="right" w:leader="dot" w:pos="9350"/>
            </w:tabs>
            <w:rPr>
              <w:noProof/>
              <w:sz w:val="22"/>
              <w:szCs w:val="22"/>
            </w:rPr>
          </w:pPr>
          <w:hyperlink w:anchor="_Toc57035239" w:history="1">
            <w:r w:rsidR="002D52EF" w:rsidRPr="008C6024">
              <w:rPr>
                <w:rStyle w:val="Hyperlink"/>
                <w:rFonts w:ascii="Arial" w:hAnsi="Arial" w:cs="Arial"/>
                <w:noProof/>
              </w:rPr>
              <w:t>Annex 7. Identification of technical efficiencies</w:t>
            </w:r>
            <w:r w:rsidR="002D52EF">
              <w:rPr>
                <w:noProof/>
                <w:webHidden/>
              </w:rPr>
              <w:tab/>
            </w:r>
            <w:r w:rsidR="002D52EF">
              <w:rPr>
                <w:noProof/>
                <w:webHidden/>
              </w:rPr>
              <w:fldChar w:fldCharType="begin"/>
            </w:r>
            <w:r w:rsidR="002D52EF">
              <w:rPr>
                <w:noProof/>
                <w:webHidden/>
              </w:rPr>
              <w:instrText xml:space="preserve"> PAGEREF _Toc57035239 \h </w:instrText>
            </w:r>
            <w:r w:rsidR="002D52EF">
              <w:rPr>
                <w:noProof/>
                <w:webHidden/>
              </w:rPr>
            </w:r>
            <w:r w:rsidR="002D52EF">
              <w:rPr>
                <w:noProof/>
                <w:webHidden/>
              </w:rPr>
              <w:fldChar w:fldCharType="separate"/>
            </w:r>
            <w:r w:rsidR="002D52EF">
              <w:rPr>
                <w:noProof/>
                <w:webHidden/>
              </w:rPr>
              <w:t>106</w:t>
            </w:r>
            <w:r w:rsidR="002D52EF">
              <w:rPr>
                <w:noProof/>
                <w:webHidden/>
              </w:rPr>
              <w:fldChar w:fldCharType="end"/>
            </w:r>
          </w:hyperlink>
        </w:p>
        <w:p w14:paraId="3CA07E57" w14:textId="2AFF40C8" w:rsidR="002D52EF" w:rsidRDefault="00040C2B">
          <w:pPr>
            <w:pStyle w:val="TOC2"/>
            <w:tabs>
              <w:tab w:val="right" w:leader="dot" w:pos="9350"/>
            </w:tabs>
            <w:rPr>
              <w:noProof/>
              <w:sz w:val="22"/>
              <w:szCs w:val="22"/>
            </w:rPr>
          </w:pPr>
          <w:hyperlink w:anchor="_Toc57035240" w:history="1">
            <w:r w:rsidR="002D52EF" w:rsidRPr="008C6024">
              <w:rPr>
                <w:rStyle w:val="Hyperlink"/>
                <w:rFonts w:ascii="Arial" w:hAnsi="Arial" w:cs="Arial"/>
                <w:noProof/>
              </w:rPr>
              <w:t>Annex 7. Calculation of savings from technical efficiencies</w:t>
            </w:r>
            <w:r w:rsidR="002D52EF">
              <w:rPr>
                <w:noProof/>
                <w:webHidden/>
              </w:rPr>
              <w:tab/>
            </w:r>
            <w:r w:rsidR="002D52EF">
              <w:rPr>
                <w:noProof/>
                <w:webHidden/>
              </w:rPr>
              <w:fldChar w:fldCharType="begin"/>
            </w:r>
            <w:r w:rsidR="002D52EF">
              <w:rPr>
                <w:noProof/>
                <w:webHidden/>
              </w:rPr>
              <w:instrText xml:space="preserve"> PAGEREF _Toc57035240 \h </w:instrText>
            </w:r>
            <w:r w:rsidR="002D52EF">
              <w:rPr>
                <w:noProof/>
                <w:webHidden/>
              </w:rPr>
            </w:r>
            <w:r w:rsidR="002D52EF">
              <w:rPr>
                <w:noProof/>
                <w:webHidden/>
              </w:rPr>
              <w:fldChar w:fldCharType="separate"/>
            </w:r>
            <w:r w:rsidR="002D52EF">
              <w:rPr>
                <w:noProof/>
                <w:webHidden/>
              </w:rPr>
              <w:t>107</w:t>
            </w:r>
            <w:r w:rsidR="002D52EF">
              <w:rPr>
                <w:noProof/>
                <w:webHidden/>
              </w:rPr>
              <w:fldChar w:fldCharType="end"/>
            </w:r>
          </w:hyperlink>
        </w:p>
        <w:p w14:paraId="741BA82B" w14:textId="4324C4F3" w:rsidR="002D52EF" w:rsidRDefault="00040C2B">
          <w:pPr>
            <w:pStyle w:val="TOC2"/>
            <w:tabs>
              <w:tab w:val="right" w:leader="dot" w:pos="9350"/>
            </w:tabs>
            <w:rPr>
              <w:noProof/>
              <w:sz w:val="22"/>
              <w:szCs w:val="22"/>
            </w:rPr>
          </w:pPr>
          <w:hyperlink w:anchor="_Toc57035241" w:history="1">
            <w:r w:rsidR="002D52EF" w:rsidRPr="008C6024">
              <w:rPr>
                <w:rStyle w:val="Hyperlink"/>
                <w:rFonts w:ascii="Arial" w:hAnsi="Arial" w:cs="Arial"/>
                <w:noProof/>
              </w:rPr>
              <w:t>Annex 8. Differentiated Care Service Delivery Model guidelines</w:t>
            </w:r>
            <w:r w:rsidR="002D52EF">
              <w:rPr>
                <w:noProof/>
                <w:webHidden/>
              </w:rPr>
              <w:tab/>
            </w:r>
            <w:r w:rsidR="002D52EF">
              <w:rPr>
                <w:noProof/>
                <w:webHidden/>
              </w:rPr>
              <w:fldChar w:fldCharType="begin"/>
            </w:r>
            <w:r w:rsidR="002D52EF">
              <w:rPr>
                <w:noProof/>
                <w:webHidden/>
              </w:rPr>
              <w:instrText xml:space="preserve"> PAGEREF _Toc57035241 \h </w:instrText>
            </w:r>
            <w:r w:rsidR="002D52EF">
              <w:rPr>
                <w:noProof/>
                <w:webHidden/>
              </w:rPr>
            </w:r>
            <w:r w:rsidR="002D52EF">
              <w:rPr>
                <w:noProof/>
                <w:webHidden/>
              </w:rPr>
              <w:fldChar w:fldCharType="separate"/>
            </w:r>
            <w:r w:rsidR="002D52EF">
              <w:rPr>
                <w:noProof/>
                <w:webHidden/>
              </w:rPr>
              <w:t>109</w:t>
            </w:r>
            <w:r w:rsidR="002D52EF">
              <w:rPr>
                <w:noProof/>
                <w:webHidden/>
              </w:rPr>
              <w:fldChar w:fldCharType="end"/>
            </w:r>
          </w:hyperlink>
        </w:p>
        <w:p w14:paraId="640F6E48" w14:textId="5A04DF12" w:rsidR="002D52EF" w:rsidRDefault="00040C2B">
          <w:pPr>
            <w:pStyle w:val="TOC2"/>
            <w:tabs>
              <w:tab w:val="right" w:leader="dot" w:pos="9350"/>
            </w:tabs>
            <w:rPr>
              <w:noProof/>
              <w:sz w:val="22"/>
              <w:szCs w:val="22"/>
            </w:rPr>
          </w:pPr>
          <w:hyperlink w:anchor="_Toc57035242" w:history="1">
            <w:r w:rsidR="002D52EF" w:rsidRPr="008C6024">
              <w:rPr>
                <w:rStyle w:val="Hyperlink"/>
                <w:rFonts w:ascii="Arial" w:hAnsi="Arial" w:cs="Arial"/>
                <w:noProof/>
              </w:rPr>
              <w:t>Annex 9. Calculation of feasible domestic resource mobilization</w:t>
            </w:r>
            <w:r w:rsidR="002D52EF">
              <w:rPr>
                <w:noProof/>
                <w:webHidden/>
              </w:rPr>
              <w:tab/>
            </w:r>
            <w:r w:rsidR="002D52EF">
              <w:rPr>
                <w:noProof/>
                <w:webHidden/>
              </w:rPr>
              <w:fldChar w:fldCharType="begin"/>
            </w:r>
            <w:r w:rsidR="002D52EF">
              <w:rPr>
                <w:noProof/>
                <w:webHidden/>
              </w:rPr>
              <w:instrText xml:space="preserve"> PAGEREF _Toc57035242 \h </w:instrText>
            </w:r>
            <w:r w:rsidR="002D52EF">
              <w:rPr>
                <w:noProof/>
                <w:webHidden/>
              </w:rPr>
            </w:r>
            <w:r w:rsidR="002D52EF">
              <w:rPr>
                <w:noProof/>
                <w:webHidden/>
              </w:rPr>
              <w:fldChar w:fldCharType="separate"/>
            </w:r>
            <w:r w:rsidR="002D52EF">
              <w:rPr>
                <w:noProof/>
                <w:webHidden/>
              </w:rPr>
              <w:t>110</w:t>
            </w:r>
            <w:r w:rsidR="002D52EF">
              <w:rPr>
                <w:noProof/>
                <w:webHidden/>
              </w:rPr>
              <w:fldChar w:fldCharType="end"/>
            </w:r>
          </w:hyperlink>
        </w:p>
        <w:p w14:paraId="3F06B951" w14:textId="59484B37" w:rsidR="002D52EF" w:rsidRDefault="00040C2B">
          <w:pPr>
            <w:pStyle w:val="TOC1"/>
            <w:tabs>
              <w:tab w:val="right" w:leader="dot" w:pos="9350"/>
            </w:tabs>
            <w:rPr>
              <w:noProof/>
              <w:sz w:val="22"/>
              <w:szCs w:val="22"/>
            </w:rPr>
          </w:pPr>
          <w:hyperlink w:anchor="_Toc57035243" w:history="1">
            <w:r w:rsidR="002D52EF" w:rsidRPr="008C6024">
              <w:rPr>
                <w:rStyle w:val="Hyperlink"/>
                <w:rFonts w:ascii="Arial" w:hAnsi="Arial" w:cs="Arial"/>
                <w:b/>
                <w:noProof/>
              </w:rPr>
              <w:t>REFERENCES</w:t>
            </w:r>
            <w:r w:rsidR="002D52EF">
              <w:rPr>
                <w:noProof/>
                <w:webHidden/>
              </w:rPr>
              <w:tab/>
            </w:r>
            <w:r w:rsidR="002D52EF">
              <w:rPr>
                <w:noProof/>
                <w:webHidden/>
              </w:rPr>
              <w:fldChar w:fldCharType="begin"/>
            </w:r>
            <w:r w:rsidR="002D52EF">
              <w:rPr>
                <w:noProof/>
                <w:webHidden/>
              </w:rPr>
              <w:instrText xml:space="preserve"> PAGEREF _Toc57035243 \h </w:instrText>
            </w:r>
            <w:r w:rsidR="002D52EF">
              <w:rPr>
                <w:noProof/>
                <w:webHidden/>
              </w:rPr>
            </w:r>
            <w:r w:rsidR="002D52EF">
              <w:rPr>
                <w:noProof/>
                <w:webHidden/>
              </w:rPr>
              <w:fldChar w:fldCharType="separate"/>
            </w:r>
            <w:r w:rsidR="002D52EF">
              <w:rPr>
                <w:noProof/>
                <w:webHidden/>
              </w:rPr>
              <w:t>111</w:t>
            </w:r>
            <w:r w:rsidR="002D52EF">
              <w:rPr>
                <w:noProof/>
                <w:webHidden/>
              </w:rPr>
              <w:fldChar w:fldCharType="end"/>
            </w:r>
          </w:hyperlink>
        </w:p>
        <w:p w14:paraId="6B3EDB66" w14:textId="00002741" w:rsidR="00AD1F76" w:rsidRPr="00505F88" w:rsidRDefault="00AD1F76" w:rsidP="00505F88">
          <w:r>
            <w:rPr>
              <w:b/>
              <w:bCs/>
              <w:noProof/>
            </w:rPr>
            <w:fldChar w:fldCharType="end"/>
          </w:r>
        </w:p>
      </w:sdtContent>
    </w:sdt>
    <w:p w14:paraId="4D288F0E" w14:textId="77777777" w:rsidR="001617F6" w:rsidRDefault="001617F6">
      <w:pPr>
        <w:rPr>
          <w:rFonts w:ascii="Arial" w:eastAsiaTheme="majorEastAsia" w:hAnsi="Arial" w:cs="Arial"/>
          <w:b/>
          <w:color w:val="C00000"/>
          <w:sz w:val="32"/>
          <w:szCs w:val="32"/>
        </w:rPr>
      </w:pPr>
      <w:r>
        <w:rPr>
          <w:rFonts w:ascii="Arial" w:hAnsi="Arial" w:cs="Arial"/>
          <w:b/>
          <w:color w:val="C00000"/>
        </w:rPr>
        <w:br w:type="page"/>
      </w:r>
    </w:p>
    <w:p w14:paraId="1124373C" w14:textId="17C3C9FC" w:rsidR="00B13BCA" w:rsidRDefault="00827954" w:rsidP="00505F88">
      <w:pPr>
        <w:pStyle w:val="Heading1"/>
      </w:pPr>
      <w:bookmarkStart w:id="3" w:name="_Toc57035106"/>
      <w:r>
        <w:rPr>
          <w:rFonts w:ascii="Arial" w:hAnsi="Arial" w:cs="Arial"/>
          <w:b/>
          <w:color w:val="C00000"/>
        </w:rPr>
        <w:lastRenderedPageBreak/>
        <w:t>LIST OF ACRONYMS</w:t>
      </w:r>
      <w:bookmarkEnd w:id="3"/>
    </w:p>
    <w:p w14:paraId="40B98930" w14:textId="28D0C09E" w:rsidR="00B13BCA" w:rsidRDefault="00B13BCA" w:rsidP="00B13BCA"/>
    <w:tbl>
      <w:tblPr>
        <w:tblW w:w="0" w:type="auto"/>
        <w:tblLook w:val="04A0" w:firstRow="1" w:lastRow="0" w:firstColumn="1" w:lastColumn="0" w:noHBand="0" w:noVBand="1"/>
      </w:tblPr>
      <w:tblGrid>
        <w:gridCol w:w="1525"/>
        <w:gridCol w:w="7825"/>
      </w:tblGrid>
      <w:tr w:rsidR="00C86D0D" w:rsidRPr="00B13BCA" w14:paraId="59A764B5" w14:textId="77777777" w:rsidTr="00B13BCA">
        <w:tc>
          <w:tcPr>
            <w:tcW w:w="1525" w:type="dxa"/>
          </w:tcPr>
          <w:p w14:paraId="0B166ED1" w14:textId="0A66F79C" w:rsidR="00C86D0D" w:rsidRDefault="00C86D0D" w:rsidP="00B13BCA">
            <w:pPr>
              <w:rPr>
                <w:rFonts w:ascii="Arial" w:hAnsi="Arial" w:cs="Arial"/>
                <w:b/>
              </w:rPr>
            </w:pPr>
            <w:r>
              <w:rPr>
                <w:rFonts w:ascii="Arial" w:hAnsi="Arial" w:cs="Arial"/>
                <w:b/>
              </w:rPr>
              <w:t>ABYM</w:t>
            </w:r>
          </w:p>
        </w:tc>
        <w:tc>
          <w:tcPr>
            <w:tcW w:w="7825" w:type="dxa"/>
          </w:tcPr>
          <w:p w14:paraId="76A601FE" w14:textId="1D530F15" w:rsidR="00C86D0D" w:rsidRDefault="00C86D0D" w:rsidP="00B13BCA">
            <w:pPr>
              <w:rPr>
                <w:rFonts w:ascii="Arial" w:hAnsi="Arial" w:cs="Arial"/>
              </w:rPr>
            </w:pPr>
            <w:r>
              <w:rPr>
                <w:rFonts w:ascii="Arial" w:hAnsi="Arial" w:cs="Arial"/>
              </w:rPr>
              <w:t>Adolescent boys</w:t>
            </w:r>
            <w:r w:rsidR="00AD3EC6">
              <w:rPr>
                <w:rFonts w:ascii="Arial" w:hAnsi="Arial" w:cs="Arial"/>
              </w:rPr>
              <w:t xml:space="preserve"> </w:t>
            </w:r>
            <w:r>
              <w:rPr>
                <w:rFonts w:ascii="Arial" w:hAnsi="Arial" w:cs="Arial"/>
              </w:rPr>
              <w:t>young men</w:t>
            </w:r>
          </w:p>
        </w:tc>
      </w:tr>
      <w:tr w:rsidR="00B13BCA" w:rsidRPr="00B13BCA" w14:paraId="751418C9" w14:textId="77777777" w:rsidTr="00B13BCA">
        <w:tc>
          <w:tcPr>
            <w:tcW w:w="1525" w:type="dxa"/>
          </w:tcPr>
          <w:p w14:paraId="769F1F69" w14:textId="34C8D9B0" w:rsidR="00B13BCA" w:rsidRPr="00B13BCA" w:rsidRDefault="00B13BCA" w:rsidP="00B13BCA">
            <w:pPr>
              <w:rPr>
                <w:rFonts w:ascii="Arial" w:hAnsi="Arial" w:cs="Arial"/>
                <w:b/>
              </w:rPr>
            </w:pPr>
            <w:r>
              <w:rPr>
                <w:rFonts w:ascii="Arial" w:hAnsi="Arial" w:cs="Arial"/>
                <w:b/>
              </w:rPr>
              <w:t>AGYW</w:t>
            </w:r>
          </w:p>
        </w:tc>
        <w:tc>
          <w:tcPr>
            <w:tcW w:w="7825" w:type="dxa"/>
          </w:tcPr>
          <w:p w14:paraId="5184F767" w14:textId="7E6D0EA6" w:rsidR="00B13BCA" w:rsidRPr="00B13BCA" w:rsidRDefault="00B13BCA" w:rsidP="00B13BCA">
            <w:pPr>
              <w:rPr>
                <w:rFonts w:ascii="Arial" w:hAnsi="Arial" w:cs="Arial"/>
              </w:rPr>
            </w:pPr>
            <w:r>
              <w:rPr>
                <w:rFonts w:ascii="Arial" w:hAnsi="Arial" w:cs="Arial"/>
              </w:rPr>
              <w:t>Adolescent girl young women</w:t>
            </w:r>
          </w:p>
        </w:tc>
      </w:tr>
      <w:tr w:rsidR="00C623BC" w:rsidRPr="00B13BCA" w14:paraId="0E69261B" w14:textId="77777777" w:rsidTr="00B13BCA">
        <w:tc>
          <w:tcPr>
            <w:tcW w:w="1525" w:type="dxa"/>
          </w:tcPr>
          <w:p w14:paraId="2BE16265" w14:textId="3815B0AB" w:rsidR="00C623BC" w:rsidRDefault="00C623BC" w:rsidP="00B13BCA">
            <w:pPr>
              <w:rPr>
                <w:rFonts w:ascii="Arial" w:hAnsi="Arial" w:cs="Arial"/>
                <w:b/>
              </w:rPr>
            </w:pPr>
            <w:r>
              <w:rPr>
                <w:rFonts w:ascii="Arial" w:hAnsi="Arial" w:cs="Arial"/>
                <w:b/>
              </w:rPr>
              <w:t>ATF</w:t>
            </w:r>
          </w:p>
        </w:tc>
        <w:tc>
          <w:tcPr>
            <w:tcW w:w="7825" w:type="dxa"/>
          </w:tcPr>
          <w:p w14:paraId="008877D0" w14:textId="3BE355DB" w:rsidR="00C623BC" w:rsidRDefault="00C623BC" w:rsidP="00B13BCA">
            <w:pPr>
              <w:rPr>
                <w:rFonts w:ascii="Arial" w:hAnsi="Arial" w:cs="Arial"/>
              </w:rPr>
            </w:pPr>
            <w:r>
              <w:rPr>
                <w:rFonts w:ascii="Arial" w:hAnsi="Arial" w:cs="Arial"/>
              </w:rPr>
              <w:t>AIDS Trust Fund</w:t>
            </w:r>
          </w:p>
        </w:tc>
      </w:tr>
      <w:tr w:rsidR="00B13BCA" w:rsidRPr="00B13BCA" w14:paraId="3A3872AD" w14:textId="77777777" w:rsidTr="00505F88">
        <w:tc>
          <w:tcPr>
            <w:tcW w:w="1525" w:type="dxa"/>
          </w:tcPr>
          <w:p w14:paraId="66F10D54" w14:textId="498BE305" w:rsidR="00B13BCA" w:rsidRPr="00505F88" w:rsidRDefault="00B13BCA" w:rsidP="00B13BCA">
            <w:pPr>
              <w:rPr>
                <w:rFonts w:ascii="Arial" w:hAnsi="Arial" w:cs="Arial"/>
                <w:b/>
              </w:rPr>
            </w:pPr>
            <w:r w:rsidRPr="00505F88">
              <w:rPr>
                <w:rFonts w:ascii="Arial" w:hAnsi="Arial" w:cs="Arial"/>
                <w:b/>
              </w:rPr>
              <w:t>ART</w:t>
            </w:r>
          </w:p>
        </w:tc>
        <w:tc>
          <w:tcPr>
            <w:tcW w:w="7825" w:type="dxa"/>
          </w:tcPr>
          <w:p w14:paraId="48993FFC" w14:textId="0F834905" w:rsidR="00B13BCA" w:rsidRPr="00505F88" w:rsidRDefault="00B13BCA" w:rsidP="00B13BCA">
            <w:pPr>
              <w:rPr>
                <w:rFonts w:ascii="Arial" w:hAnsi="Arial" w:cs="Arial"/>
              </w:rPr>
            </w:pPr>
            <w:r w:rsidRPr="00505F88">
              <w:rPr>
                <w:rFonts w:ascii="Arial" w:hAnsi="Arial" w:cs="Arial"/>
              </w:rPr>
              <w:t>Antiretroviral therapy</w:t>
            </w:r>
          </w:p>
        </w:tc>
      </w:tr>
      <w:tr w:rsidR="00AD3EC6" w:rsidRPr="00B13BCA" w14:paraId="62256232" w14:textId="77777777" w:rsidTr="00505F88">
        <w:tc>
          <w:tcPr>
            <w:tcW w:w="1525" w:type="dxa"/>
          </w:tcPr>
          <w:p w14:paraId="37BCDDF3" w14:textId="04A98A3A" w:rsidR="00AD3EC6" w:rsidRPr="00505F88" w:rsidRDefault="00AD3EC6" w:rsidP="00B13BCA">
            <w:pPr>
              <w:rPr>
                <w:rFonts w:ascii="Arial" w:hAnsi="Arial" w:cs="Arial"/>
                <w:b/>
              </w:rPr>
            </w:pPr>
            <w:r>
              <w:rPr>
                <w:rFonts w:ascii="Arial" w:hAnsi="Arial" w:cs="Arial"/>
                <w:b/>
              </w:rPr>
              <w:t>BCC</w:t>
            </w:r>
          </w:p>
        </w:tc>
        <w:tc>
          <w:tcPr>
            <w:tcW w:w="7825" w:type="dxa"/>
          </w:tcPr>
          <w:p w14:paraId="639B9163" w14:textId="450D4361" w:rsidR="00AD3EC6" w:rsidRPr="00505F88" w:rsidRDefault="00AD3EC6" w:rsidP="00B13BCA">
            <w:pPr>
              <w:rPr>
                <w:rFonts w:ascii="Arial" w:hAnsi="Arial" w:cs="Arial"/>
              </w:rPr>
            </w:pPr>
            <w:r>
              <w:rPr>
                <w:rFonts w:ascii="Arial" w:hAnsi="Arial" w:cs="Arial"/>
              </w:rPr>
              <w:t>Behavior change communication</w:t>
            </w:r>
          </w:p>
        </w:tc>
      </w:tr>
      <w:tr w:rsidR="00A87DFC" w:rsidRPr="00B13BCA" w14:paraId="1FC39A63" w14:textId="77777777" w:rsidTr="00505F88">
        <w:tc>
          <w:tcPr>
            <w:tcW w:w="1525" w:type="dxa"/>
          </w:tcPr>
          <w:p w14:paraId="235D4B62" w14:textId="3788954B" w:rsidR="00A87DFC" w:rsidRDefault="00A87DFC" w:rsidP="00B13BCA">
            <w:pPr>
              <w:rPr>
                <w:rFonts w:ascii="Arial" w:hAnsi="Arial" w:cs="Arial"/>
                <w:b/>
              </w:rPr>
            </w:pPr>
            <w:r>
              <w:rPr>
                <w:rFonts w:ascii="Arial" w:hAnsi="Arial" w:cs="Arial"/>
                <w:b/>
              </w:rPr>
              <w:t>CC</w:t>
            </w:r>
          </w:p>
        </w:tc>
        <w:tc>
          <w:tcPr>
            <w:tcW w:w="7825" w:type="dxa"/>
          </w:tcPr>
          <w:p w14:paraId="4D21ABAB" w14:textId="0A3C1740" w:rsidR="00A87DFC" w:rsidRDefault="00A87DFC" w:rsidP="00B13BCA">
            <w:pPr>
              <w:rPr>
                <w:rFonts w:ascii="Arial" w:hAnsi="Arial" w:cs="Arial"/>
              </w:rPr>
            </w:pPr>
            <w:r>
              <w:rPr>
                <w:rFonts w:ascii="Arial" w:hAnsi="Arial" w:cs="Arial"/>
              </w:rPr>
              <w:t xml:space="preserve">Constant Coverage </w:t>
            </w:r>
            <w:r w:rsidR="004D30CA">
              <w:rPr>
                <w:rFonts w:ascii="Arial" w:hAnsi="Arial" w:cs="Arial"/>
              </w:rPr>
              <w:t>S</w:t>
            </w:r>
            <w:r>
              <w:rPr>
                <w:rFonts w:ascii="Arial" w:hAnsi="Arial" w:cs="Arial"/>
              </w:rPr>
              <w:t>cenario</w:t>
            </w:r>
          </w:p>
        </w:tc>
      </w:tr>
      <w:tr w:rsidR="00B13BCA" w:rsidRPr="00B13BCA" w14:paraId="6BDEC1B3" w14:textId="77777777" w:rsidTr="00B13BCA">
        <w:tc>
          <w:tcPr>
            <w:tcW w:w="1525" w:type="dxa"/>
          </w:tcPr>
          <w:p w14:paraId="10E32945" w14:textId="3F3625B2" w:rsidR="00B13BCA" w:rsidRPr="00B13BCA" w:rsidRDefault="00B13BCA" w:rsidP="00B13BCA">
            <w:pPr>
              <w:rPr>
                <w:rFonts w:ascii="Arial" w:hAnsi="Arial" w:cs="Arial"/>
                <w:b/>
              </w:rPr>
            </w:pPr>
            <w:r>
              <w:rPr>
                <w:rFonts w:ascii="Arial" w:hAnsi="Arial" w:cs="Arial"/>
                <w:b/>
              </w:rPr>
              <w:t>COP</w:t>
            </w:r>
          </w:p>
        </w:tc>
        <w:tc>
          <w:tcPr>
            <w:tcW w:w="7825" w:type="dxa"/>
          </w:tcPr>
          <w:p w14:paraId="75B2EA98" w14:textId="03AFD1F5" w:rsidR="00B13BCA" w:rsidRPr="00B13BCA" w:rsidRDefault="00B13BCA" w:rsidP="00B13BCA">
            <w:pPr>
              <w:rPr>
                <w:rFonts w:ascii="Arial" w:hAnsi="Arial" w:cs="Arial"/>
              </w:rPr>
            </w:pPr>
            <w:r>
              <w:rPr>
                <w:rFonts w:ascii="Arial" w:hAnsi="Arial" w:cs="Arial"/>
              </w:rPr>
              <w:t>Country Operational Plan</w:t>
            </w:r>
          </w:p>
        </w:tc>
      </w:tr>
      <w:tr w:rsidR="00AD3EC6" w:rsidRPr="00B13BCA" w14:paraId="50DF55FA" w14:textId="77777777" w:rsidTr="00B13BCA">
        <w:tc>
          <w:tcPr>
            <w:tcW w:w="1525" w:type="dxa"/>
          </w:tcPr>
          <w:p w14:paraId="3E4AE060" w14:textId="1D0CE16D" w:rsidR="00AD3EC6" w:rsidRDefault="00AD3EC6" w:rsidP="00B13BCA">
            <w:pPr>
              <w:rPr>
                <w:rFonts w:ascii="Arial" w:hAnsi="Arial" w:cs="Arial"/>
                <w:b/>
              </w:rPr>
            </w:pPr>
            <w:r>
              <w:rPr>
                <w:rFonts w:ascii="Arial" w:hAnsi="Arial" w:cs="Arial"/>
                <w:b/>
              </w:rPr>
              <w:t>DREAMS</w:t>
            </w:r>
          </w:p>
        </w:tc>
        <w:tc>
          <w:tcPr>
            <w:tcW w:w="7825" w:type="dxa"/>
          </w:tcPr>
          <w:p w14:paraId="598EA867" w14:textId="72D87B66" w:rsidR="00AD3EC6" w:rsidRDefault="00AD3EC6" w:rsidP="00B13BCA">
            <w:pPr>
              <w:rPr>
                <w:rFonts w:ascii="Arial" w:hAnsi="Arial" w:cs="Arial"/>
              </w:rPr>
            </w:pPr>
            <w:r>
              <w:rPr>
                <w:rFonts w:ascii="Arial" w:hAnsi="Arial" w:cs="Arial"/>
              </w:rPr>
              <w:t>Determined, Resilient, Empowered, AIDS-free, Mentored, and Safe women</w:t>
            </w:r>
          </w:p>
        </w:tc>
      </w:tr>
      <w:tr w:rsidR="006339A6" w:rsidRPr="00B13BCA" w14:paraId="6BD896A1" w14:textId="77777777" w:rsidTr="00B13BCA">
        <w:tc>
          <w:tcPr>
            <w:tcW w:w="1525" w:type="dxa"/>
          </w:tcPr>
          <w:p w14:paraId="35DC0A97" w14:textId="48654FD9" w:rsidR="006339A6" w:rsidRDefault="006339A6" w:rsidP="00B13BCA">
            <w:pPr>
              <w:rPr>
                <w:rFonts w:ascii="Arial" w:hAnsi="Arial" w:cs="Arial"/>
                <w:b/>
              </w:rPr>
            </w:pPr>
            <w:r>
              <w:rPr>
                <w:rFonts w:ascii="Arial" w:hAnsi="Arial" w:cs="Arial"/>
                <w:b/>
              </w:rPr>
              <w:t>DSDM</w:t>
            </w:r>
          </w:p>
        </w:tc>
        <w:tc>
          <w:tcPr>
            <w:tcW w:w="7825" w:type="dxa"/>
          </w:tcPr>
          <w:p w14:paraId="558F0C52" w14:textId="4562877A" w:rsidR="006339A6" w:rsidRDefault="006339A6" w:rsidP="00B13BCA">
            <w:pPr>
              <w:rPr>
                <w:rFonts w:ascii="Arial" w:hAnsi="Arial" w:cs="Arial"/>
              </w:rPr>
            </w:pPr>
            <w:r>
              <w:rPr>
                <w:rFonts w:ascii="Arial" w:hAnsi="Arial" w:cs="Arial"/>
              </w:rPr>
              <w:t>Differentiated service delivery models</w:t>
            </w:r>
          </w:p>
        </w:tc>
      </w:tr>
      <w:tr w:rsidR="00B13BCA" w:rsidRPr="00B13BCA" w14:paraId="23F32E8E" w14:textId="77777777" w:rsidTr="00B13BCA">
        <w:tc>
          <w:tcPr>
            <w:tcW w:w="1525" w:type="dxa"/>
          </w:tcPr>
          <w:p w14:paraId="507A2BC1" w14:textId="118133D3" w:rsidR="00B13BCA" w:rsidRDefault="00B13BCA" w:rsidP="00B13BCA">
            <w:pPr>
              <w:rPr>
                <w:rFonts w:ascii="Arial" w:hAnsi="Arial" w:cs="Arial"/>
                <w:b/>
              </w:rPr>
            </w:pPr>
            <w:r>
              <w:rPr>
                <w:rFonts w:ascii="Arial" w:hAnsi="Arial" w:cs="Arial"/>
                <w:b/>
              </w:rPr>
              <w:t>EID</w:t>
            </w:r>
          </w:p>
        </w:tc>
        <w:tc>
          <w:tcPr>
            <w:tcW w:w="7825" w:type="dxa"/>
          </w:tcPr>
          <w:p w14:paraId="79ED6972" w14:textId="1BB53615" w:rsidR="00B13BCA" w:rsidRDefault="00B13BCA" w:rsidP="00B13BCA">
            <w:pPr>
              <w:rPr>
                <w:rFonts w:ascii="Arial" w:hAnsi="Arial" w:cs="Arial"/>
              </w:rPr>
            </w:pPr>
            <w:r>
              <w:rPr>
                <w:rFonts w:ascii="Arial" w:hAnsi="Arial" w:cs="Arial"/>
              </w:rPr>
              <w:t xml:space="preserve">Early infant diagnosis </w:t>
            </w:r>
          </w:p>
        </w:tc>
      </w:tr>
      <w:tr w:rsidR="006339A6" w:rsidRPr="00B13BCA" w14:paraId="58443BF4" w14:textId="77777777" w:rsidTr="00B13BCA">
        <w:tc>
          <w:tcPr>
            <w:tcW w:w="1525" w:type="dxa"/>
          </w:tcPr>
          <w:p w14:paraId="164F0208" w14:textId="053D865C" w:rsidR="006339A6" w:rsidRDefault="006339A6" w:rsidP="00B13BCA">
            <w:pPr>
              <w:rPr>
                <w:rFonts w:ascii="Arial" w:hAnsi="Arial" w:cs="Arial"/>
                <w:b/>
              </w:rPr>
            </w:pPr>
            <w:r>
              <w:rPr>
                <w:rFonts w:ascii="Arial" w:hAnsi="Arial" w:cs="Arial"/>
                <w:b/>
              </w:rPr>
              <w:t>FL</w:t>
            </w:r>
          </w:p>
        </w:tc>
        <w:tc>
          <w:tcPr>
            <w:tcW w:w="7825" w:type="dxa"/>
          </w:tcPr>
          <w:p w14:paraId="700DB0CB" w14:textId="186908B9" w:rsidR="006339A6" w:rsidRDefault="006339A6" w:rsidP="00B13BCA">
            <w:pPr>
              <w:rPr>
                <w:rFonts w:ascii="Arial" w:hAnsi="Arial" w:cs="Arial"/>
              </w:rPr>
            </w:pPr>
            <w:r>
              <w:rPr>
                <w:rFonts w:ascii="Arial" w:hAnsi="Arial" w:cs="Arial"/>
              </w:rPr>
              <w:t>First line ARVs</w:t>
            </w:r>
          </w:p>
        </w:tc>
      </w:tr>
      <w:tr w:rsidR="00B13BCA" w:rsidRPr="00B13BCA" w14:paraId="78386A1A" w14:textId="77777777" w:rsidTr="00B13BCA">
        <w:tc>
          <w:tcPr>
            <w:tcW w:w="1525" w:type="dxa"/>
          </w:tcPr>
          <w:p w14:paraId="49A45B89" w14:textId="02A767CB" w:rsidR="00B13BCA" w:rsidRDefault="00B13BCA" w:rsidP="00B13BCA">
            <w:pPr>
              <w:rPr>
                <w:rFonts w:ascii="Arial" w:hAnsi="Arial" w:cs="Arial"/>
                <w:b/>
              </w:rPr>
            </w:pPr>
            <w:r>
              <w:rPr>
                <w:rFonts w:ascii="Arial" w:hAnsi="Arial" w:cs="Arial"/>
                <w:b/>
              </w:rPr>
              <w:t>FSW</w:t>
            </w:r>
          </w:p>
        </w:tc>
        <w:tc>
          <w:tcPr>
            <w:tcW w:w="7825" w:type="dxa"/>
          </w:tcPr>
          <w:p w14:paraId="41586C1D" w14:textId="0392D937" w:rsidR="00B13BCA" w:rsidRDefault="00B13BCA" w:rsidP="00B13BCA">
            <w:pPr>
              <w:rPr>
                <w:rFonts w:ascii="Arial" w:hAnsi="Arial" w:cs="Arial"/>
              </w:rPr>
            </w:pPr>
            <w:r>
              <w:rPr>
                <w:rFonts w:ascii="Arial" w:hAnsi="Arial" w:cs="Arial"/>
              </w:rPr>
              <w:t>Female sex worker</w:t>
            </w:r>
          </w:p>
        </w:tc>
      </w:tr>
      <w:tr w:rsidR="00B13BCA" w:rsidRPr="00B13BCA" w14:paraId="1E93A142" w14:textId="77777777" w:rsidTr="00B13BCA">
        <w:tc>
          <w:tcPr>
            <w:tcW w:w="1525" w:type="dxa"/>
          </w:tcPr>
          <w:p w14:paraId="02C91359" w14:textId="6E691672" w:rsidR="00B13BCA" w:rsidRPr="00B13BCA" w:rsidRDefault="00B13BCA" w:rsidP="00B13BCA">
            <w:pPr>
              <w:rPr>
                <w:rFonts w:ascii="Arial" w:hAnsi="Arial" w:cs="Arial"/>
                <w:b/>
              </w:rPr>
            </w:pPr>
            <w:r>
              <w:rPr>
                <w:rFonts w:ascii="Arial" w:hAnsi="Arial" w:cs="Arial"/>
                <w:b/>
              </w:rPr>
              <w:t>HR</w:t>
            </w:r>
          </w:p>
        </w:tc>
        <w:tc>
          <w:tcPr>
            <w:tcW w:w="7825" w:type="dxa"/>
          </w:tcPr>
          <w:p w14:paraId="76F7E185" w14:textId="29DD82BF" w:rsidR="00B13BCA" w:rsidRPr="00B13BCA" w:rsidRDefault="00B13BCA" w:rsidP="00B13BCA">
            <w:pPr>
              <w:rPr>
                <w:rFonts w:ascii="Arial" w:hAnsi="Arial" w:cs="Arial"/>
              </w:rPr>
            </w:pPr>
            <w:r>
              <w:rPr>
                <w:rFonts w:ascii="Arial" w:hAnsi="Arial" w:cs="Arial"/>
              </w:rPr>
              <w:t>Human resources</w:t>
            </w:r>
          </w:p>
        </w:tc>
      </w:tr>
      <w:tr w:rsidR="00B13BCA" w:rsidRPr="00B13BCA" w14:paraId="37A0C06E" w14:textId="77777777" w:rsidTr="00505F88">
        <w:tc>
          <w:tcPr>
            <w:tcW w:w="1525" w:type="dxa"/>
          </w:tcPr>
          <w:p w14:paraId="22941F4E" w14:textId="751F206D" w:rsidR="00B13BCA" w:rsidRPr="00505F88" w:rsidRDefault="00B13BCA" w:rsidP="00B13BCA">
            <w:pPr>
              <w:rPr>
                <w:rFonts w:ascii="Arial" w:hAnsi="Arial" w:cs="Arial"/>
                <w:b/>
              </w:rPr>
            </w:pPr>
            <w:r w:rsidRPr="00505F88">
              <w:rPr>
                <w:rFonts w:ascii="Arial" w:hAnsi="Arial" w:cs="Arial"/>
                <w:b/>
              </w:rPr>
              <w:t xml:space="preserve">HSHSP </w:t>
            </w:r>
          </w:p>
        </w:tc>
        <w:tc>
          <w:tcPr>
            <w:tcW w:w="7825" w:type="dxa"/>
          </w:tcPr>
          <w:p w14:paraId="2781BF9D" w14:textId="462BF2BA" w:rsidR="00B13BCA" w:rsidRPr="00505F88" w:rsidRDefault="00B13BCA" w:rsidP="00B13BCA">
            <w:pPr>
              <w:rPr>
                <w:rFonts w:ascii="Arial" w:hAnsi="Arial" w:cs="Arial"/>
              </w:rPr>
            </w:pPr>
            <w:r w:rsidRPr="00505F88">
              <w:rPr>
                <w:rFonts w:ascii="Arial" w:hAnsi="Arial" w:cs="Arial"/>
              </w:rPr>
              <w:t xml:space="preserve">Health Sector HIV Strategic Plan </w:t>
            </w:r>
          </w:p>
        </w:tc>
      </w:tr>
      <w:tr w:rsidR="00B13BCA" w:rsidRPr="00B13BCA" w14:paraId="6D067680" w14:textId="77777777" w:rsidTr="00B13BCA">
        <w:tc>
          <w:tcPr>
            <w:tcW w:w="1525" w:type="dxa"/>
          </w:tcPr>
          <w:p w14:paraId="707CB011" w14:textId="79008692" w:rsidR="00B13BCA" w:rsidRDefault="00B13BCA" w:rsidP="00B13BCA">
            <w:pPr>
              <w:rPr>
                <w:rFonts w:ascii="Arial" w:hAnsi="Arial" w:cs="Arial"/>
                <w:b/>
              </w:rPr>
            </w:pPr>
            <w:r>
              <w:rPr>
                <w:rFonts w:ascii="Arial" w:hAnsi="Arial" w:cs="Arial"/>
                <w:b/>
              </w:rPr>
              <w:t>HTC</w:t>
            </w:r>
          </w:p>
        </w:tc>
        <w:tc>
          <w:tcPr>
            <w:tcW w:w="7825" w:type="dxa"/>
          </w:tcPr>
          <w:p w14:paraId="7A7B7362" w14:textId="46AB4B31" w:rsidR="00B13BCA" w:rsidRDefault="00B13BCA" w:rsidP="00B13BCA">
            <w:pPr>
              <w:rPr>
                <w:rFonts w:ascii="Arial" w:hAnsi="Arial" w:cs="Arial"/>
              </w:rPr>
            </w:pPr>
            <w:r>
              <w:rPr>
                <w:rFonts w:ascii="Arial" w:hAnsi="Arial" w:cs="Arial"/>
              </w:rPr>
              <w:t xml:space="preserve">HIV testing and counseling </w:t>
            </w:r>
          </w:p>
        </w:tc>
      </w:tr>
      <w:tr w:rsidR="00B13BCA" w:rsidRPr="00B13BCA" w14:paraId="7E8C7FA4" w14:textId="77777777" w:rsidTr="00B13BCA">
        <w:tc>
          <w:tcPr>
            <w:tcW w:w="1525" w:type="dxa"/>
          </w:tcPr>
          <w:p w14:paraId="5087B66D" w14:textId="7FF44E3C" w:rsidR="00B13BCA" w:rsidRPr="00B13BCA" w:rsidRDefault="00B13BCA" w:rsidP="00B13BCA">
            <w:pPr>
              <w:rPr>
                <w:rFonts w:ascii="Arial" w:hAnsi="Arial" w:cs="Arial"/>
                <w:b/>
              </w:rPr>
            </w:pPr>
            <w:r>
              <w:rPr>
                <w:rFonts w:ascii="Arial" w:hAnsi="Arial" w:cs="Arial"/>
                <w:b/>
              </w:rPr>
              <w:t>HTS</w:t>
            </w:r>
          </w:p>
        </w:tc>
        <w:tc>
          <w:tcPr>
            <w:tcW w:w="7825" w:type="dxa"/>
          </w:tcPr>
          <w:p w14:paraId="016E4653" w14:textId="16764D9B" w:rsidR="00B13BCA" w:rsidRPr="00B13BCA" w:rsidRDefault="00B13BCA" w:rsidP="00B13BCA">
            <w:pPr>
              <w:rPr>
                <w:rFonts w:ascii="Arial" w:hAnsi="Arial" w:cs="Arial"/>
              </w:rPr>
            </w:pPr>
            <w:r>
              <w:rPr>
                <w:rFonts w:ascii="Arial" w:hAnsi="Arial" w:cs="Arial"/>
              </w:rPr>
              <w:t xml:space="preserve">HIV testing </w:t>
            </w:r>
            <w:r w:rsidR="00AD3EC6">
              <w:rPr>
                <w:rFonts w:ascii="Arial" w:hAnsi="Arial" w:cs="Arial"/>
              </w:rPr>
              <w:t>services</w:t>
            </w:r>
          </w:p>
        </w:tc>
      </w:tr>
      <w:tr w:rsidR="00B13BCA" w:rsidRPr="00B13BCA" w14:paraId="5F41A5A5" w14:textId="77777777" w:rsidTr="00505F88">
        <w:tc>
          <w:tcPr>
            <w:tcW w:w="1525" w:type="dxa"/>
          </w:tcPr>
          <w:p w14:paraId="2D02FFFF" w14:textId="2A11DA26" w:rsidR="00B13BCA" w:rsidRPr="00505F88" w:rsidRDefault="00B13BCA" w:rsidP="00B13BCA">
            <w:pPr>
              <w:rPr>
                <w:rFonts w:ascii="Arial" w:hAnsi="Arial" w:cs="Arial"/>
                <w:b/>
              </w:rPr>
            </w:pPr>
            <w:r w:rsidRPr="00505F88">
              <w:rPr>
                <w:rFonts w:ascii="Arial" w:hAnsi="Arial" w:cs="Arial"/>
                <w:b/>
              </w:rPr>
              <w:t>IC 1.0</w:t>
            </w:r>
          </w:p>
        </w:tc>
        <w:tc>
          <w:tcPr>
            <w:tcW w:w="7825" w:type="dxa"/>
          </w:tcPr>
          <w:p w14:paraId="6723B0C7" w14:textId="0421B4C0" w:rsidR="00B13BCA" w:rsidRPr="00505F88" w:rsidRDefault="00B13BCA" w:rsidP="00B13BCA">
            <w:pPr>
              <w:rPr>
                <w:rFonts w:ascii="Arial" w:hAnsi="Arial" w:cs="Arial"/>
              </w:rPr>
            </w:pPr>
            <w:r w:rsidRPr="00505F88">
              <w:rPr>
                <w:rFonts w:ascii="Arial" w:hAnsi="Arial" w:cs="Arial"/>
              </w:rPr>
              <w:t>Investment case 1.0 (2016)</w:t>
            </w:r>
          </w:p>
        </w:tc>
      </w:tr>
      <w:tr w:rsidR="003D2845" w:rsidRPr="00B13BCA" w14:paraId="35F21EA3" w14:textId="77777777" w:rsidTr="00B13BCA">
        <w:tc>
          <w:tcPr>
            <w:tcW w:w="1525" w:type="dxa"/>
          </w:tcPr>
          <w:p w14:paraId="4BA70BC6" w14:textId="061F5F94" w:rsidR="003D2845" w:rsidRPr="00B13BCA" w:rsidRDefault="003D2845" w:rsidP="00B13BCA">
            <w:pPr>
              <w:rPr>
                <w:rFonts w:ascii="Arial" w:hAnsi="Arial" w:cs="Arial"/>
                <w:b/>
              </w:rPr>
            </w:pPr>
            <w:r>
              <w:rPr>
                <w:rFonts w:ascii="Arial" w:hAnsi="Arial" w:cs="Arial"/>
                <w:b/>
              </w:rPr>
              <w:t>IDU</w:t>
            </w:r>
          </w:p>
        </w:tc>
        <w:tc>
          <w:tcPr>
            <w:tcW w:w="7825" w:type="dxa"/>
          </w:tcPr>
          <w:p w14:paraId="627B7987" w14:textId="7C54170C" w:rsidR="003D2845" w:rsidRPr="00B13BCA" w:rsidRDefault="003D2845" w:rsidP="00B13BCA">
            <w:pPr>
              <w:rPr>
                <w:rFonts w:ascii="Arial" w:hAnsi="Arial" w:cs="Arial"/>
              </w:rPr>
            </w:pPr>
            <w:r>
              <w:rPr>
                <w:rFonts w:ascii="Arial" w:hAnsi="Arial" w:cs="Arial"/>
              </w:rPr>
              <w:t>Injection drug use</w:t>
            </w:r>
          </w:p>
        </w:tc>
      </w:tr>
      <w:tr w:rsidR="00C70EDB" w:rsidRPr="00B13BCA" w14:paraId="309BF2A9" w14:textId="77777777" w:rsidTr="00B13BCA">
        <w:tc>
          <w:tcPr>
            <w:tcW w:w="1525" w:type="dxa"/>
          </w:tcPr>
          <w:p w14:paraId="13453E7F" w14:textId="72B399C7" w:rsidR="00C70EDB" w:rsidRDefault="00C70EDB" w:rsidP="00B13BCA">
            <w:pPr>
              <w:rPr>
                <w:rFonts w:ascii="Arial" w:hAnsi="Arial" w:cs="Arial"/>
                <w:b/>
              </w:rPr>
            </w:pPr>
            <w:r>
              <w:rPr>
                <w:rFonts w:ascii="Arial" w:hAnsi="Arial" w:cs="Arial"/>
                <w:b/>
              </w:rPr>
              <w:t>MoHCDGEC</w:t>
            </w:r>
          </w:p>
        </w:tc>
        <w:tc>
          <w:tcPr>
            <w:tcW w:w="7825" w:type="dxa"/>
          </w:tcPr>
          <w:p w14:paraId="627B55EB" w14:textId="46D50923" w:rsidR="00C70EDB" w:rsidRDefault="00C70EDB" w:rsidP="00B13BCA">
            <w:pPr>
              <w:rPr>
                <w:rFonts w:ascii="Arial" w:hAnsi="Arial" w:cs="Arial"/>
              </w:rPr>
            </w:pPr>
            <w:r>
              <w:rPr>
                <w:rFonts w:ascii="Arial" w:hAnsi="Arial" w:cs="Arial"/>
              </w:rPr>
              <w:t>Ministry of Health, Community Development, Gender, and Elderly, and Children</w:t>
            </w:r>
          </w:p>
        </w:tc>
      </w:tr>
      <w:tr w:rsidR="003D2845" w:rsidRPr="00B13BCA" w14:paraId="37A3728F" w14:textId="77777777" w:rsidTr="00B13BCA">
        <w:tc>
          <w:tcPr>
            <w:tcW w:w="1525" w:type="dxa"/>
          </w:tcPr>
          <w:p w14:paraId="7183133A" w14:textId="10C58FDC" w:rsidR="003D2845" w:rsidRPr="00B13BCA" w:rsidRDefault="003D2845" w:rsidP="00B13BCA">
            <w:pPr>
              <w:rPr>
                <w:rFonts w:ascii="Arial" w:hAnsi="Arial" w:cs="Arial"/>
                <w:b/>
              </w:rPr>
            </w:pPr>
            <w:r>
              <w:rPr>
                <w:rFonts w:ascii="Arial" w:hAnsi="Arial" w:cs="Arial"/>
                <w:b/>
              </w:rPr>
              <w:t>MSM</w:t>
            </w:r>
          </w:p>
        </w:tc>
        <w:tc>
          <w:tcPr>
            <w:tcW w:w="7825" w:type="dxa"/>
          </w:tcPr>
          <w:p w14:paraId="4C8579EE" w14:textId="6C1E62F8" w:rsidR="003D2845" w:rsidRPr="00B13BCA" w:rsidRDefault="003D2845" w:rsidP="00B13BCA">
            <w:pPr>
              <w:rPr>
                <w:rFonts w:ascii="Arial" w:hAnsi="Arial" w:cs="Arial"/>
              </w:rPr>
            </w:pPr>
            <w:r>
              <w:rPr>
                <w:rFonts w:ascii="Arial" w:hAnsi="Arial" w:cs="Arial"/>
              </w:rPr>
              <w:t>Men who have sex with men</w:t>
            </w:r>
          </w:p>
        </w:tc>
      </w:tr>
      <w:tr w:rsidR="00C70EDB" w:rsidRPr="00B13BCA" w14:paraId="1AD16FDF" w14:textId="77777777" w:rsidTr="00B13BCA">
        <w:tc>
          <w:tcPr>
            <w:tcW w:w="1525" w:type="dxa"/>
          </w:tcPr>
          <w:p w14:paraId="2805CAAC" w14:textId="4B75FF81" w:rsidR="00C70EDB" w:rsidRDefault="00C70EDB" w:rsidP="00B13BCA">
            <w:pPr>
              <w:rPr>
                <w:rFonts w:ascii="Arial" w:hAnsi="Arial" w:cs="Arial"/>
                <w:b/>
              </w:rPr>
            </w:pPr>
            <w:r>
              <w:rPr>
                <w:rFonts w:ascii="Arial" w:hAnsi="Arial" w:cs="Arial"/>
                <w:b/>
              </w:rPr>
              <w:t>NIMART</w:t>
            </w:r>
          </w:p>
        </w:tc>
        <w:tc>
          <w:tcPr>
            <w:tcW w:w="7825" w:type="dxa"/>
          </w:tcPr>
          <w:p w14:paraId="013CF6B7" w14:textId="7229142E" w:rsidR="00C70EDB" w:rsidRDefault="00C70EDB" w:rsidP="00B13BCA">
            <w:pPr>
              <w:rPr>
                <w:rFonts w:ascii="Arial" w:hAnsi="Arial" w:cs="Arial"/>
              </w:rPr>
            </w:pPr>
            <w:r>
              <w:rPr>
                <w:rFonts w:ascii="Arial" w:hAnsi="Arial" w:cs="Arial"/>
              </w:rPr>
              <w:t>Nurse-</w:t>
            </w:r>
            <w:r w:rsidR="00A54314">
              <w:rPr>
                <w:rFonts w:ascii="Arial" w:hAnsi="Arial" w:cs="Arial"/>
              </w:rPr>
              <w:t>I</w:t>
            </w:r>
            <w:r>
              <w:rPr>
                <w:rFonts w:ascii="Arial" w:hAnsi="Arial" w:cs="Arial"/>
              </w:rPr>
              <w:t xml:space="preserve">nitiated </w:t>
            </w:r>
            <w:r w:rsidR="00AD3EC6">
              <w:rPr>
                <w:rFonts w:ascii="Arial" w:hAnsi="Arial" w:cs="Arial"/>
              </w:rPr>
              <w:t>m</w:t>
            </w:r>
            <w:r>
              <w:rPr>
                <w:rFonts w:ascii="Arial" w:hAnsi="Arial" w:cs="Arial"/>
              </w:rPr>
              <w:t>anagement</w:t>
            </w:r>
            <w:r w:rsidR="00A54314">
              <w:rPr>
                <w:rFonts w:ascii="Arial" w:hAnsi="Arial" w:cs="Arial"/>
              </w:rPr>
              <w:t xml:space="preserve"> of </w:t>
            </w:r>
            <w:r w:rsidR="00AD3EC6">
              <w:rPr>
                <w:rFonts w:ascii="Arial" w:hAnsi="Arial" w:cs="Arial"/>
              </w:rPr>
              <w:t>antiretroviral therapy</w:t>
            </w:r>
          </w:p>
        </w:tc>
      </w:tr>
      <w:tr w:rsidR="00B13BCA" w:rsidRPr="00B13BCA" w14:paraId="094CFB49" w14:textId="77777777" w:rsidTr="00B13BCA">
        <w:tc>
          <w:tcPr>
            <w:tcW w:w="1525" w:type="dxa"/>
          </w:tcPr>
          <w:p w14:paraId="3D35FB86" w14:textId="44F5A937" w:rsidR="00B13BCA" w:rsidRPr="00505F88" w:rsidRDefault="00B13BCA" w:rsidP="00B13BCA">
            <w:pPr>
              <w:rPr>
                <w:rFonts w:ascii="Arial" w:hAnsi="Arial" w:cs="Arial"/>
                <w:b/>
              </w:rPr>
            </w:pPr>
            <w:r w:rsidRPr="00505F88">
              <w:rPr>
                <w:rFonts w:ascii="Arial" w:hAnsi="Arial" w:cs="Arial"/>
                <w:b/>
              </w:rPr>
              <w:t>NACP</w:t>
            </w:r>
          </w:p>
        </w:tc>
        <w:tc>
          <w:tcPr>
            <w:tcW w:w="7825" w:type="dxa"/>
          </w:tcPr>
          <w:p w14:paraId="5AFF2576" w14:textId="01E8803D" w:rsidR="00B13BCA" w:rsidRPr="00505F88" w:rsidRDefault="00B13BCA" w:rsidP="00B13BCA">
            <w:pPr>
              <w:rPr>
                <w:rFonts w:ascii="Arial" w:hAnsi="Arial" w:cs="Arial"/>
              </w:rPr>
            </w:pPr>
            <w:r w:rsidRPr="00505F88">
              <w:rPr>
                <w:rFonts w:ascii="Arial" w:hAnsi="Arial" w:cs="Arial"/>
              </w:rPr>
              <w:t>National AIDS Control Program</w:t>
            </w:r>
          </w:p>
        </w:tc>
      </w:tr>
      <w:tr w:rsidR="003D2845" w:rsidRPr="00B13BCA" w14:paraId="53F891AF" w14:textId="77777777" w:rsidTr="00B13BCA">
        <w:tc>
          <w:tcPr>
            <w:tcW w:w="1525" w:type="dxa"/>
          </w:tcPr>
          <w:p w14:paraId="3CF9CA85" w14:textId="3D007EAA" w:rsidR="003D2845" w:rsidRPr="00B13BCA" w:rsidRDefault="003D2845" w:rsidP="00B13BCA">
            <w:pPr>
              <w:rPr>
                <w:rFonts w:ascii="Arial" w:hAnsi="Arial" w:cs="Arial"/>
                <w:b/>
              </w:rPr>
            </w:pPr>
            <w:r>
              <w:rPr>
                <w:rFonts w:ascii="Arial" w:hAnsi="Arial" w:cs="Arial"/>
                <w:b/>
              </w:rPr>
              <w:t>NASA</w:t>
            </w:r>
          </w:p>
        </w:tc>
        <w:tc>
          <w:tcPr>
            <w:tcW w:w="7825" w:type="dxa"/>
          </w:tcPr>
          <w:p w14:paraId="55DB2A74" w14:textId="1D2E7C58" w:rsidR="003D2845" w:rsidRPr="00B13BCA" w:rsidRDefault="003D2845" w:rsidP="00B13BCA">
            <w:pPr>
              <w:rPr>
                <w:rFonts w:ascii="Arial" w:hAnsi="Arial" w:cs="Arial"/>
              </w:rPr>
            </w:pPr>
            <w:r>
              <w:rPr>
                <w:rFonts w:ascii="Arial" w:hAnsi="Arial" w:cs="Arial"/>
              </w:rPr>
              <w:t xml:space="preserve">National AIDS Spending Assessment </w:t>
            </w:r>
          </w:p>
        </w:tc>
      </w:tr>
      <w:tr w:rsidR="00F07840" w:rsidRPr="00B13BCA" w14:paraId="36EE6614" w14:textId="77777777" w:rsidTr="00B13BCA">
        <w:tc>
          <w:tcPr>
            <w:tcW w:w="1525" w:type="dxa"/>
          </w:tcPr>
          <w:p w14:paraId="42821DF3" w14:textId="070622AA" w:rsidR="00F07840" w:rsidRDefault="00F07840" w:rsidP="00B13BCA">
            <w:pPr>
              <w:rPr>
                <w:rFonts w:ascii="Arial" w:hAnsi="Arial" w:cs="Arial"/>
                <w:b/>
              </w:rPr>
            </w:pPr>
            <w:r>
              <w:rPr>
                <w:rFonts w:ascii="Arial" w:hAnsi="Arial" w:cs="Arial"/>
                <w:b/>
              </w:rPr>
              <w:t>NS</w:t>
            </w:r>
          </w:p>
        </w:tc>
        <w:tc>
          <w:tcPr>
            <w:tcW w:w="7825" w:type="dxa"/>
          </w:tcPr>
          <w:p w14:paraId="14C3CF24" w14:textId="79DB1464" w:rsidR="00F07840" w:rsidRDefault="00F07840" w:rsidP="00B13BCA">
            <w:pPr>
              <w:rPr>
                <w:rFonts w:ascii="Arial" w:hAnsi="Arial" w:cs="Arial"/>
              </w:rPr>
            </w:pPr>
            <w:r>
              <w:rPr>
                <w:rFonts w:ascii="Arial" w:hAnsi="Arial" w:cs="Arial"/>
              </w:rPr>
              <w:t xml:space="preserve">National Strategy </w:t>
            </w:r>
            <w:r w:rsidR="00534FF7">
              <w:rPr>
                <w:rFonts w:ascii="Arial" w:hAnsi="Arial" w:cs="Arial"/>
              </w:rPr>
              <w:t>S</w:t>
            </w:r>
            <w:r>
              <w:rPr>
                <w:rFonts w:ascii="Arial" w:hAnsi="Arial" w:cs="Arial"/>
              </w:rPr>
              <w:t>cenario</w:t>
            </w:r>
          </w:p>
        </w:tc>
      </w:tr>
      <w:tr w:rsidR="003D2845" w:rsidRPr="00B13BCA" w14:paraId="78CD6741" w14:textId="77777777" w:rsidTr="00B13BCA">
        <w:tc>
          <w:tcPr>
            <w:tcW w:w="1525" w:type="dxa"/>
          </w:tcPr>
          <w:p w14:paraId="58026981" w14:textId="3725BEA4" w:rsidR="003D2845" w:rsidRPr="00B13BCA" w:rsidRDefault="003D2845" w:rsidP="00B13BCA">
            <w:pPr>
              <w:rPr>
                <w:rFonts w:ascii="Arial" w:hAnsi="Arial" w:cs="Arial"/>
                <w:b/>
              </w:rPr>
            </w:pPr>
            <w:r>
              <w:rPr>
                <w:rFonts w:ascii="Arial" w:hAnsi="Arial" w:cs="Arial"/>
                <w:b/>
              </w:rPr>
              <w:t>NHIF</w:t>
            </w:r>
          </w:p>
        </w:tc>
        <w:tc>
          <w:tcPr>
            <w:tcW w:w="7825" w:type="dxa"/>
          </w:tcPr>
          <w:p w14:paraId="6F966C80" w14:textId="6847178C" w:rsidR="003D2845" w:rsidRPr="00B13BCA" w:rsidRDefault="003D2845" w:rsidP="00B13BCA">
            <w:pPr>
              <w:rPr>
                <w:rFonts w:ascii="Arial" w:hAnsi="Arial" w:cs="Arial"/>
              </w:rPr>
            </w:pPr>
            <w:r>
              <w:rPr>
                <w:rFonts w:ascii="Arial" w:hAnsi="Arial" w:cs="Arial"/>
              </w:rPr>
              <w:t>National Health Insurance Fund</w:t>
            </w:r>
          </w:p>
        </w:tc>
      </w:tr>
      <w:tr w:rsidR="00B13BCA" w:rsidRPr="00B13BCA" w14:paraId="437B4369" w14:textId="77777777" w:rsidTr="00B13BCA">
        <w:tc>
          <w:tcPr>
            <w:tcW w:w="1525" w:type="dxa"/>
          </w:tcPr>
          <w:p w14:paraId="4BB4CCBF" w14:textId="6048DEE2" w:rsidR="00B13BCA" w:rsidRPr="00505F88" w:rsidRDefault="00B13BCA" w:rsidP="00B13BCA">
            <w:pPr>
              <w:rPr>
                <w:rFonts w:ascii="Arial" w:hAnsi="Arial" w:cs="Arial"/>
                <w:b/>
              </w:rPr>
            </w:pPr>
            <w:r w:rsidRPr="00505F88">
              <w:rPr>
                <w:rFonts w:ascii="Arial" w:hAnsi="Arial" w:cs="Arial"/>
                <w:b/>
              </w:rPr>
              <w:t>NMSF IV</w:t>
            </w:r>
          </w:p>
        </w:tc>
        <w:tc>
          <w:tcPr>
            <w:tcW w:w="7825" w:type="dxa"/>
          </w:tcPr>
          <w:p w14:paraId="721FA7F5" w14:textId="616A031B" w:rsidR="00B13BCA" w:rsidRPr="00505F88" w:rsidRDefault="00B13BCA" w:rsidP="00B13BCA">
            <w:pPr>
              <w:rPr>
                <w:rFonts w:ascii="Arial" w:hAnsi="Arial" w:cs="Arial"/>
              </w:rPr>
            </w:pPr>
            <w:r w:rsidRPr="00505F88">
              <w:rPr>
                <w:rFonts w:ascii="Arial" w:hAnsi="Arial" w:cs="Arial"/>
              </w:rPr>
              <w:t>National Multisectoral Strategic Framework IV</w:t>
            </w:r>
          </w:p>
        </w:tc>
      </w:tr>
      <w:tr w:rsidR="00A87DFC" w:rsidRPr="00B13BCA" w14:paraId="5395C5C1" w14:textId="77777777" w:rsidTr="00B13BCA">
        <w:tc>
          <w:tcPr>
            <w:tcW w:w="1525" w:type="dxa"/>
          </w:tcPr>
          <w:p w14:paraId="75380DD8" w14:textId="2D33409A" w:rsidR="00A87DFC" w:rsidRDefault="00A87DFC" w:rsidP="00B13BCA">
            <w:pPr>
              <w:rPr>
                <w:rFonts w:ascii="Arial" w:hAnsi="Arial" w:cs="Arial"/>
                <w:b/>
              </w:rPr>
            </w:pPr>
            <w:r>
              <w:rPr>
                <w:rFonts w:ascii="Arial" w:hAnsi="Arial" w:cs="Arial"/>
                <w:b/>
              </w:rPr>
              <w:t>O-CCF</w:t>
            </w:r>
          </w:p>
        </w:tc>
        <w:tc>
          <w:tcPr>
            <w:tcW w:w="7825" w:type="dxa"/>
          </w:tcPr>
          <w:p w14:paraId="027813A1" w14:textId="03F4C059" w:rsidR="00A87DFC" w:rsidRDefault="00A87DFC" w:rsidP="00B13BCA">
            <w:pPr>
              <w:rPr>
                <w:rFonts w:ascii="Arial" w:hAnsi="Arial" w:cs="Arial"/>
              </w:rPr>
            </w:pPr>
            <w:r>
              <w:rPr>
                <w:rFonts w:ascii="Arial" w:hAnsi="Arial" w:cs="Arial"/>
              </w:rPr>
              <w:t>Optimization- Constant Coverage Funding</w:t>
            </w:r>
            <w:r w:rsidR="004D30CA">
              <w:rPr>
                <w:rFonts w:ascii="Arial" w:hAnsi="Arial" w:cs="Arial"/>
              </w:rPr>
              <w:t xml:space="preserve"> Scenario</w:t>
            </w:r>
          </w:p>
        </w:tc>
      </w:tr>
      <w:tr w:rsidR="002B3153" w:rsidRPr="00B13BCA" w14:paraId="4FF2A927" w14:textId="77777777" w:rsidTr="00B13BCA">
        <w:tc>
          <w:tcPr>
            <w:tcW w:w="1525" w:type="dxa"/>
          </w:tcPr>
          <w:p w14:paraId="60745E1F" w14:textId="10043EEA" w:rsidR="002B3153" w:rsidRPr="00505F88" w:rsidRDefault="002B3153" w:rsidP="00B13BCA">
            <w:pPr>
              <w:rPr>
                <w:rFonts w:ascii="Arial" w:hAnsi="Arial" w:cs="Arial"/>
                <w:b/>
              </w:rPr>
            </w:pPr>
            <w:r>
              <w:rPr>
                <w:rFonts w:ascii="Arial" w:hAnsi="Arial" w:cs="Arial"/>
                <w:b/>
              </w:rPr>
              <w:t>O-DDF</w:t>
            </w:r>
          </w:p>
        </w:tc>
        <w:tc>
          <w:tcPr>
            <w:tcW w:w="7825" w:type="dxa"/>
          </w:tcPr>
          <w:p w14:paraId="6B4BA480" w14:textId="48A9D34C" w:rsidR="002B3153" w:rsidRPr="00505F88" w:rsidRDefault="002B3153" w:rsidP="00B13BCA">
            <w:pPr>
              <w:rPr>
                <w:rFonts w:ascii="Arial" w:hAnsi="Arial" w:cs="Arial"/>
              </w:rPr>
            </w:pPr>
            <w:r>
              <w:rPr>
                <w:rFonts w:ascii="Arial" w:hAnsi="Arial" w:cs="Arial"/>
              </w:rPr>
              <w:t>Optimization- Declining Donor Funding</w:t>
            </w:r>
            <w:r w:rsidR="009E43A6">
              <w:rPr>
                <w:rFonts w:ascii="Arial" w:hAnsi="Arial" w:cs="Arial"/>
              </w:rPr>
              <w:t xml:space="preserve"> </w:t>
            </w:r>
            <w:r w:rsidR="004D30CA">
              <w:rPr>
                <w:rFonts w:ascii="Arial" w:hAnsi="Arial" w:cs="Arial"/>
              </w:rPr>
              <w:t>Sc</w:t>
            </w:r>
            <w:r w:rsidR="009E43A6">
              <w:rPr>
                <w:rFonts w:ascii="Arial" w:hAnsi="Arial" w:cs="Arial"/>
              </w:rPr>
              <w:t>enario</w:t>
            </w:r>
          </w:p>
        </w:tc>
      </w:tr>
      <w:tr w:rsidR="002B3153" w:rsidRPr="00B13BCA" w14:paraId="4F78F549" w14:textId="77777777" w:rsidTr="00B13BCA">
        <w:tc>
          <w:tcPr>
            <w:tcW w:w="1525" w:type="dxa"/>
          </w:tcPr>
          <w:p w14:paraId="7049A7C0" w14:textId="5E0F878B" w:rsidR="002B3153" w:rsidRPr="00505F88" w:rsidRDefault="002B3153" w:rsidP="00B13BCA">
            <w:pPr>
              <w:rPr>
                <w:rFonts w:ascii="Arial" w:hAnsi="Arial" w:cs="Arial"/>
                <w:b/>
              </w:rPr>
            </w:pPr>
            <w:r>
              <w:rPr>
                <w:rFonts w:ascii="Arial" w:hAnsi="Arial" w:cs="Arial"/>
                <w:b/>
              </w:rPr>
              <w:t>O-DRM</w:t>
            </w:r>
          </w:p>
        </w:tc>
        <w:tc>
          <w:tcPr>
            <w:tcW w:w="7825" w:type="dxa"/>
          </w:tcPr>
          <w:p w14:paraId="54B56F3A" w14:textId="6953E7B6" w:rsidR="002B3153" w:rsidRPr="00505F88" w:rsidRDefault="002B3153" w:rsidP="00B13BCA">
            <w:pPr>
              <w:rPr>
                <w:rFonts w:ascii="Arial" w:hAnsi="Arial" w:cs="Arial"/>
              </w:rPr>
            </w:pPr>
            <w:r>
              <w:rPr>
                <w:rFonts w:ascii="Arial" w:hAnsi="Arial" w:cs="Arial"/>
              </w:rPr>
              <w:t xml:space="preserve">Optimization- Domestic Resource Mobilization </w:t>
            </w:r>
            <w:r w:rsidR="004D30CA">
              <w:rPr>
                <w:rFonts w:ascii="Arial" w:hAnsi="Arial" w:cs="Arial"/>
              </w:rPr>
              <w:t>S</w:t>
            </w:r>
            <w:r w:rsidR="009E43A6">
              <w:rPr>
                <w:rFonts w:ascii="Arial" w:hAnsi="Arial" w:cs="Arial"/>
              </w:rPr>
              <w:t>cenario</w:t>
            </w:r>
          </w:p>
        </w:tc>
      </w:tr>
      <w:tr w:rsidR="00AD3EC6" w:rsidRPr="00B13BCA" w14:paraId="70B8D8EC" w14:textId="77777777" w:rsidTr="00B13BCA">
        <w:tc>
          <w:tcPr>
            <w:tcW w:w="1525" w:type="dxa"/>
          </w:tcPr>
          <w:p w14:paraId="5AABAC68" w14:textId="744FAF8B" w:rsidR="00AD3EC6" w:rsidRDefault="00AD3EC6" w:rsidP="00B13BCA">
            <w:pPr>
              <w:rPr>
                <w:rFonts w:ascii="Arial" w:hAnsi="Arial" w:cs="Arial"/>
                <w:b/>
              </w:rPr>
            </w:pPr>
            <w:r>
              <w:rPr>
                <w:rFonts w:ascii="Arial" w:hAnsi="Arial" w:cs="Arial"/>
                <w:b/>
              </w:rPr>
              <w:t>PEPFAR</w:t>
            </w:r>
          </w:p>
        </w:tc>
        <w:tc>
          <w:tcPr>
            <w:tcW w:w="7825" w:type="dxa"/>
          </w:tcPr>
          <w:p w14:paraId="0701F24B" w14:textId="613F3D7E" w:rsidR="00AD3EC6" w:rsidRDefault="00AD3EC6" w:rsidP="00B13BCA">
            <w:pPr>
              <w:rPr>
                <w:rFonts w:ascii="Arial" w:hAnsi="Arial" w:cs="Arial"/>
              </w:rPr>
            </w:pPr>
            <w:r>
              <w:rPr>
                <w:rFonts w:ascii="Arial" w:hAnsi="Arial" w:cs="Arial"/>
              </w:rPr>
              <w:t>President’s Emergency Plan for AIDS Relief</w:t>
            </w:r>
          </w:p>
        </w:tc>
      </w:tr>
      <w:tr w:rsidR="00B13BCA" w:rsidRPr="00B13BCA" w14:paraId="6E6BDE96" w14:textId="77777777" w:rsidTr="00B13BCA">
        <w:tc>
          <w:tcPr>
            <w:tcW w:w="1525" w:type="dxa"/>
          </w:tcPr>
          <w:p w14:paraId="6BD4389A" w14:textId="64EAEDC9" w:rsidR="00B13BCA" w:rsidRPr="00B13BCA" w:rsidRDefault="00B13BCA" w:rsidP="00B13BCA">
            <w:pPr>
              <w:rPr>
                <w:rFonts w:ascii="Arial" w:hAnsi="Arial" w:cs="Arial"/>
                <w:b/>
              </w:rPr>
            </w:pPr>
            <w:r>
              <w:rPr>
                <w:rFonts w:ascii="Arial" w:hAnsi="Arial" w:cs="Arial"/>
                <w:b/>
              </w:rPr>
              <w:t>PHIA</w:t>
            </w:r>
          </w:p>
        </w:tc>
        <w:tc>
          <w:tcPr>
            <w:tcW w:w="7825" w:type="dxa"/>
          </w:tcPr>
          <w:p w14:paraId="478C5A2A" w14:textId="3C03954A" w:rsidR="00B13BCA" w:rsidRPr="00B13BCA" w:rsidRDefault="00B13BCA" w:rsidP="00B13BCA">
            <w:pPr>
              <w:rPr>
                <w:rFonts w:ascii="Arial" w:hAnsi="Arial" w:cs="Arial"/>
              </w:rPr>
            </w:pPr>
            <w:r>
              <w:rPr>
                <w:rFonts w:ascii="Arial" w:hAnsi="Arial" w:cs="Arial"/>
              </w:rPr>
              <w:t xml:space="preserve">Population HIV Impact Assessment </w:t>
            </w:r>
          </w:p>
        </w:tc>
      </w:tr>
      <w:tr w:rsidR="006339A6" w:rsidRPr="00B13BCA" w14:paraId="5623916C" w14:textId="77777777" w:rsidTr="00B13BCA">
        <w:tc>
          <w:tcPr>
            <w:tcW w:w="1525" w:type="dxa"/>
          </w:tcPr>
          <w:p w14:paraId="4B2AF958" w14:textId="5E60ABC7" w:rsidR="006339A6" w:rsidRDefault="006339A6" w:rsidP="00B13BCA">
            <w:pPr>
              <w:rPr>
                <w:rFonts w:ascii="Arial" w:hAnsi="Arial" w:cs="Arial"/>
                <w:b/>
              </w:rPr>
            </w:pPr>
            <w:r>
              <w:rPr>
                <w:rFonts w:ascii="Arial" w:hAnsi="Arial" w:cs="Arial"/>
                <w:b/>
              </w:rPr>
              <w:t>PITC</w:t>
            </w:r>
          </w:p>
        </w:tc>
        <w:tc>
          <w:tcPr>
            <w:tcW w:w="7825" w:type="dxa"/>
          </w:tcPr>
          <w:p w14:paraId="4AAC7C26" w14:textId="3059030F" w:rsidR="006339A6" w:rsidRDefault="006339A6" w:rsidP="00B13BCA">
            <w:pPr>
              <w:rPr>
                <w:rFonts w:ascii="Arial" w:hAnsi="Arial" w:cs="Arial"/>
              </w:rPr>
            </w:pPr>
            <w:r>
              <w:rPr>
                <w:rFonts w:ascii="Arial" w:hAnsi="Arial" w:cs="Arial"/>
              </w:rPr>
              <w:t>Provider-initiated testing and counseling</w:t>
            </w:r>
          </w:p>
        </w:tc>
      </w:tr>
      <w:tr w:rsidR="00B13BCA" w:rsidRPr="00B13BCA" w14:paraId="0C716067" w14:textId="77777777" w:rsidTr="00B13BCA">
        <w:tc>
          <w:tcPr>
            <w:tcW w:w="1525" w:type="dxa"/>
          </w:tcPr>
          <w:p w14:paraId="612C1F62" w14:textId="0C75087B" w:rsidR="00B13BCA" w:rsidRPr="00505F88" w:rsidRDefault="00B13BCA" w:rsidP="00B13BCA">
            <w:pPr>
              <w:rPr>
                <w:rFonts w:ascii="Arial" w:hAnsi="Arial" w:cs="Arial"/>
                <w:b/>
              </w:rPr>
            </w:pPr>
            <w:r w:rsidRPr="00505F88">
              <w:rPr>
                <w:rFonts w:ascii="Arial" w:hAnsi="Arial" w:cs="Arial"/>
                <w:b/>
              </w:rPr>
              <w:lastRenderedPageBreak/>
              <w:t>PLHIV</w:t>
            </w:r>
          </w:p>
        </w:tc>
        <w:tc>
          <w:tcPr>
            <w:tcW w:w="7825" w:type="dxa"/>
          </w:tcPr>
          <w:p w14:paraId="74BCDCD9" w14:textId="4E19BAD2" w:rsidR="00B13BCA" w:rsidRPr="00505F88" w:rsidRDefault="00B13BCA" w:rsidP="00B13BCA">
            <w:pPr>
              <w:rPr>
                <w:rFonts w:ascii="Arial" w:hAnsi="Arial" w:cs="Arial"/>
              </w:rPr>
            </w:pPr>
            <w:r w:rsidRPr="00505F88">
              <w:rPr>
                <w:rFonts w:ascii="Arial" w:hAnsi="Arial" w:cs="Arial"/>
              </w:rPr>
              <w:t>People living with HIV</w:t>
            </w:r>
          </w:p>
        </w:tc>
      </w:tr>
      <w:tr w:rsidR="00B13BCA" w:rsidRPr="00B13BCA" w14:paraId="5F51A204" w14:textId="77777777" w:rsidTr="00505F88">
        <w:tc>
          <w:tcPr>
            <w:tcW w:w="1525" w:type="dxa"/>
          </w:tcPr>
          <w:p w14:paraId="747CA599" w14:textId="7B498003" w:rsidR="00B13BCA" w:rsidRPr="00505F88" w:rsidRDefault="00B13BCA" w:rsidP="00B13BCA">
            <w:pPr>
              <w:rPr>
                <w:rFonts w:ascii="Arial" w:hAnsi="Arial" w:cs="Arial"/>
                <w:b/>
              </w:rPr>
            </w:pPr>
            <w:r w:rsidRPr="00505F88">
              <w:rPr>
                <w:rFonts w:ascii="Arial" w:hAnsi="Arial" w:cs="Arial"/>
                <w:b/>
              </w:rPr>
              <w:t>PMTCT</w:t>
            </w:r>
          </w:p>
        </w:tc>
        <w:tc>
          <w:tcPr>
            <w:tcW w:w="7825" w:type="dxa"/>
          </w:tcPr>
          <w:p w14:paraId="6CE9C5AE" w14:textId="5FDFCF18" w:rsidR="00B13BCA" w:rsidRPr="00505F88" w:rsidRDefault="00B13BCA" w:rsidP="00B13BCA">
            <w:pPr>
              <w:rPr>
                <w:rFonts w:ascii="Arial" w:hAnsi="Arial" w:cs="Arial"/>
              </w:rPr>
            </w:pPr>
            <w:r w:rsidRPr="00505F88">
              <w:rPr>
                <w:rFonts w:ascii="Arial" w:hAnsi="Arial" w:cs="Arial"/>
              </w:rPr>
              <w:t>Prevention of mother to child transmission</w:t>
            </w:r>
          </w:p>
        </w:tc>
      </w:tr>
      <w:tr w:rsidR="00B13BCA" w:rsidRPr="00B13BCA" w14:paraId="1E8A3A9D" w14:textId="77777777" w:rsidTr="00B13BCA">
        <w:tc>
          <w:tcPr>
            <w:tcW w:w="1525" w:type="dxa"/>
          </w:tcPr>
          <w:p w14:paraId="3ED8114D" w14:textId="017D6488" w:rsidR="00B13BCA" w:rsidRPr="00B13BCA" w:rsidRDefault="00B13BCA" w:rsidP="00B13BCA">
            <w:pPr>
              <w:rPr>
                <w:rFonts w:ascii="Arial" w:hAnsi="Arial" w:cs="Arial"/>
                <w:b/>
              </w:rPr>
            </w:pPr>
            <w:r>
              <w:rPr>
                <w:rFonts w:ascii="Arial" w:hAnsi="Arial" w:cs="Arial"/>
                <w:b/>
              </w:rPr>
              <w:t>PrEP</w:t>
            </w:r>
          </w:p>
        </w:tc>
        <w:tc>
          <w:tcPr>
            <w:tcW w:w="7825" w:type="dxa"/>
          </w:tcPr>
          <w:p w14:paraId="021C9B9B" w14:textId="2AD6F716" w:rsidR="00B13BCA" w:rsidRPr="00B13BCA" w:rsidRDefault="00B13BCA" w:rsidP="00B13BCA">
            <w:pPr>
              <w:rPr>
                <w:rFonts w:ascii="Arial" w:hAnsi="Arial" w:cs="Arial"/>
              </w:rPr>
            </w:pPr>
            <w:r>
              <w:rPr>
                <w:rFonts w:ascii="Arial" w:hAnsi="Arial" w:cs="Arial"/>
              </w:rPr>
              <w:t xml:space="preserve">Pre-exposure prophylaxis </w:t>
            </w:r>
          </w:p>
        </w:tc>
      </w:tr>
      <w:tr w:rsidR="00AD3EC6" w:rsidRPr="00B13BCA" w14:paraId="7B04EE40" w14:textId="77777777" w:rsidTr="00B13BCA">
        <w:tc>
          <w:tcPr>
            <w:tcW w:w="1525" w:type="dxa"/>
          </w:tcPr>
          <w:p w14:paraId="09535354" w14:textId="06D9A43A" w:rsidR="00AD3EC6" w:rsidRDefault="00AD3EC6" w:rsidP="00B13BCA">
            <w:pPr>
              <w:rPr>
                <w:rFonts w:ascii="Arial" w:hAnsi="Arial" w:cs="Arial"/>
                <w:b/>
              </w:rPr>
            </w:pPr>
            <w:r>
              <w:rPr>
                <w:rFonts w:ascii="Arial" w:hAnsi="Arial" w:cs="Arial"/>
                <w:b/>
              </w:rPr>
              <w:t>PWID</w:t>
            </w:r>
          </w:p>
        </w:tc>
        <w:tc>
          <w:tcPr>
            <w:tcW w:w="7825" w:type="dxa"/>
          </w:tcPr>
          <w:p w14:paraId="5CB085AC" w14:textId="304931EF" w:rsidR="00AD3EC6" w:rsidRDefault="00AD3EC6" w:rsidP="00B13BCA">
            <w:pPr>
              <w:rPr>
                <w:rFonts w:ascii="Arial" w:hAnsi="Arial" w:cs="Arial"/>
              </w:rPr>
            </w:pPr>
            <w:r>
              <w:rPr>
                <w:rFonts w:ascii="Arial" w:hAnsi="Arial" w:cs="Arial"/>
              </w:rPr>
              <w:t>People who inject drugs</w:t>
            </w:r>
          </w:p>
        </w:tc>
      </w:tr>
      <w:tr w:rsidR="00B13BCA" w:rsidRPr="00B13BCA" w14:paraId="7B52A512" w14:textId="77777777" w:rsidTr="00505F88">
        <w:tc>
          <w:tcPr>
            <w:tcW w:w="1525" w:type="dxa"/>
          </w:tcPr>
          <w:p w14:paraId="59C14C64" w14:textId="62FFB8E3" w:rsidR="00B13BCA" w:rsidRPr="00505F88" w:rsidRDefault="00B13BCA" w:rsidP="00B13BCA">
            <w:pPr>
              <w:rPr>
                <w:rFonts w:ascii="Arial" w:hAnsi="Arial" w:cs="Arial"/>
                <w:b/>
              </w:rPr>
            </w:pPr>
            <w:r w:rsidRPr="00505F88">
              <w:rPr>
                <w:rFonts w:ascii="Arial" w:hAnsi="Arial" w:cs="Arial"/>
                <w:b/>
              </w:rPr>
              <w:t>TACAIDS</w:t>
            </w:r>
          </w:p>
        </w:tc>
        <w:tc>
          <w:tcPr>
            <w:tcW w:w="7825" w:type="dxa"/>
          </w:tcPr>
          <w:p w14:paraId="679C8978" w14:textId="23C0E33C" w:rsidR="00B13BCA" w:rsidRPr="00505F88" w:rsidRDefault="00B13BCA" w:rsidP="00B13BCA">
            <w:pPr>
              <w:rPr>
                <w:rFonts w:ascii="Arial" w:hAnsi="Arial" w:cs="Arial"/>
              </w:rPr>
            </w:pPr>
            <w:r w:rsidRPr="00505F88">
              <w:rPr>
                <w:rFonts w:ascii="Arial" w:hAnsi="Arial" w:cs="Arial"/>
              </w:rPr>
              <w:t>Tanzania Commission for AIDS</w:t>
            </w:r>
          </w:p>
        </w:tc>
      </w:tr>
      <w:tr w:rsidR="006949AB" w:rsidRPr="00B13BCA" w14:paraId="64155720" w14:textId="77777777" w:rsidTr="00505F88">
        <w:tc>
          <w:tcPr>
            <w:tcW w:w="1525" w:type="dxa"/>
          </w:tcPr>
          <w:p w14:paraId="4002AC6F" w14:textId="52B090F9" w:rsidR="006949AB" w:rsidRPr="00505F88" w:rsidRDefault="006949AB" w:rsidP="00B13BCA">
            <w:pPr>
              <w:rPr>
                <w:rFonts w:ascii="Arial" w:hAnsi="Arial" w:cs="Arial"/>
                <w:b/>
              </w:rPr>
            </w:pPr>
            <w:r>
              <w:rPr>
                <w:rFonts w:ascii="Arial" w:hAnsi="Arial" w:cs="Arial"/>
                <w:b/>
              </w:rPr>
              <w:t>TB</w:t>
            </w:r>
          </w:p>
        </w:tc>
        <w:tc>
          <w:tcPr>
            <w:tcW w:w="7825" w:type="dxa"/>
          </w:tcPr>
          <w:p w14:paraId="419DF6E4" w14:textId="7B7C90F9" w:rsidR="006949AB" w:rsidRPr="00505F88" w:rsidRDefault="006949AB" w:rsidP="00B13BCA">
            <w:pPr>
              <w:rPr>
                <w:rFonts w:ascii="Arial" w:hAnsi="Arial" w:cs="Arial"/>
              </w:rPr>
            </w:pPr>
            <w:r>
              <w:rPr>
                <w:rFonts w:ascii="Arial" w:hAnsi="Arial" w:cs="Arial"/>
              </w:rPr>
              <w:t>Tuberculosis</w:t>
            </w:r>
          </w:p>
        </w:tc>
      </w:tr>
      <w:tr w:rsidR="006339A6" w:rsidRPr="00B13BCA" w14:paraId="6764DA02" w14:textId="77777777" w:rsidTr="00505F88">
        <w:tc>
          <w:tcPr>
            <w:tcW w:w="1525" w:type="dxa"/>
          </w:tcPr>
          <w:p w14:paraId="7DFD6F1F" w14:textId="2C9FF97C" w:rsidR="006339A6" w:rsidRDefault="006339A6" w:rsidP="00B13BCA">
            <w:pPr>
              <w:rPr>
                <w:rFonts w:ascii="Arial" w:hAnsi="Arial" w:cs="Arial"/>
                <w:b/>
              </w:rPr>
            </w:pPr>
            <w:r>
              <w:rPr>
                <w:rFonts w:ascii="Arial" w:hAnsi="Arial" w:cs="Arial"/>
                <w:b/>
              </w:rPr>
              <w:t>TE</w:t>
            </w:r>
          </w:p>
        </w:tc>
        <w:tc>
          <w:tcPr>
            <w:tcW w:w="7825" w:type="dxa"/>
          </w:tcPr>
          <w:p w14:paraId="7E9CFB62" w14:textId="4711239E" w:rsidR="006339A6" w:rsidRDefault="006339A6" w:rsidP="00B13BCA">
            <w:pPr>
              <w:rPr>
                <w:rFonts w:ascii="Arial" w:hAnsi="Arial" w:cs="Arial"/>
              </w:rPr>
            </w:pPr>
            <w:r>
              <w:rPr>
                <w:rFonts w:ascii="Arial" w:hAnsi="Arial" w:cs="Arial"/>
              </w:rPr>
              <w:t>Technical efficiency</w:t>
            </w:r>
          </w:p>
        </w:tc>
      </w:tr>
      <w:tr w:rsidR="00B13BCA" w:rsidRPr="00B13BCA" w14:paraId="2156C515" w14:textId="77777777" w:rsidTr="00B13BCA">
        <w:tc>
          <w:tcPr>
            <w:tcW w:w="1525" w:type="dxa"/>
          </w:tcPr>
          <w:p w14:paraId="7F410653" w14:textId="0888731C" w:rsidR="00B13BCA" w:rsidRPr="00B13BCA" w:rsidRDefault="00B13BCA" w:rsidP="00B13BCA">
            <w:pPr>
              <w:rPr>
                <w:rFonts w:ascii="Arial" w:hAnsi="Arial" w:cs="Arial"/>
                <w:b/>
              </w:rPr>
            </w:pPr>
            <w:r>
              <w:rPr>
                <w:rFonts w:ascii="Arial" w:hAnsi="Arial" w:cs="Arial"/>
                <w:b/>
              </w:rPr>
              <w:t>THIS</w:t>
            </w:r>
          </w:p>
        </w:tc>
        <w:tc>
          <w:tcPr>
            <w:tcW w:w="7825" w:type="dxa"/>
          </w:tcPr>
          <w:p w14:paraId="7C9CAAF0" w14:textId="7389C12C" w:rsidR="00B13BCA" w:rsidRPr="00B13BCA" w:rsidRDefault="00B13BCA" w:rsidP="00B13BCA">
            <w:pPr>
              <w:rPr>
                <w:rFonts w:ascii="Arial" w:hAnsi="Arial" w:cs="Arial"/>
              </w:rPr>
            </w:pPr>
            <w:r>
              <w:rPr>
                <w:rFonts w:ascii="Arial" w:hAnsi="Arial" w:cs="Arial"/>
              </w:rPr>
              <w:t>Tanzania HIV Impact Survey</w:t>
            </w:r>
            <w:r w:rsidR="00A54314">
              <w:rPr>
                <w:rFonts w:ascii="Arial" w:hAnsi="Arial" w:cs="Arial"/>
              </w:rPr>
              <w:t xml:space="preserve"> (PHIA)</w:t>
            </w:r>
          </w:p>
        </w:tc>
      </w:tr>
      <w:tr w:rsidR="00C623BC" w:rsidRPr="00B13BCA" w14:paraId="558317B1" w14:textId="77777777" w:rsidTr="00B13BCA">
        <w:tc>
          <w:tcPr>
            <w:tcW w:w="1525" w:type="dxa"/>
          </w:tcPr>
          <w:p w14:paraId="55065EC4" w14:textId="4847170E" w:rsidR="00C623BC" w:rsidRDefault="00C623BC" w:rsidP="00B13BCA">
            <w:pPr>
              <w:rPr>
                <w:rFonts w:ascii="Arial" w:hAnsi="Arial" w:cs="Arial"/>
                <w:b/>
              </w:rPr>
            </w:pPr>
            <w:r>
              <w:rPr>
                <w:rFonts w:ascii="Arial" w:hAnsi="Arial" w:cs="Arial"/>
                <w:b/>
              </w:rPr>
              <w:t>SIB</w:t>
            </w:r>
          </w:p>
        </w:tc>
        <w:tc>
          <w:tcPr>
            <w:tcW w:w="7825" w:type="dxa"/>
          </w:tcPr>
          <w:p w14:paraId="706E60C3" w14:textId="2800F83A" w:rsidR="00C623BC" w:rsidRDefault="00C623BC" w:rsidP="00B13BCA">
            <w:pPr>
              <w:rPr>
                <w:rFonts w:ascii="Arial" w:hAnsi="Arial" w:cs="Arial"/>
              </w:rPr>
            </w:pPr>
            <w:r>
              <w:rPr>
                <w:rFonts w:ascii="Arial" w:hAnsi="Arial" w:cs="Arial"/>
              </w:rPr>
              <w:t>Social Impact Bond</w:t>
            </w:r>
          </w:p>
        </w:tc>
      </w:tr>
      <w:tr w:rsidR="002B3153" w:rsidRPr="00B13BCA" w14:paraId="37BC3CD3" w14:textId="77777777" w:rsidTr="00B13BCA">
        <w:tc>
          <w:tcPr>
            <w:tcW w:w="1525" w:type="dxa"/>
          </w:tcPr>
          <w:p w14:paraId="75AC8FF0" w14:textId="5D4B8AC2" w:rsidR="002B3153" w:rsidRDefault="002B3153" w:rsidP="00B13BCA">
            <w:pPr>
              <w:rPr>
                <w:rFonts w:ascii="Arial" w:hAnsi="Arial" w:cs="Arial"/>
                <w:b/>
              </w:rPr>
            </w:pPr>
            <w:r>
              <w:rPr>
                <w:rFonts w:ascii="Arial" w:hAnsi="Arial" w:cs="Arial"/>
                <w:b/>
              </w:rPr>
              <w:t>SNU</w:t>
            </w:r>
          </w:p>
        </w:tc>
        <w:tc>
          <w:tcPr>
            <w:tcW w:w="7825" w:type="dxa"/>
          </w:tcPr>
          <w:p w14:paraId="781AD076" w14:textId="6566D868" w:rsidR="002B3153" w:rsidRDefault="002B3153" w:rsidP="00B13BCA">
            <w:pPr>
              <w:rPr>
                <w:rFonts w:ascii="Arial" w:hAnsi="Arial" w:cs="Arial"/>
              </w:rPr>
            </w:pPr>
            <w:r>
              <w:rPr>
                <w:rFonts w:ascii="Arial" w:hAnsi="Arial" w:cs="Arial"/>
              </w:rPr>
              <w:t>Sub-national units</w:t>
            </w:r>
          </w:p>
        </w:tc>
      </w:tr>
      <w:tr w:rsidR="00AD3EC6" w:rsidRPr="00B13BCA" w14:paraId="5AE96FF2" w14:textId="77777777" w:rsidTr="00B13BCA">
        <w:tc>
          <w:tcPr>
            <w:tcW w:w="1525" w:type="dxa"/>
          </w:tcPr>
          <w:p w14:paraId="766B70CF" w14:textId="5D4F1557" w:rsidR="00AD3EC6" w:rsidRDefault="00AD3EC6" w:rsidP="00B13BCA">
            <w:pPr>
              <w:rPr>
                <w:rFonts w:ascii="Arial" w:hAnsi="Arial" w:cs="Arial"/>
                <w:b/>
              </w:rPr>
            </w:pPr>
            <w:r>
              <w:rPr>
                <w:rFonts w:ascii="Arial" w:hAnsi="Arial" w:cs="Arial"/>
                <w:b/>
              </w:rPr>
              <w:t xml:space="preserve">SID </w:t>
            </w:r>
          </w:p>
        </w:tc>
        <w:tc>
          <w:tcPr>
            <w:tcW w:w="7825" w:type="dxa"/>
          </w:tcPr>
          <w:p w14:paraId="12D39AE1" w14:textId="13437F12" w:rsidR="00AD3EC6" w:rsidRDefault="00AD3EC6" w:rsidP="00B13BCA">
            <w:pPr>
              <w:rPr>
                <w:rFonts w:ascii="Arial" w:hAnsi="Arial" w:cs="Arial"/>
              </w:rPr>
            </w:pPr>
            <w:r>
              <w:rPr>
                <w:rFonts w:ascii="Arial" w:hAnsi="Arial" w:cs="Arial"/>
              </w:rPr>
              <w:t>Sustainability index and dashboard</w:t>
            </w:r>
          </w:p>
        </w:tc>
      </w:tr>
      <w:tr w:rsidR="006949AB" w:rsidRPr="00B13BCA" w14:paraId="0A309F08" w14:textId="77777777" w:rsidTr="00B13BCA">
        <w:tc>
          <w:tcPr>
            <w:tcW w:w="1525" w:type="dxa"/>
          </w:tcPr>
          <w:p w14:paraId="7DA96F5E" w14:textId="3274351D" w:rsidR="006949AB" w:rsidRDefault="006949AB" w:rsidP="006949AB">
            <w:pPr>
              <w:rPr>
                <w:rFonts w:ascii="Arial" w:hAnsi="Arial" w:cs="Arial"/>
                <w:b/>
              </w:rPr>
            </w:pPr>
            <w:r>
              <w:rPr>
                <w:rFonts w:ascii="Arial" w:hAnsi="Arial" w:cs="Arial"/>
                <w:b/>
              </w:rPr>
              <w:t>STI</w:t>
            </w:r>
          </w:p>
        </w:tc>
        <w:tc>
          <w:tcPr>
            <w:tcW w:w="7825" w:type="dxa"/>
          </w:tcPr>
          <w:p w14:paraId="682262AE" w14:textId="2F266D88" w:rsidR="006949AB" w:rsidRDefault="006949AB" w:rsidP="006949AB">
            <w:pPr>
              <w:rPr>
                <w:rFonts w:ascii="Arial" w:hAnsi="Arial" w:cs="Arial"/>
              </w:rPr>
            </w:pPr>
            <w:r>
              <w:rPr>
                <w:rFonts w:ascii="Arial" w:hAnsi="Arial" w:cs="Arial"/>
              </w:rPr>
              <w:t>Sexually transmitted infection</w:t>
            </w:r>
          </w:p>
        </w:tc>
      </w:tr>
      <w:tr w:rsidR="006949AB" w:rsidRPr="00B13BCA" w14:paraId="0580D67A" w14:textId="77777777" w:rsidTr="00B13BCA">
        <w:tc>
          <w:tcPr>
            <w:tcW w:w="1525" w:type="dxa"/>
          </w:tcPr>
          <w:p w14:paraId="70E0C975" w14:textId="4C0D831A" w:rsidR="006949AB" w:rsidRPr="00B13BCA" w:rsidRDefault="006949AB" w:rsidP="006949AB">
            <w:pPr>
              <w:rPr>
                <w:rFonts w:ascii="Arial" w:hAnsi="Arial" w:cs="Arial"/>
                <w:b/>
              </w:rPr>
            </w:pPr>
            <w:r>
              <w:rPr>
                <w:rFonts w:ascii="Arial" w:hAnsi="Arial" w:cs="Arial"/>
                <w:b/>
              </w:rPr>
              <w:t>VCT</w:t>
            </w:r>
          </w:p>
        </w:tc>
        <w:tc>
          <w:tcPr>
            <w:tcW w:w="7825" w:type="dxa"/>
          </w:tcPr>
          <w:p w14:paraId="7A9D743A" w14:textId="42F55D37" w:rsidR="006949AB" w:rsidRPr="00B13BCA" w:rsidRDefault="006949AB" w:rsidP="006949AB">
            <w:pPr>
              <w:rPr>
                <w:rFonts w:ascii="Arial" w:hAnsi="Arial" w:cs="Arial"/>
              </w:rPr>
            </w:pPr>
            <w:r>
              <w:rPr>
                <w:rFonts w:ascii="Arial" w:hAnsi="Arial" w:cs="Arial"/>
              </w:rPr>
              <w:t xml:space="preserve">Voluntary counseling and testing </w:t>
            </w:r>
          </w:p>
        </w:tc>
      </w:tr>
      <w:tr w:rsidR="006949AB" w:rsidRPr="00B13BCA" w14:paraId="19427490" w14:textId="77777777" w:rsidTr="00505F88">
        <w:tc>
          <w:tcPr>
            <w:tcW w:w="1525" w:type="dxa"/>
          </w:tcPr>
          <w:p w14:paraId="2C9393A2" w14:textId="64E51D7A" w:rsidR="006949AB" w:rsidRPr="00505F88" w:rsidRDefault="006949AB" w:rsidP="006949AB">
            <w:pPr>
              <w:rPr>
                <w:rFonts w:ascii="Arial" w:hAnsi="Arial" w:cs="Arial"/>
                <w:b/>
              </w:rPr>
            </w:pPr>
            <w:r w:rsidRPr="00505F88">
              <w:rPr>
                <w:rFonts w:ascii="Arial" w:hAnsi="Arial" w:cs="Arial"/>
                <w:b/>
              </w:rPr>
              <w:t>VMMC</w:t>
            </w:r>
          </w:p>
        </w:tc>
        <w:tc>
          <w:tcPr>
            <w:tcW w:w="7825" w:type="dxa"/>
          </w:tcPr>
          <w:p w14:paraId="34937D80" w14:textId="149B496B" w:rsidR="006949AB" w:rsidRPr="00505F88" w:rsidRDefault="006949AB" w:rsidP="006949AB">
            <w:pPr>
              <w:rPr>
                <w:rFonts w:ascii="Arial" w:hAnsi="Arial" w:cs="Arial"/>
              </w:rPr>
            </w:pPr>
            <w:r w:rsidRPr="00505F88">
              <w:rPr>
                <w:rFonts w:ascii="Arial" w:hAnsi="Arial" w:cs="Arial"/>
              </w:rPr>
              <w:t>Voluntary male medical circumcision</w:t>
            </w:r>
          </w:p>
        </w:tc>
      </w:tr>
    </w:tbl>
    <w:p w14:paraId="7A852CA7" w14:textId="77777777" w:rsidR="003A711C" w:rsidRDefault="003A711C" w:rsidP="001617F6">
      <w:pPr>
        <w:pStyle w:val="Heading1"/>
        <w:rPr>
          <w:rFonts w:ascii="Arial" w:eastAsia="Times New Roman" w:hAnsi="Arial" w:cs="Arial"/>
          <w:b/>
          <w:bCs/>
          <w:color w:val="C00000"/>
        </w:rPr>
      </w:pPr>
      <w:bookmarkStart w:id="4" w:name="_Hlk14185487"/>
      <w:bookmarkEnd w:id="4"/>
    </w:p>
    <w:p w14:paraId="75A30EAF" w14:textId="77777777" w:rsidR="003A711C" w:rsidRDefault="003A711C">
      <w:pPr>
        <w:rPr>
          <w:rFonts w:ascii="Arial" w:eastAsia="Times New Roman" w:hAnsi="Arial" w:cs="Arial"/>
          <w:b/>
          <w:bCs/>
          <w:color w:val="C00000"/>
          <w:sz w:val="32"/>
          <w:szCs w:val="32"/>
        </w:rPr>
      </w:pPr>
      <w:r>
        <w:rPr>
          <w:rFonts w:ascii="Arial" w:eastAsia="Times New Roman" w:hAnsi="Arial" w:cs="Arial"/>
          <w:b/>
          <w:bCs/>
          <w:color w:val="C00000"/>
        </w:rPr>
        <w:br w:type="page"/>
      </w:r>
    </w:p>
    <w:p w14:paraId="7D85A84F" w14:textId="620F0797" w:rsidR="00397278" w:rsidRPr="00D30B8B" w:rsidRDefault="00397278" w:rsidP="001617F6">
      <w:pPr>
        <w:pStyle w:val="Heading1"/>
        <w:rPr>
          <w:rFonts w:ascii="Arial" w:eastAsia="Times New Roman" w:hAnsi="Arial" w:cs="Arial"/>
          <w:b/>
          <w:bCs/>
          <w:color w:val="C00000"/>
        </w:rPr>
      </w:pPr>
      <w:bookmarkStart w:id="5" w:name="_Toc57035107"/>
      <w:r w:rsidRPr="00D30B8B">
        <w:rPr>
          <w:rFonts w:ascii="Arial" w:eastAsia="Times New Roman" w:hAnsi="Arial" w:cs="Arial"/>
          <w:b/>
          <w:bCs/>
          <w:color w:val="C00000"/>
        </w:rPr>
        <w:lastRenderedPageBreak/>
        <w:t>Executive Summary</w:t>
      </w:r>
      <w:bookmarkEnd w:id="5"/>
    </w:p>
    <w:p w14:paraId="0B96EB7E" w14:textId="77777777" w:rsidR="00397278" w:rsidRPr="00D30B8B" w:rsidRDefault="00397278" w:rsidP="001617F6">
      <w:pPr>
        <w:shd w:val="clear" w:color="auto" w:fill="FFFFFF"/>
        <w:spacing w:after="0" w:line="240" w:lineRule="auto"/>
        <w:rPr>
          <w:rFonts w:ascii="Arial" w:eastAsia="Times New Roman" w:hAnsi="Arial" w:cs="Arial"/>
          <w:b/>
          <w:bCs/>
          <w:color w:val="222222"/>
        </w:rPr>
      </w:pPr>
    </w:p>
    <w:p w14:paraId="37D4FFF0" w14:textId="77777777" w:rsidR="00397278" w:rsidRPr="00A178D1" w:rsidRDefault="00397278" w:rsidP="001617F6">
      <w:pPr>
        <w:pStyle w:val="Heading2"/>
        <w:rPr>
          <w:rFonts w:ascii="Arial" w:hAnsi="Arial" w:cs="Arial"/>
          <w:b/>
          <w:bCs/>
          <w:color w:val="000000" w:themeColor="text1"/>
        </w:rPr>
      </w:pPr>
      <w:bookmarkStart w:id="6" w:name="_Toc57035108"/>
      <w:r w:rsidRPr="00A178D1">
        <w:rPr>
          <w:rFonts w:ascii="Arial" w:hAnsi="Arial" w:cs="Arial"/>
          <w:b/>
          <w:bCs/>
          <w:color w:val="000000" w:themeColor="text1"/>
        </w:rPr>
        <w:t>Introduction</w:t>
      </w:r>
      <w:bookmarkEnd w:id="6"/>
    </w:p>
    <w:p w14:paraId="016B78C0" w14:textId="77777777" w:rsidR="00397278" w:rsidRPr="00D30B8B" w:rsidRDefault="00397278" w:rsidP="001617F6">
      <w:pPr>
        <w:shd w:val="clear" w:color="auto" w:fill="FFFFFF"/>
        <w:spacing w:after="0" w:line="240" w:lineRule="auto"/>
        <w:rPr>
          <w:rFonts w:ascii="Arial" w:eastAsia="Times New Roman" w:hAnsi="Arial" w:cs="Arial"/>
          <w:i/>
          <w:iCs/>
          <w:color w:val="222222"/>
        </w:rPr>
      </w:pPr>
    </w:p>
    <w:p w14:paraId="1F68E07C" w14:textId="3A050A12" w:rsidR="00397278" w:rsidRDefault="00397278" w:rsidP="001617F6">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Over the past 20 years, Tanzania has achieved great progress in reversing the trends of the HIV epidemic</w:t>
      </w:r>
      <w:r>
        <w:rPr>
          <w:rFonts w:ascii="Arial" w:eastAsia="Times New Roman" w:hAnsi="Arial" w:cs="Arial"/>
          <w:color w:val="222222"/>
        </w:rPr>
        <w:t xml:space="preserve"> and advancing toward national and global goals</w:t>
      </w:r>
      <w:r w:rsidRPr="00D30B8B">
        <w:rPr>
          <w:rFonts w:ascii="Arial" w:eastAsia="Times New Roman" w:hAnsi="Arial" w:cs="Arial"/>
          <w:color w:val="222222"/>
        </w:rPr>
        <w:t>. In 2009, only 22% of people living with HIV (PLHIV) were on ART</w:t>
      </w:r>
      <w:r>
        <w:rPr>
          <w:rFonts w:ascii="Arial" w:eastAsia="Times New Roman" w:hAnsi="Arial" w:cs="Arial"/>
          <w:color w:val="222222"/>
        </w:rPr>
        <w:t xml:space="preserve">, and over the past decade coverage tripled to 57% in 2017 </w:t>
      </w:r>
      <w:r w:rsidRPr="00D30B8B">
        <w:rPr>
          <w:rFonts w:ascii="Arial" w:eastAsia="Times New Roman" w:hAnsi="Arial" w:cs="Arial"/>
          <w:color w:val="222222"/>
        </w:rPr>
        <w:t xml:space="preserve">(TACAIDS and UNAIDS 2016; UNAIDS 2018). New infections have also declined during this time frame, from 120,000 annually in 2000 to 65,000 in 2017. Looking </w:t>
      </w:r>
      <w:r>
        <w:rPr>
          <w:rFonts w:ascii="Arial" w:eastAsia="Times New Roman" w:hAnsi="Arial" w:cs="Arial"/>
          <w:color w:val="222222"/>
        </w:rPr>
        <w:t xml:space="preserve">ahead </w:t>
      </w:r>
      <w:r w:rsidRPr="00D30B8B">
        <w:rPr>
          <w:rFonts w:ascii="Arial" w:eastAsia="Times New Roman" w:hAnsi="Arial" w:cs="Arial"/>
          <w:color w:val="222222"/>
        </w:rPr>
        <w:t xml:space="preserve">to 2030, </w:t>
      </w:r>
      <w:r>
        <w:rPr>
          <w:rFonts w:ascii="Arial" w:eastAsia="Times New Roman" w:hAnsi="Arial" w:cs="Arial"/>
          <w:color w:val="222222"/>
        </w:rPr>
        <w:t>Tanzania</w:t>
      </w:r>
      <w:r w:rsidRPr="00D30B8B">
        <w:rPr>
          <w:rFonts w:ascii="Arial" w:eastAsia="Times New Roman" w:hAnsi="Arial" w:cs="Arial"/>
          <w:color w:val="222222"/>
        </w:rPr>
        <w:t xml:space="preserve"> has committed to reaching epidemic control and achieving </w:t>
      </w:r>
      <w:r>
        <w:rPr>
          <w:rFonts w:ascii="Arial" w:eastAsia="Times New Roman" w:hAnsi="Arial" w:cs="Arial"/>
          <w:color w:val="222222"/>
        </w:rPr>
        <w:t xml:space="preserve">Fast Track and </w:t>
      </w:r>
      <w:r w:rsidRPr="00D30B8B">
        <w:rPr>
          <w:rFonts w:ascii="Arial" w:eastAsia="Times New Roman" w:hAnsi="Arial" w:cs="Arial"/>
          <w:color w:val="222222"/>
        </w:rPr>
        <w:t>9</w:t>
      </w:r>
      <w:r>
        <w:rPr>
          <w:rFonts w:ascii="Arial" w:eastAsia="Times New Roman" w:hAnsi="Arial" w:cs="Arial"/>
          <w:color w:val="222222"/>
        </w:rPr>
        <w:t>5</w:t>
      </w:r>
      <w:r w:rsidRPr="00D30B8B">
        <w:rPr>
          <w:rFonts w:ascii="Arial" w:eastAsia="Times New Roman" w:hAnsi="Arial" w:cs="Arial"/>
          <w:color w:val="222222"/>
        </w:rPr>
        <w:t>-9</w:t>
      </w:r>
      <w:r>
        <w:rPr>
          <w:rFonts w:ascii="Arial" w:eastAsia="Times New Roman" w:hAnsi="Arial" w:cs="Arial"/>
          <w:color w:val="222222"/>
        </w:rPr>
        <w:t>5</w:t>
      </w:r>
      <w:r w:rsidRPr="00D30B8B">
        <w:rPr>
          <w:rFonts w:ascii="Arial" w:eastAsia="Times New Roman" w:hAnsi="Arial" w:cs="Arial"/>
          <w:color w:val="222222"/>
        </w:rPr>
        <w:t>-9</w:t>
      </w:r>
      <w:r>
        <w:rPr>
          <w:rFonts w:ascii="Arial" w:eastAsia="Times New Roman" w:hAnsi="Arial" w:cs="Arial"/>
          <w:color w:val="222222"/>
        </w:rPr>
        <w:t>5</w:t>
      </w:r>
      <w:r w:rsidRPr="00D30B8B">
        <w:rPr>
          <w:rFonts w:ascii="Arial" w:eastAsia="Times New Roman" w:hAnsi="Arial" w:cs="Arial"/>
          <w:color w:val="222222"/>
        </w:rPr>
        <w:t xml:space="preserve"> targets. </w:t>
      </w:r>
      <w:r>
        <w:rPr>
          <w:rFonts w:ascii="Arial" w:eastAsia="Times New Roman" w:hAnsi="Arial" w:cs="Arial"/>
          <w:color w:val="222222"/>
        </w:rPr>
        <w:t>To meet these goals</w:t>
      </w:r>
      <w:r w:rsidRPr="00D30B8B">
        <w:rPr>
          <w:rFonts w:ascii="Arial" w:eastAsia="Times New Roman" w:hAnsi="Arial" w:cs="Arial"/>
          <w:color w:val="222222"/>
        </w:rPr>
        <w:t xml:space="preserve">, the national program will have to address significant challenges and </w:t>
      </w:r>
      <w:r>
        <w:rPr>
          <w:rFonts w:ascii="Arial" w:eastAsia="Times New Roman" w:hAnsi="Arial" w:cs="Arial"/>
          <w:color w:val="222222"/>
        </w:rPr>
        <w:t xml:space="preserve">overcome new </w:t>
      </w:r>
      <w:r w:rsidRPr="00D30B8B">
        <w:rPr>
          <w:rFonts w:ascii="Arial" w:eastAsia="Times New Roman" w:hAnsi="Arial" w:cs="Arial"/>
          <w:color w:val="222222"/>
        </w:rPr>
        <w:t xml:space="preserve">constraints. Despite high coverage of ART for PLHIV who know their status at 94%, only 61% of PLHIV are aware of their status. This shortfall on the first 90 not only means that testing coverage and yield will have to be improved, but the </w:t>
      </w:r>
      <w:r>
        <w:rPr>
          <w:rFonts w:ascii="Arial" w:eastAsia="Times New Roman" w:hAnsi="Arial" w:cs="Arial"/>
          <w:color w:val="222222"/>
        </w:rPr>
        <w:t xml:space="preserve">absolute </w:t>
      </w:r>
      <w:r w:rsidRPr="00D30B8B">
        <w:rPr>
          <w:rFonts w:ascii="Arial" w:eastAsia="Times New Roman" w:hAnsi="Arial" w:cs="Arial"/>
          <w:color w:val="222222"/>
        </w:rPr>
        <w:t xml:space="preserve">number of PLHIV on ART will have to increase by approximately 450,000 to reach the 95-95-95 targets. </w:t>
      </w:r>
      <w:r>
        <w:rPr>
          <w:rFonts w:ascii="Arial" w:eastAsia="Times New Roman" w:hAnsi="Arial" w:cs="Arial"/>
          <w:color w:val="222222"/>
        </w:rPr>
        <w:t xml:space="preserve">Growing these volumes will have to be done under </w:t>
      </w:r>
      <w:r w:rsidRPr="00D30B8B">
        <w:rPr>
          <w:rFonts w:ascii="Arial" w:eastAsia="Times New Roman" w:hAnsi="Arial" w:cs="Arial"/>
          <w:color w:val="222222"/>
        </w:rPr>
        <w:t xml:space="preserve">a shifting financing context. </w:t>
      </w:r>
      <w:r>
        <w:rPr>
          <w:rFonts w:ascii="Arial" w:eastAsia="Times New Roman" w:hAnsi="Arial" w:cs="Arial"/>
          <w:color w:val="222222"/>
        </w:rPr>
        <w:t xml:space="preserve">The HIV financing outlook is also worrisome: following significant increases from 2015-17 to an amount of over </w:t>
      </w:r>
      <w:r w:rsidR="000807B2" w:rsidRPr="002E0189">
        <w:rPr>
          <w:rFonts w:ascii="Arial" w:eastAsia="Times New Roman" w:hAnsi="Arial" w:cs="Arial"/>
          <w:color w:val="222222"/>
        </w:rPr>
        <w:t xml:space="preserve">USD </w:t>
      </w:r>
      <w:r w:rsidR="00F401A3" w:rsidRPr="002E0189">
        <w:rPr>
          <w:rFonts w:ascii="Arial" w:eastAsia="Times New Roman" w:hAnsi="Arial" w:cs="Arial"/>
          <w:color w:val="222222"/>
        </w:rPr>
        <w:t>6</w:t>
      </w:r>
      <w:r w:rsidRPr="002E0189">
        <w:rPr>
          <w:rFonts w:ascii="Arial" w:eastAsia="Times New Roman" w:hAnsi="Arial" w:cs="Arial"/>
          <w:color w:val="222222"/>
        </w:rPr>
        <w:t>00</w:t>
      </w:r>
      <w:r w:rsidRPr="00C53BF3">
        <w:rPr>
          <w:rFonts w:ascii="Arial" w:eastAsia="Times New Roman" w:hAnsi="Arial" w:cs="Arial"/>
          <w:color w:val="222222"/>
        </w:rPr>
        <w:t xml:space="preserve"> </w:t>
      </w:r>
      <w:r w:rsidR="00C53BF3">
        <w:rPr>
          <w:rFonts w:ascii="Arial" w:eastAsia="Times New Roman" w:hAnsi="Arial" w:cs="Arial"/>
          <w:color w:val="222222"/>
        </w:rPr>
        <w:t>M</w:t>
      </w:r>
      <w:r>
        <w:rPr>
          <w:rFonts w:ascii="Arial" w:eastAsia="Times New Roman" w:hAnsi="Arial" w:cs="Arial"/>
          <w:color w:val="222222"/>
        </w:rPr>
        <w:t xml:space="preserve"> annually – with 90% of this coming from external sources -- </w:t>
      </w:r>
      <w:r w:rsidRPr="00D30B8B">
        <w:rPr>
          <w:rFonts w:ascii="Arial" w:eastAsia="Times New Roman" w:hAnsi="Arial" w:cs="Arial"/>
          <w:color w:val="222222"/>
        </w:rPr>
        <w:t xml:space="preserve">donors </w:t>
      </w:r>
      <w:r>
        <w:rPr>
          <w:rFonts w:ascii="Arial" w:eastAsia="Times New Roman" w:hAnsi="Arial" w:cs="Arial"/>
          <w:color w:val="222222"/>
        </w:rPr>
        <w:t xml:space="preserve">are </w:t>
      </w:r>
      <w:r w:rsidRPr="00D30B8B">
        <w:rPr>
          <w:rFonts w:ascii="Arial" w:eastAsia="Times New Roman" w:hAnsi="Arial" w:cs="Arial"/>
          <w:color w:val="222222"/>
        </w:rPr>
        <w:t>now signal</w:t>
      </w:r>
      <w:r>
        <w:rPr>
          <w:rFonts w:ascii="Arial" w:eastAsia="Times New Roman" w:hAnsi="Arial" w:cs="Arial"/>
          <w:color w:val="222222"/>
        </w:rPr>
        <w:t xml:space="preserve">ing </w:t>
      </w:r>
      <w:r w:rsidRPr="00D30B8B">
        <w:rPr>
          <w:rFonts w:ascii="Arial" w:eastAsia="Times New Roman" w:hAnsi="Arial" w:cs="Arial"/>
          <w:color w:val="222222"/>
        </w:rPr>
        <w:t xml:space="preserve">that their contributions have hit a </w:t>
      </w:r>
      <w:r>
        <w:rPr>
          <w:rFonts w:ascii="Arial" w:eastAsia="Times New Roman" w:hAnsi="Arial" w:cs="Arial"/>
          <w:color w:val="222222"/>
        </w:rPr>
        <w:t xml:space="preserve">ceiling and </w:t>
      </w:r>
      <w:r w:rsidR="008921BB">
        <w:rPr>
          <w:rFonts w:ascii="Arial" w:eastAsia="Times New Roman" w:hAnsi="Arial" w:cs="Arial"/>
          <w:color w:val="222222"/>
        </w:rPr>
        <w:t>will decline</w:t>
      </w:r>
      <w:r w:rsidRPr="00D30B8B">
        <w:rPr>
          <w:rFonts w:ascii="Arial" w:eastAsia="Times New Roman" w:hAnsi="Arial" w:cs="Arial"/>
          <w:color w:val="222222"/>
        </w:rPr>
        <w:t xml:space="preserve">. </w:t>
      </w:r>
      <w:r>
        <w:rPr>
          <w:rFonts w:ascii="Arial" w:eastAsia="Times New Roman" w:hAnsi="Arial" w:cs="Arial"/>
          <w:color w:val="222222"/>
        </w:rPr>
        <w:t>Domestic financial contributions have not been rising, either. P</w:t>
      </w:r>
      <w:r w:rsidRPr="00D30B8B">
        <w:rPr>
          <w:rFonts w:ascii="Arial" w:eastAsia="Times New Roman" w:hAnsi="Arial" w:cs="Arial"/>
          <w:color w:val="222222"/>
        </w:rPr>
        <w:t xml:space="preserve">rogress </w:t>
      </w:r>
      <w:r>
        <w:rPr>
          <w:rFonts w:ascii="Arial" w:eastAsia="Times New Roman" w:hAnsi="Arial" w:cs="Arial"/>
          <w:color w:val="222222"/>
        </w:rPr>
        <w:t>towards</w:t>
      </w:r>
      <w:r w:rsidRPr="00D30B8B">
        <w:rPr>
          <w:rFonts w:ascii="Arial" w:eastAsia="Times New Roman" w:hAnsi="Arial" w:cs="Arial"/>
          <w:color w:val="222222"/>
        </w:rPr>
        <w:t xml:space="preserve"> national goals </w:t>
      </w:r>
      <w:r>
        <w:rPr>
          <w:rFonts w:ascii="Arial" w:eastAsia="Times New Roman" w:hAnsi="Arial" w:cs="Arial"/>
          <w:color w:val="222222"/>
        </w:rPr>
        <w:t xml:space="preserve">may </w:t>
      </w:r>
      <w:r w:rsidRPr="00D30B8B">
        <w:rPr>
          <w:rFonts w:ascii="Arial" w:eastAsia="Times New Roman" w:hAnsi="Arial" w:cs="Arial"/>
          <w:color w:val="222222"/>
        </w:rPr>
        <w:t>have to be achieved with</w:t>
      </w:r>
      <w:r>
        <w:rPr>
          <w:rFonts w:ascii="Arial" w:eastAsia="Times New Roman" w:hAnsi="Arial" w:cs="Arial"/>
          <w:color w:val="222222"/>
        </w:rPr>
        <w:t>out</w:t>
      </w:r>
      <w:r w:rsidRPr="00D30B8B">
        <w:rPr>
          <w:rFonts w:ascii="Arial" w:eastAsia="Times New Roman" w:hAnsi="Arial" w:cs="Arial"/>
          <w:color w:val="222222"/>
        </w:rPr>
        <w:t xml:space="preserve"> more money for HIV, </w:t>
      </w:r>
      <w:r>
        <w:rPr>
          <w:rFonts w:ascii="Arial" w:eastAsia="Times New Roman" w:hAnsi="Arial" w:cs="Arial"/>
          <w:color w:val="222222"/>
        </w:rPr>
        <w:t xml:space="preserve">potentially with </w:t>
      </w:r>
      <w:r w:rsidRPr="00D30B8B">
        <w:rPr>
          <w:rFonts w:ascii="Arial" w:eastAsia="Times New Roman" w:hAnsi="Arial" w:cs="Arial"/>
          <w:color w:val="222222"/>
        </w:rPr>
        <w:t>less.</w:t>
      </w:r>
    </w:p>
    <w:p w14:paraId="4A775AEC" w14:textId="5FE7EE38" w:rsidR="000B2682" w:rsidRDefault="000B2682" w:rsidP="001617F6">
      <w:pPr>
        <w:shd w:val="clear" w:color="auto" w:fill="FFFFFF"/>
        <w:spacing w:after="0" w:line="240" w:lineRule="auto"/>
        <w:rPr>
          <w:rFonts w:ascii="Arial" w:eastAsia="Times New Roman" w:hAnsi="Arial" w:cs="Arial"/>
          <w:color w:val="222222"/>
        </w:rPr>
      </w:pPr>
    </w:p>
    <w:p w14:paraId="5FAAB60E" w14:textId="774B1A29" w:rsidR="000B2682" w:rsidRPr="00A178D1" w:rsidRDefault="000B2682" w:rsidP="001617F6">
      <w:pPr>
        <w:shd w:val="clear" w:color="auto" w:fill="FFFFFF"/>
        <w:spacing w:after="0" w:line="240" w:lineRule="auto"/>
        <w:rPr>
          <w:rFonts w:ascii="Arial" w:eastAsia="Times New Roman" w:hAnsi="Arial" w:cs="Arial"/>
          <w:i/>
          <w:iCs/>
          <w:color w:val="222222"/>
          <w:sz w:val="18"/>
          <w:szCs w:val="18"/>
        </w:rPr>
      </w:pPr>
      <w:r w:rsidRPr="00A178D1">
        <w:rPr>
          <w:rFonts w:ascii="Arial" w:eastAsia="Times New Roman" w:hAnsi="Arial" w:cs="Arial"/>
          <w:i/>
          <w:iCs/>
          <w:color w:val="222222"/>
          <w:sz w:val="18"/>
          <w:szCs w:val="18"/>
        </w:rPr>
        <w:t>Figure 0-1. HIV expenditure 2015-201</w:t>
      </w:r>
      <w:r w:rsidR="00F401A3">
        <w:rPr>
          <w:rFonts w:ascii="Arial" w:eastAsia="Times New Roman" w:hAnsi="Arial" w:cs="Arial"/>
          <w:i/>
          <w:iCs/>
          <w:color w:val="222222"/>
          <w:sz w:val="18"/>
          <w:szCs w:val="18"/>
        </w:rPr>
        <w:t>7</w:t>
      </w:r>
      <w:r w:rsidRPr="00A178D1">
        <w:rPr>
          <w:rFonts w:ascii="Arial" w:eastAsia="Times New Roman" w:hAnsi="Arial" w:cs="Arial"/>
          <w:i/>
          <w:iCs/>
          <w:color w:val="222222"/>
          <w:sz w:val="18"/>
          <w:szCs w:val="18"/>
        </w:rPr>
        <w:t xml:space="preserve"> and </w:t>
      </w:r>
      <w:r w:rsidR="00F401A3">
        <w:rPr>
          <w:rFonts w:ascii="Arial" w:eastAsia="Times New Roman" w:hAnsi="Arial" w:cs="Arial"/>
          <w:i/>
          <w:iCs/>
          <w:color w:val="222222"/>
          <w:sz w:val="18"/>
          <w:szCs w:val="18"/>
        </w:rPr>
        <w:t>2018-</w:t>
      </w:r>
      <w:r w:rsidRPr="00A178D1">
        <w:rPr>
          <w:rFonts w:ascii="Arial" w:eastAsia="Times New Roman" w:hAnsi="Arial" w:cs="Arial"/>
          <w:i/>
          <w:iCs/>
          <w:color w:val="222222"/>
          <w:sz w:val="18"/>
          <w:szCs w:val="18"/>
        </w:rPr>
        <w:t xml:space="preserve">2020 available funding </w:t>
      </w:r>
    </w:p>
    <w:p w14:paraId="63262E7B" w14:textId="4AD206B1" w:rsidR="000B2682" w:rsidRDefault="000B2682" w:rsidP="001617F6">
      <w:pPr>
        <w:shd w:val="clear" w:color="auto" w:fill="FFFFFF"/>
        <w:spacing w:after="0" w:line="240" w:lineRule="auto"/>
        <w:rPr>
          <w:rFonts w:ascii="Arial" w:eastAsia="Times New Roman" w:hAnsi="Arial" w:cs="Arial"/>
          <w:color w:val="222222"/>
        </w:rPr>
      </w:pPr>
    </w:p>
    <w:p w14:paraId="76577E41" w14:textId="2E100C3F" w:rsidR="000B2682" w:rsidRDefault="000B2682" w:rsidP="001617F6">
      <w:pPr>
        <w:shd w:val="clear" w:color="auto" w:fill="FFFFFF"/>
        <w:spacing w:after="0" w:line="240" w:lineRule="auto"/>
        <w:rPr>
          <w:rFonts w:ascii="Arial" w:eastAsia="Times New Roman" w:hAnsi="Arial" w:cs="Arial"/>
          <w:color w:val="222222"/>
        </w:rPr>
      </w:pPr>
      <w:r w:rsidRPr="000B2682">
        <w:rPr>
          <w:rFonts w:ascii="Arial" w:eastAsia="Times New Roman" w:hAnsi="Arial" w:cs="Arial"/>
          <w:noProof/>
          <w:color w:val="222222"/>
        </w:rPr>
        <w:drawing>
          <wp:inline distT="0" distB="0" distL="0" distR="0" wp14:anchorId="38B28F80" wp14:editId="748441A2">
            <wp:extent cx="5577840" cy="2241550"/>
            <wp:effectExtent l="0" t="0" r="3810" b="6350"/>
            <wp:docPr id="25" name="Chart 25">
              <a:extLst xmlns:a="http://schemas.openxmlformats.org/drawingml/2006/main">
                <a:ext uri="{FF2B5EF4-FFF2-40B4-BE49-F238E27FC236}">
                  <a16:creationId xmlns:a16="http://schemas.microsoft.com/office/drawing/2014/main" id="{50893113-C63F-400A-A68A-93381F4A8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B1673E" w14:textId="77777777" w:rsidR="008D10A9" w:rsidRPr="008D10A9" w:rsidRDefault="008D10A9" w:rsidP="001617F6">
      <w:pPr>
        <w:shd w:val="clear" w:color="auto" w:fill="FFFFFF"/>
        <w:spacing w:after="0" w:line="240" w:lineRule="auto"/>
        <w:rPr>
          <w:rFonts w:ascii="Arial" w:eastAsia="Times New Roman" w:hAnsi="Arial" w:cs="Arial"/>
          <w:color w:val="222222"/>
        </w:rPr>
      </w:pPr>
    </w:p>
    <w:p w14:paraId="1578C004" w14:textId="77777777" w:rsidR="00397278" w:rsidRPr="00A178D1" w:rsidRDefault="00397278" w:rsidP="001617F6">
      <w:pPr>
        <w:pStyle w:val="Heading2"/>
        <w:rPr>
          <w:rFonts w:ascii="Arial" w:hAnsi="Arial" w:cs="Arial"/>
          <w:b/>
          <w:bCs/>
          <w:color w:val="000000" w:themeColor="text1"/>
        </w:rPr>
      </w:pPr>
      <w:bookmarkStart w:id="7" w:name="_Toc57035109"/>
      <w:r w:rsidRPr="00A178D1">
        <w:rPr>
          <w:rFonts w:ascii="Arial" w:hAnsi="Arial" w:cs="Arial"/>
          <w:b/>
          <w:bCs/>
          <w:color w:val="000000" w:themeColor="text1"/>
        </w:rPr>
        <w:t>Objective of IC 2.0</w:t>
      </w:r>
      <w:bookmarkEnd w:id="7"/>
    </w:p>
    <w:p w14:paraId="546B15CF" w14:textId="77777777" w:rsidR="00397278" w:rsidRPr="00D30B8B" w:rsidRDefault="00397278" w:rsidP="001617F6">
      <w:pPr>
        <w:spacing w:after="0"/>
        <w:rPr>
          <w:rFonts w:ascii="Arial" w:hAnsi="Arial" w:cs="Arial"/>
        </w:rPr>
      </w:pPr>
    </w:p>
    <w:p w14:paraId="36AEC7B9" w14:textId="22769410" w:rsidR="00233E35" w:rsidRDefault="00D43338" w:rsidP="00D43338">
      <w:pPr>
        <w:shd w:val="clear" w:color="auto" w:fill="FFFFFF"/>
        <w:spacing w:after="0" w:line="240" w:lineRule="auto"/>
        <w:rPr>
          <w:rFonts w:ascii="Arial" w:hAnsi="Arial" w:cs="Arial"/>
        </w:rPr>
      </w:pPr>
      <w:r>
        <w:rPr>
          <w:rFonts w:ascii="Arial" w:hAnsi="Arial" w:cs="Arial"/>
        </w:rPr>
        <w:t>An investment case framework was first adopted in Tanzania in 2015. Published in 2016, around the launch of the Fast Track targets, this “Investment Case 1.0” put forward a vision for greatly expanded funding of the national response.  This Investment Case 1.0 has</w:t>
      </w:r>
      <w:r w:rsidR="00233E35">
        <w:rPr>
          <w:rFonts w:ascii="Arial" w:hAnsi="Arial" w:cs="Arial"/>
        </w:rPr>
        <w:t xml:space="preserve"> been a guiding document for the response and has</w:t>
      </w:r>
      <w:r>
        <w:rPr>
          <w:rFonts w:ascii="Arial" w:hAnsi="Arial" w:cs="Arial"/>
        </w:rPr>
        <w:t xml:space="preserve"> informed </w:t>
      </w:r>
      <w:r w:rsidR="00233E35">
        <w:rPr>
          <w:rFonts w:ascii="Arial" w:hAnsi="Arial" w:cs="Arial"/>
        </w:rPr>
        <w:t xml:space="preserve">the most recent </w:t>
      </w:r>
      <w:r>
        <w:rPr>
          <w:rFonts w:ascii="Arial" w:hAnsi="Arial" w:cs="Arial"/>
        </w:rPr>
        <w:t>national strategies</w:t>
      </w:r>
      <w:r w:rsidR="00233E35">
        <w:rPr>
          <w:rFonts w:ascii="Arial" w:hAnsi="Arial" w:cs="Arial"/>
        </w:rPr>
        <w:t xml:space="preserve"> (NMSF IV and HSHSP IV). But a shifting funding landscape coupled with persistent program gaps for reaching Fast Track and 95-95-95 targets call for an update to the Investment Case to better reflect current conditions.</w:t>
      </w:r>
    </w:p>
    <w:p w14:paraId="6FDD22DD" w14:textId="7979D386" w:rsidR="00233E35" w:rsidRDefault="00233E35" w:rsidP="00D43338">
      <w:pPr>
        <w:shd w:val="clear" w:color="auto" w:fill="FFFFFF"/>
        <w:spacing w:after="0" w:line="240" w:lineRule="auto"/>
        <w:rPr>
          <w:rFonts w:ascii="Arial" w:hAnsi="Arial" w:cs="Arial"/>
        </w:rPr>
      </w:pPr>
    </w:p>
    <w:p w14:paraId="2B3078CF" w14:textId="6A30DEB8" w:rsidR="00397278" w:rsidRPr="00D43338" w:rsidRDefault="00D43338" w:rsidP="00D43338">
      <w:pPr>
        <w:shd w:val="clear" w:color="auto" w:fill="FFFFFF"/>
        <w:spacing w:after="0" w:line="240" w:lineRule="auto"/>
        <w:rPr>
          <w:rFonts w:ascii="Arial" w:hAnsi="Arial" w:cs="Arial"/>
        </w:rPr>
      </w:pPr>
      <w:r>
        <w:rPr>
          <w:rFonts w:ascii="Arial" w:hAnsi="Arial" w:cs="Arial"/>
        </w:rPr>
        <w:t>T</w:t>
      </w:r>
      <w:r w:rsidR="00397278" w:rsidRPr="00D30B8B">
        <w:rPr>
          <w:rFonts w:ascii="Arial" w:eastAsia="Times New Roman" w:hAnsi="Arial" w:cs="Arial"/>
          <w:color w:val="222222"/>
        </w:rPr>
        <w:t xml:space="preserve">he </w:t>
      </w:r>
      <w:r w:rsidR="00397278">
        <w:rPr>
          <w:rFonts w:ascii="Arial" w:eastAsia="Times New Roman" w:hAnsi="Arial" w:cs="Arial"/>
          <w:color w:val="222222"/>
        </w:rPr>
        <w:t xml:space="preserve">objective </w:t>
      </w:r>
      <w:r w:rsidR="00397278" w:rsidRPr="00D30B8B">
        <w:rPr>
          <w:rFonts w:ascii="Arial" w:eastAsia="Times New Roman" w:hAnsi="Arial" w:cs="Arial"/>
          <w:color w:val="222222"/>
        </w:rPr>
        <w:t xml:space="preserve">of Investment Case 2.0 is to create a common </w:t>
      </w:r>
      <w:r w:rsidR="00397278">
        <w:rPr>
          <w:rFonts w:ascii="Arial" w:eastAsia="Times New Roman" w:hAnsi="Arial" w:cs="Arial"/>
          <w:color w:val="222222"/>
        </w:rPr>
        <w:t xml:space="preserve">country-led </w:t>
      </w:r>
      <w:r w:rsidR="00397278" w:rsidRPr="00D30B8B">
        <w:rPr>
          <w:rFonts w:ascii="Arial" w:eastAsia="Times New Roman" w:hAnsi="Arial" w:cs="Arial"/>
          <w:color w:val="222222"/>
        </w:rPr>
        <w:t xml:space="preserve">vision of what is needed to confront these program and financing challenges in the years ahead </w:t>
      </w:r>
      <w:r w:rsidR="00397278">
        <w:rPr>
          <w:rFonts w:ascii="Arial" w:eastAsia="Times New Roman" w:hAnsi="Arial" w:cs="Arial"/>
          <w:color w:val="222222"/>
        </w:rPr>
        <w:t xml:space="preserve">by </w:t>
      </w:r>
      <w:r w:rsidR="00397278" w:rsidRPr="00D30B8B">
        <w:rPr>
          <w:rFonts w:ascii="Arial" w:eastAsia="Times New Roman" w:hAnsi="Arial" w:cs="Arial"/>
          <w:color w:val="222222"/>
        </w:rPr>
        <w:t>defining what the key investment decisions</w:t>
      </w:r>
      <w:r w:rsidR="00397278">
        <w:rPr>
          <w:rFonts w:ascii="Arial" w:eastAsia="Times New Roman" w:hAnsi="Arial" w:cs="Arial"/>
          <w:color w:val="222222"/>
        </w:rPr>
        <w:t xml:space="preserve"> are; </w:t>
      </w:r>
      <w:r w:rsidR="00397278" w:rsidRPr="00D30B8B">
        <w:rPr>
          <w:rFonts w:ascii="Arial" w:eastAsia="Times New Roman" w:hAnsi="Arial" w:cs="Arial"/>
          <w:color w:val="222222"/>
        </w:rPr>
        <w:t xml:space="preserve">estimating </w:t>
      </w:r>
      <w:r w:rsidR="00397278">
        <w:rPr>
          <w:rFonts w:ascii="Arial" w:eastAsia="Times New Roman" w:hAnsi="Arial" w:cs="Arial"/>
          <w:color w:val="222222"/>
        </w:rPr>
        <w:t xml:space="preserve">the </w:t>
      </w:r>
      <w:r w:rsidR="00397278" w:rsidRPr="00D30B8B">
        <w:rPr>
          <w:rFonts w:ascii="Arial" w:eastAsia="Times New Roman" w:hAnsi="Arial" w:cs="Arial"/>
          <w:color w:val="222222"/>
        </w:rPr>
        <w:t>magnitude of resources required</w:t>
      </w:r>
      <w:r w:rsidR="00397278">
        <w:rPr>
          <w:rFonts w:ascii="Arial" w:eastAsia="Times New Roman" w:hAnsi="Arial" w:cs="Arial"/>
          <w:color w:val="222222"/>
        </w:rPr>
        <w:t xml:space="preserve">; </w:t>
      </w:r>
      <w:r w:rsidR="00397278" w:rsidRPr="00D30B8B">
        <w:rPr>
          <w:rFonts w:ascii="Arial" w:eastAsia="Times New Roman" w:hAnsi="Arial" w:cs="Arial"/>
          <w:color w:val="222222"/>
        </w:rPr>
        <w:t xml:space="preserve">and assessing implications for government and donor resource mobilization. </w:t>
      </w:r>
      <w:r w:rsidR="00397278">
        <w:rPr>
          <w:rFonts w:ascii="Arial" w:eastAsia="Times New Roman" w:hAnsi="Arial" w:cs="Arial"/>
          <w:color w:val="222222"/>
        </w:rPr>
        <w:t xml:space="preserve">This analysis is meant to drive harmonized decisions by the Government of Tanzania and its principal partners, especially PEPFAR and the Global Fund.  </w:t>
      </w:r>
      <w:r w:rsidR="00397278" w:rsidRPr="00D30B8B">
        <w:rPr>
          <w:rFonts w:ascii="Arial" w:eastAsia="Times New Roman" w:hAnsi="Arial" w:cs="Arial"/>
          <w:color w:val="222222"/>
        </w:rPr>
        <w:t xml:space="preserve">To do this, </w:t>
      </w:r>
      <w:r w:rsidR="00397278" w:rsidRPr="00D30B8B">
        <w:rPr>
          <w:rFonts w:ascii="Arial" w:eastAsia="Times New Roman" w:hAnsi="Arial" w:cs="Arial"/>
          <w:color w:val="222222"/>
        </w:rPr>
        <w:lastRenderedPageBreak/>
        <w:t xml:space="preserve">the Investment Case 2.0 puts forward a series of scenarios that capture the future possibilities for the national program, </w:t>
      </w:r>
      <w:r w:rsidR="00397278">
        <w:rPr>
          <w:rFonts w:ascii="Arial" w:eastAsia="Times New Roman" w:hAnsi="Arial" w:cs="Arial"/>
          <w:color w:val="222222"/>
        </w:rPr>
        <w:t xml:space="preserve">and uses these scenarios to estimate </w:t>
      </w:r>
      <w:r w:rsidR="00397278" w:rsidRPr="00D30B8B">
        <w:rPr>
          <w:rFonts w:ascii="Arial" w:eastAsia="Times New Roman" w:hAnsi="Arial" w:cs="Arial"/>
          <w:color w:val="222222"/>
        </w:rPr>
        <w:t xml:space="preserve">impact </w:t>
      </w:r>
      <w:r w:rsidR="00397278">
        <w:rPr>
          <w:rFonts w:ascii="Arial" w:eastAsia="Times New Roman" w:hAnsi="Arial" w:cs="Arial"/>
          <w:color w:val="222222"/>
        </w:rPr>
        <w:t xml:space="preserve">on the HIV epidemic </w:t>
      </w:r>
      <w:r w:rsidR="00397278" w:rsidRPr="00D30B8B">
        <w:rPr>
          <w:rFonts w:ascii="Arial" w:eastAsia="Times New Roman" w:hAnsi="Arial" w:cs="Arial"/>
          <w:color w:val="222222"/>
        </w:rPr>
        <w:t xml:space="preserve">and </w:t>
      </w:r>
      <w:r w:rsidR="00397278">
        <w:rPr>
          <w:rFonts w:ascii="Arial" w:eastAsia="Times New Roman" w:hAnsi="Arial" w:cs="Arial"/>
          <w:color w:val="222222"/>
        </w:rPr>
        <w:t xml:space="preserve">to explore various combinations of domestic and external financing. </w:t>
      </w:r>
    </w:p>
    <w:p w14:paraId="7D976DD2"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355CFC36" w14:textId="77777777" w:rsidR="00397278" w:rsidRPr="00A178D1" w:rsidRDefault="00397278" w:rsidP="001617F6">
      <w:pPr>
        <w:pStyle w:val="Heading2"/>
        <w:rPr>
          <w:rFonts w:ascii="Arial" w:hAnsi="Arial" w:cs="Arial"/>
          <w:b/>
          <w:bCs/>
          <w:color w:val="000000" w:themeColor="text1"/>
        </w:rPr>
      </w:pPr>
      <w:bookmarkStart w:id="8" w:name="_Toc57035110"/>
      <w:r w:rsidRPr="00A178D1">
        <w:rPr>
          <w:rFonts w:ascii="Arial" w:hAnsi="Arial" w:cs="Arial"/>
          <w:b/>
          <w:bCs/>
          <w:color w:val="000000" w:themeColor="text1"/>
        </w:rPr>
        <w:t>IC 2.0 methodology and scenarios</w:t>
      </w:r>
      <w:bookmarkEnd w:id="8"/>
    </w:p>
    <w:p w14:paraId="4B448540" w14:textId="77777777" w:rsidR="00397278" w:rsidRPr="00D30B8B" w:rsidRDefault="00397278" w:rsidP="001617F6">
      <w:pPr>
        <w:shd w:val="clear" w:color="auto" w:fill="FFFFFF"/>
        <w:spacing w:after="0" w:line="240" w:lineRule="auto"/>
        <w:rPr>
          <w:rFonts w:ascii="Arial" w:eastAsia="Times New Roman" w:hAnsi="Arial" w:cs="Arial"/>
          <w:i/>
          <w:iCs/>
          <w:color w:val="222222"/>
        </w:rPr>
      </w:pPr>
    </w:p>
    <w:p w14:paraId="1EB8B5BA" w14:textId="77777777" w:rsidR="00397278" w:rsidRPr="00D30B8B" w:rsidRDefault="00397278" w:rsidP="001617F6">
      <w:pPr>
        <w:spacing w:after="0"/>
        <w:rPr>
          <w:rFonts w:ascii="Arial" w:eastAsia="Times New Roman" w:hAnsi="Arial" w:cs="Arial"/>
          <w:color w:val="222222"/>
        </w:rPr>
      </w:pPr>
      <w:r w:rsidRPr="00D30B8B">
        <w:rPr>
          <w:rFonts w:ascii="Arial" w:hAnsi="Arial" w:cs="Arial"/>
        </w:rPr>
        <w:t xml:space="preserve">The investment case methodology is based on modeling and analysis of defined scenarios, comparing various “futures” for the HIV response in Tanzania and assessing their benefits, costs, trade-offs, and </w:t>
      </w:r>
      <w:r>
        <w:rPr>
          <w:rFonts w:ascii="Arial" w:hAnsi="Arial" w:cs="Arial"/>
        </w:rPr>
        <w:t xml:space="preserve">financing requirements. </w:t>
      </w:r>
      <w:r w:rsidRPr="00D30B8B">
        <w:rPr>
          <w:rFonts w:ascii="Arial" w:hAnsi="Arial" w:cs="Arial"/>
        </w:rPr>
        <w:t xml:space="preserve">IC 2.0 uses </w:t>
      </w:r>
      <w:r>
        <w:rPr>
          <w:rFonts w:ascii="Arial" w:hAnsi="Arial" w:cs="Arial"/>
        </w:rPr>
        <w:t xml:space="preserve">well known software developed by Avenir Health (Spectrum epidemiological estimates and projections, GOALS and AIM, plus new Goals updates related to HIV testing and services for adolescent girls and young women). In this report, five scenarios -- </w:t>
      </w:r>
      <w:r w:rsidRPr="00D30B8B">
        <w:rPr>
          <w:rFonts w:ascii="Arial" w:hAnsi="Arial" w:cs="Arial"/>
        </w:rPr>
        <w:t>two target</w:t>
      </w:r>
      <w:r>
        <w:rPr>
          <w:rFonts w:ascii="Arial" w:hAnsi="Arial" w:cs="Arial"/>
        </w:rPr>
        <w:t>-</w:t>
      </w:r>
      <w:r w:rsidRPr="00D30B8B">
        <w:rPr>
          <w:rFonts w:ascii="Arial" w:hAnsi="Arial" w:cs="Arial"/>
        </w:rPr>
        <w:t xml:space="preserve">driven and three resource-constrained </w:t>
      </w:r>
      <w:r>
        <w:rPr>
          <w:rFonts w:ascii="Arial" w:hAnsi="Arial" w:cs="Arial"/>
        </w:rPr>
        <w:t>– are explored in-depth and compared to one another.</w:t>
      </w:r>
      <w:r w:rsidRPr="00D30B8B">
        <w:t xml:space="preserve"> </w:t>
      </w:r>
      <w:r w:rsidRPr="00D30B8B">
        <w:rPr>
          <w:rFonts w:ascii="Arial" w:eastAsia="Times New Roman" w:hAnsi="Arial" w:cs="Arial"/>
          <w:color w:val="222222"/>
        </w:rPr>
        <w:t>The scenarios include:</w:t>
      </w:r>
    </w:p>
    <w:p w14:paraId="2F20735E"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0AF6ABFA" w14:textId="127418F4" w:rsidR="00397278" w:rsidRPr="00D30B8B" w:rsidRDefault="001C4B9B" w:rsidP="001617F6">
      <w:pPr>
        <w:pStyle w:val="ListParagraph"/>
        <w:numPr>
          <w:ilvl w:val="0"/>
          <w:numId w:val="63"/>
        </w:numPr>
        <w:shd w:val="clear" w:color="auto" w:fill="FFFFFF"/>
        <w:spacing w:after="0" w:line="240" w:lineRule="auto"/>
        <w:rPr>
          <w:rFonts w:ascii="Arial" w:eastAsia="Times New Roman" w:hAnsi="Arial" w:cs="Arial"/>
          <w:color w:val="222222"/>
        </w:rPr>
      </w:pPr>
      <w:r>
        <w:rPr>
          <w:rFonts w:ascii="Arial" w:eastAsia="Times New Roman" w:hAnsi="Arial" w:cs="Arial"/>
          <w:color w:val="222222"/>
        </w:rPr>
        <w:t>Constant Coverage (CC)</w:t>
      </w:r>
    </w:p>
    <w:p w14:paraId="34304C98" w14:textId="77777777" w:rsidR="00397278" w:rsidRPr="00D30B8B" w:rsidRDefault="00397278" w:rsidP="001617F6">
      <w:pPr>
        <w:pStyle w:val="ListParagraph"/>
        <w:numPr>
          <w:ilvl w:val="0"/>
          <w:numId w:val="63"/>
        </w:num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National Strategy</w:t>
      </w:r>
      <w:r>
        <w:rPr>
          <w:rFonts w:ascii="Arial" w:eastAsia="Times New Roman" w:hAnsi="Arial" w:cs="Arial"/>
          <w:color w:val="222222"/>
        </w:rPr>
        <w:t xml:space="preserve"> (NS)</w:t>
      </w:r>
    </w:p>
    <w:p w14:paraId="3BF73497" w14:textId="6D7DCC8C" w:rsidR="00397278" w:rsidRPr="00D30B8B" w:rsidRDefault="00397278" w:rsidP="001617F6">
      <w:pPr>
        <w:pStyle w:val="ListParagraph"/>
        <w:numPr>
          <w:ilvl w:val="0"/>
          <w:numId w:val="63"/>
        </w:num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Optimization</w:t>
      </w:r>
      <w:r>
        <w:rPr>
          <w:rFonts w:ascii="Arial" w:eastAsia="Times New Roman" w:hAnsi="Arial" w:cs="Arial"/>
          <w:color w:val="222222"/>
        </w:rPr>
        <w:t xml:space="preserve"> (with) </w:t>
      </w:r>
      <w:r w:rsidR="00A87DFC">
        <w:rPr>
          <w:rFonts w:ascii="Arial" w:eastAsia="Times New Roman" w:hAnsi="Arial" w:cs="Arial"/>
          <w:color w:val="222222"/>
        </w:rPr>
        <w:t>Constant Coverage</w:t>
      </w:r>
      <w:r w:rsidRPr="00D30B8B">
        <w:rPr>
          <w:rFonts w:ascii="Arial" w:eastAsia="Times New Roman" w:hAnsi="Arial" w:cs="Arial"/>
          <w:color w:val="222222"/>
        </w:rPr>
        <w:t xml:space="preserve"> Fund</w:t>
      </w:r>
      <w:r>
        <w:rPr>
          <w:rFonts w:ascii="Arial" w:eastAsia="Times New Roman" w:hAnsi="Arial" w:cs="Arial"/>
          <w:color w:val="222222"/>
        </w:rPr>
        <w:t>ing (O-</w:t>
      </w:r>
      <w:r w:rsidR="00A87DFC">
        <w:rPr>
          <w:rFonts w:ascii="Arial" w:eastAsia="Times New Roman" w:hAnsi="Arial" w:cs="Arial"/>
          <w:color w:val="222222"/>
        </w:rPr>
        <w:t>CC</w:t>
      </w:r>
      <w:r>
        <w:rPr>
          <w:rFonts w:ascii="Arial" w:eastAsia="Times New Roman" w:hAnsi="Arial" w:cs="Arial"/>
          <w:color w:val="222222"/>
        </w:rPr>
        <w:t>F)</w:t>
      </w:r>
    </w:p>
    <w:p w14:paraId="15A968BD" w14:textId="77777777" w:rsidR="00397278" w:rsidRPr="00D30B8B" w:rsidRDefault="00397278" w:rsidP="001617F6">
      <w:pPr>
        <w:pStyle w:val="ListParagraph"/>
        <w:numPr>
          <w:ilvl w:val="0"/>
          <w:numId w:val="63"/>
        </w:num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Optimization</w:t>
      </w:r>
      <w:r>
        <w:rPr>
          <w:rFonts w:ascii="Arial" w:eastAsia="Times New Roman" w:hAnsi="Arial" w:cs="Arial"/>
          <w:color w:val="222222"/>
        </w:rPr>
        <w:t xml:space="preserve"> (with)</w:t>
      </w:r>
      <w:r w:rsidRPr="00D30B8B">
        <w:rPr>
          <w:rFonts w:ascii="Arial" w:eastAsia="Times New Roman" w:hAnsi="Arial" w:cs="Arial"/>
          <w:color w:val="222222"/>
        </w:rPr>
        <w:t xml:space="preserve"> Declining Donor Funds</w:t>
      </w:r>
      <w:r>
        <w:rPr>
          <w:rFonts w:ascii="Arial" w:eastAsia="Times New Roman" w:hAnsi="Arial" w:cs="Arial"/>
          <w:color w:val="222222"/>
        </w:rPr>
        <w:t xml:space="preserve"> (O-DDF)</w:t>
      </w:r>
    </w:p>
    <w:p w14:paraId="1F23D302" w14:textId="77777777" w:rsidR="00397278" w:rsidRPr="00D30B8B" w:rsidRDefault="00397278" w:rsidP="001617F6">
      <w:pPr>
        <w:pStyle w:val="ListParagraph"/>
        <w:numPr>
          <w:ilvl w:val="0"/>
          <w:numId w:val="63"/>
        </w:num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Optimization</w:t>
      </w:r>
      <w:r>
        <w:rPr>
          <w:rFonts w:ascii="Arial" w:eastAsia="Times New Roman" w:hAnsi="Arial" w:cs="Arial"/>
          <w:color w:val="222222"/>
        </w:rPr>
        <w:t xml:space="preserve"> (with) </w:t>
      </w:r>
      <w:r w:rsidRPr="00D30B8B">
        <w:rPr>
          <w:rFonts w:ascii="Arial" w:eastAsia="Times New Roman" w:hAnsi="Arial" w:cs="Arial"/>
          <w:color w:val="222222"/>
        </w:rPr>
        <w:t>Domestic Resource Mobilization</w:t>
      </w:r>
      <w:r>
        <w:rPr>
          <w:rFonts w:ascii="Arial" w:eastAsia="Times New Roman" w:hAnsi="Arial" w:cs="Arial"/>
          <w:color w:val="222222"/>
        </w:rPr>
        <w:t xml:space="preserve"> (O-DRM)</w:t>
      </w:r>
      <w:r w:rsidRPr="00D30B8B">
        <w:rPr>
          <w:rFonts w:ascii="Arial" w:eastAsia="Times New Roman" w:hAnsi="Arial" w:cs="Arial"/>
          <w:color w:val="222222"/>
        </w:rPr>
        <w:t xml:space="preserve"> </w:t>
      </w:r>
    </w:p>
    <w:p w14:paraId="3C62BDFB" w14:textId="77777777" w:rsidR="00397278" w:rsidRPr="00D30B8B" w:rsidRDefault="00397278" w:rsidP="001617F6">
      <w:pPr>
        <w:shd w:val="clear" w:color="auto" w:fill="FFFFFF"/>
        <w:spacing w:after="0" w:line="240" w:lineRule="auto"/>
        <w:rPr>
          <w:rFonts w:ascii="Arial" w:hAnsi="Arial" w:cs="Arial"/>
        </w:rPr>
      </w:pPr>
    </w:p>
    <w:p w14:paraId="331F2040" w14:textId="5575F642" w:rsidR="00397278" w:rsidRDefault="00397278" w:rsidP="001617F6">
      <w:pPr>
        <w:shd w:val="clear" w:color="auto" w:fill="FFFFFF"/>
        <w:spacing w:after="0" w:line="240" w:lineRule="auto"/>
        <w:rPr>
          <w:rFonts w:ascii="Arial" w:hAnsi="Arial" w:cs="Arial"/>
        </w:rPr>
      </w:pPr>
      <w:r w:rsidRPr="00D30B8B">
        <w:rPr>
          <w:rFonts w:ascii="Arial" w:hAnsi="Arial" w:cs="Arial"/>
        </w:rPr>
        <w:t xml:space="preserve">The investment case starts by examining the </w:t>
      </w:r>
      <w:r w:rsidR="001C4B9B">
        <w:rPr>
          <w:rFonts w:ascii="Arial" w:hAnsi="Arial" w:cs="Arial"/>
          <w:b/>
          <w:bCs/>
        </w:rPr>
        <w:t>Constant Coverage scenario</w:t>
      </w:r>
      <w:r w:rsidRPr="00D30B8B">
        <w:rPr>
          <w:rFonts w:ascii="Arial" w:hAnsi="Arial" w:cs="Arial"/>
        </w:rPr>
        <w:t xml:space="preserve"> (</w:t>
      </w:r>
      <w:r w:rsidR="001C4B9B">
        <w:rPr>
          <w:rFonts w:ascii="Arial" w:hAnsi="Arial" w:cs="Arial"/>
        </w:rPr>
        <w:t>CC</w:t>
      </w:r>
      <w:r w:rsidRPr="00D30B8B">
        <w:rPr>
          <w:rFonts w:ascii="Arial" w:hAnsi="Arial" w:cs="Arial"/>
        </w:rPr>
        <w:t>)</w:t>
      </w:r>
      <w:r>
        <w:rPr>
          <w:rFonts w:ascii="Arial" w:hAnsi="Arial" w:cs="Arial"/>
        </w:rPr>
        <w:t xml:space="preserve">, a coverage-driven scenario in which </w:t>
      </w:r>
      <w:r w:rsidR="008921BB">
        <w:rPr>
          <w:rFonts w:ascii="Arial" w:hAnsi="Arial" w:cs="Arial"/>
        </w:rPr>
        <w:t>ART coverage is</w:t>
      </w:r>
      <w:r>
        <w:rPr>
          <w:rFonts w:ascii="Arial" w:hAnsi="Arial" w:cs="Arial"/>
        </w:rPr>
        <w:t xml:space="preserve"> maintained at current levels</w:t>
      </w:r>
      <w:r w:rsidRPr="00D30B8B">
        <w:rPr>
          <w:rFonts w:ascii="Arial" w:hAnsi="Arial" w:cs="Arial"/>
        </w:rPr>
        <w:t xml:space="preserve">. </w:t>
      </w:r>
      <w:r w:rsidR="001C4B9B">
        <w:rPr>
          <w:rFonts w:ascii="Arial" w:hAnsi="Arial" w:cs="Arial"/>
        </w:rPr>
        <w:t>CC</w:t>
      </w:r>
      <w:r>
        <w:rPr>
          <w:rFonts w:ascii="Arial" w:hAnsi="Arial" w:cs="Arial"/>
        </w:rPr>
        <w:t xml:space="preserve"> is deliberately presented as a pessimistic scenario in which the national response stalls – it shows the costs and consequences of failing to take the response to a higher level.</w:t>
      </w:r>
    </w:p>
    <w:p w14:paraId="4C24F777" w14:textId="77777777" w:rsidR="00397278" w:rsidRDefault="00397278" w:rsidP="001617F6">
      <w:pPr>
        <w:shd w:val="clear" w:color="auto" w:fill="FFFFFF"/>
        <w:spacing w:after="0" w:line="240" w:lineRule="auto"/>
        <w:rPr>
          <w:rFonts w:ascii="Arial" w:hAnsi="Arial" w:cs="Arial"/>
        </w:rPr>
      </w:pPr>
    </w:p>
    <w:p w14:paraId="41365D42" w14:textId="77777777" w:rsidR="00397278" w:rsidRPr="00D30B8B" w:rsidRDefault="00397278" w:rsidP="001617F6">
      <w:pPr>
        <w:shd w:val="clear" w:color="auto" w:fill="FFFFFF"/>
        <w:spacing w:after="0" w:line="240" w:lineRule="auto"/>
        <w:rPr>
          <w:rFonts w:ascii="Arial" w:hAnsi="Arial" w:cs="Arial"/>
        </w:rPr>
      </w:pPr>
      <w:r>
        <w:rPr>
          <w:rFonts w:ascii="Arial" w:hAnsi="Arial" w:cs="Arial"/>
        </w:rPr>
        <w:t xml:space="preserve">The </w:t>
      </w:r>
      <w:r w:rsidRPr="00A75D0F">
        <w:rPr>
          <w:rFonts w:ascii="Arial" w:hAnsi="Arial" w:cs="Arial"/>
          <w:b/>
          <w:bCs/>
        </w:rPr>
        <w:t>National Strategy</w:t>
      </w:r>
      <w:r w:rsidRPr="00D30B8B">
        <w:rPr>
          <w:rFonts w:ascii="Arial" w:hAnsi="Arial" w:cs="Arial"/>
        </w:rPr>
        <w:t xml:space="preserve"> goals </w:t>
      </w:r>
      <w:r>
        <w:rPr>
          <w:rFonts w:ascii="Arial" w:hAnsi="Arial" w:cs="Arial"/>
        </w:rPr>
        <w:t xml:space="preserve">scenario </w:t>
      </w:r>
      <w:r w:rsidRPr="00D30B8B">
        <w:rPr>
          <w:rFonts w:ascii="Arial" w:hAnsi="Arial" w:cs="Arial"/>
        </w:rPr>
        <w:t>(NS)</w:t>
      </w:r>
      <w:r>
        <w:rPr>
          <w:rFonts w:ascii="Arial" w:hAnsi="Arial" w:cs="Arial"/>
        </w:rPr>
        <w:t xml:space="preserve"> uses the ambitious targets contained in Tanzania’s National Multisectoral Strategic Framework IV and Health Sector HIV Strategic Plan IV. The NS assumes that there is no reallocation across services or other efficiency gains, and thus generates a very high price tag. In this sense, NS is similar to the modeling done for IC 1.0, which was carried out at a time when external financing for HIV in Tanzania was rising.  The </w:t>
      </w:r>
      <w:r w:rsidRPr="00D30B8B">
        <w:rPr>
          <w:rFonts w:ascii="Arial" w:hAnsi="Arial" w:cs="Arial"/>
        </w:rPr>
        <w:t xml:space="preserve">additional impact and associated </w:t>
      </w:r>
      <w:r>
        <w:rPr>
          <w:rFonts w:ascii="Arial" w:hAnsi="Arial" w:cs="Arial"/>
        </w:rPr>
        <w:t xml:space="preserve">large </w:t>
      </w:r>
      <w:r w:rsidRPr="00D30B8B">
        <w:rPr>
          <w:rFonts w:ascii="Arial" w:hAnsi="Arial" w:cs="Arial"/>
        </w:rPr>
        <w:t xml:space="preserve">funding gap </w:t>
      </w:r>
      <w:r>
        <w:rPr>
          <w:rFonts w:ascii="Arial" w:hAnsi="Arial" w:cs="Arial"/>
        </w:rPr>
        <w:t>are estimated.</w:t>
      </w:r>
    </w:p>
    <w:p w14:paraId="5DA47C53" w14:textId="77777777" w:rsidR="00397278" w:rsidRDefault="00397278" w:rsidP="001617F6">
      <w:pPr>
        <w:shd w:val="clear" w:color="auto" w:fill="FFFFFF"/>
        <w:spacing w:after="0" w:line="240" w:lineRule="auto"/>
        <w:rPr>
          <w:rFonts w:ascii="Arial" w:hAnsi="Arial" w:cs="Arial"/>
        </w:rPr>
      </w:pPr>
    </w:p>
    <w:p w14:paraId="0A4263B5" w14:textId="1BFCE206" w:rsidR="00397278" w:rsidRDefault="00397278" w:rsidP="001617F6">
      <w:pPr>
        <w:shd w:val="clear" w:color="auto" w:fill="FFFFFF"/>
        <w:spacing w:after="0" w:line="240" w:lineRule="auto"/>
        <w:rPr>
          <w:rFonts w:ascii="Arial" w:hAnsi="Arial" w:cs="Arial"/>
        </w:rPr>
      </w:pPr>
      <w:r>
        <w:rPr>
          <w:rFonts w:ascii="Arial" w:hAnsi="Arial" w:cs="Arial"/>
        </w:rPr>
        <w:t xml:space="preserve">Thus, IC </w:t>
      </w:r>
      <w:r w:rsidRPr="00D30B8B">
        <w:rPr>
          <w:rFonts w:ascii="Arial" w:hAnsi="Arial" w:cs="Arial"/>
        </w:rPr>
        <w:t>2.0 explores three</w:t>
      </w:r>
      <w:r>
        <w:rPr>
          <w:rFonts w:ascii="Arial" w:hAnsi="Arial" w:cs="Arial"/>
        </w:rPr>
        <w:t xml:space="preserve"> additional</w:t>
      </w:r>
      <w:r w:rsidRPr="00D30B8B">
        <w:rPr>
          <w:rFonts w:ascii="Arial" w:hAnsi="Arial" w:cs="Arial"/>
        </w:rPr>
        <w:t xml:space="preserve"> funding-constrained scenarios under best- and worst-case </w:t>
      </w:r>
      <w:r>
        <w:rPr>
          <w:rFonts w:ascii="Arial" w:hAnsi="Arial" w:cs="Arial"/>
        </w:rPr>
        <w:t xml:space="preserve">assumptions, to see how close Tanzania </w:t>
      </w:r>
      <w:r w:rsidR="008921BB">
        <w:rPr>
          <w:rFonts w:ascii="Arial" w:hAnsi="Arial" w:cs="Arial"/>
        </w:rPr>
        <w:t>can</w:t>
      </w:r>
      <w:r>
        <w:rPr>
          <w:rFonts w:ascii="Arial" w:hAnsi="Arial" w:cs="Arial"/>
        </w:rPr>
        <w:t xml:space="preserve"> get to its national HIV goals by optimizing the use of available funding.</w:t>
      </w:r>
    </w:p>
    <w:p w14:paraId="2FF7CB48" w14:textId="77777777" w:rsidR="00397278" w:rsidRDefault="00397278" w:rsidP="001617F6">
      <w:pPr>
        <w:shd w:val="clear" w:color="auto" w:fill="FFFFFF"/>
        <w:spacing w:after="0" w:line="240" w:lineRule="auto"/>
        <w:rPr>
          <w:rFonts w:ascii="Arial" w:hAnsi="Arial" w:cs="Arial"/>
        </w:rPr>
      </w:pPr>
    </w:p>
    <w:p w14:paraId="503E494B" w14:textId="77777777" w:rsidR="00397278" w:rsidRPr="00D30B8B" w:rsidRDefault="00397278" w:rsidP="001617F6">
      <w:pPr>
        <w:shd w:val="clear" w:color="auto" w:fill="FFFFFF"/>
        <w:spacing w:after="0" w:line="240" w:lineRule="auto"/>
        <w:rPr>
          <w:rFonts w:ascii="Arial" w:eastAsia="Times New Roman" w:hAnsi="Arial" w:cs="Arial"/>
          <w:color w:val="222222"/>
        </w:rPr>
      </w:pPr>
      <w:r>
        <w:rPr>
          <w:rFonts w:ascii="Arial" w:hAnsi="Arial" w:cs="Arial"/>
        </w:rPr>
        <w:t xml:space="preserve">In each of these funding-constrained scenarios, the available funding resource envelope is optimized by prioritizing (allocative efficiency) across prevention interventions and implementing technical efficiencies in ART delivery. </w:t>
      </w:r>
    </w:p>
    <w:p w14:paraId="008EAEAC" w14:textId="77777777" w:rsidR="00397278" w:rsidRDefault="00397278" w:rsidP="001617F6">
      <w:pPr>
        <w:shd w:val="clear" w:color="auto" w:fill="FFFFFF"/>
        <w:spacing w:after="0" w:line="240" w:lineRule="auto"/>
        <w:rPr>
          <w:rFonts w:ascii="Arial" w:hAnsi="Arial" w:cs="Arial"/>
        </w:rPr>
      </w:pPr>
    </w:p>
    <w:p w14:paraId="7CCFA996" w14:textId="22B4320A" w:rsidR="00397278" w:rsidRDefault="00397278" w:rsidP="001617F6">
      <w:pPr>
        <w:shd w:val="clear" w:color="auto" w:fill="FFFFFF"/>
        <w:spacing w:after="0" w:line="240" w:lineRule="auto"/>
        <w:rPr>
          <w:rFonts w:ascii="Arial" w:hAnsi="Arial" w:cs="Arial"/>
        </w:rPr>
      </w:pPr>
      <w:r w:rsidRPr="00D30B8B">
        <w:rPr>
          <w:rFonts w:ascii="Arial" w:hAnsi="Arial" w:cs="Arial"/>
        </w:rPr>
        <w:t>Given that PEPFAR and Global Fund have indicated that it is unlikely</w:t>
      </w:r>
      <w:r>
        <w:rPr>
          <w:rFonts w:ascii="Arial" w:hAnsi="Arial" w:cs="Arial"/>
        </w:rPr>
        <w:t xml:space="preserve"> their</w:t>
      </w:r>
      <w:r w:rsidRPr="00D30B8B">
        <w:rPr>
          <w:rFonts w:ascii="Arial" w:hAnsi="Arial" w:cs="Arial"/>
        </w:rPr>
        <w:t xml:space="preserve"> f</w:t>
      </w:r>
      <w:r>
        <w:rPr>
          <w:rFonts w:ascii="Arial" w:hAnsi="Arial" w:cs="Arial"/>
        </w:rPr>
        <w:t>inancial contributions to</w:t>
      </w:r>
      <w:r w:rsidRPr="00D30B8B">
        <w:rPr>
          <w:rFonts w:ascii="Arial" w:hAnsi="Arial" w:cs="Arial"/>
        </w:rPr>
        <w:t xml:space="preserve"> Tanzania will increase</w:t>
      </w:r>
      <w:r>
        <w:rPr>
          <w:rFonts w:ascii="Arial" w:hAnsi="Arial" w:cs="Arial"/>
        </w:rPr>
        <w:t xml:space="preserve"> in the future</w:t>
      </w:r>
      <w:r w:rsidRPr="00D30B8B">
        <w:rPr>
          <w:rFonts w:ascii="Arial" w:hAnsi="Arial" w:cs="Arial"/>
        </w:rPr>
        <w:t xml:space="preserve">, the best-case scenario assumes </w:t>
      </w:r>
      <w:r>
        <w:rPr>
          <w:rFonts w:ascii="Arial" w:hAnsi="Arial" w:cs="Arial"/>
        </w:rPr>
        <w:t xml:space="preserve">that external and domestic </w:t>
      </w:r>
      <w:r w:rsidRPr="00D30B8B">
        <w:rPr>
          <w:rFonts w:ascii="Arial" w:hAnsi="Arial" w:cs="Arial"/>
        </w:rPr>
        <w:t xml:space="preserve">funding </w:t>
      </w:r>
      <w:r w:rsidR="001C4B9B">
        <w:rPr>
          <w:rFonts w:ascii="Arial" w:hAnsi="Arial" w:cs="Arial"/>
        </w:rPr>
        <w:t>would at least be maintained at</w:t>
      </w:r>
      <w:r w:rsidRPr="00D30B8B">
        <w:rPr>
          <w:rFonts w:ascii="Arial" w:hAnsi="Arial" w:cs="Arial"/>
        </w:rPr>
        <w:t xml:space="preserve"> levels </w:t>
      </w:r>
      <w:r w:rsidR="001C4B9B">
        <w:rPr>
          <w:rFonts w:ascii="Arial" w:hAnsi="Arial" w:cs="Arial"/>
        </w:rPr>
        <w:t>required to keep Constant ART Coverage for</w:t>
      </w:r>
      <w:r w:rsidRPr="00D30B8B">
        <w:rPr>
          <w:rFonts w:ascii="Arial" w:hAnsi="Arial" w:cs="Arial"/>
        </w:rPr>
        <w:t xml:space="preserve"> 2019-2030 (</w:t>
      </w:r>
      <w:r w:rsidRPr="00A75D0F">
        <w:rPr>
          <w:rFonts w:ascii="Arial" w:hAnsi="Arial" w:cs="Arial"/>
          <w:b/>
          <w:bCs/>
        </w:rPr>
        <w:t xml:space="preserve">Optimization with </w:t>
      </w:r>
      <w:r w:rsidR="001C4B9B">
        <w:rPr>
          <w:rFonts w:ascii="Arial" w:hAnsi="Arial" w:cs="Arial"/>
          <w:b/>
          <w:bCs/>
        </w:rPr>
        <w:t>Constant Coverage</w:t>
      </w:r>
      <w:r w:rsidRPr="00A75D0F">
        <w:rPr>
          <w:rFonts w:ascii="Arial" w:hAnsi="Arial" w:cs="Arial"/>
          <w:b/>
          <w:bCs/>
        </w:rPr>
        <w:t xml:space="preserve"> Funding</w:t>
      </w:r>
      <w:r>
        <w:rPr>
          <w:rFonts w:ascii="Arial" w:hAnsi="Arial" w:cs="Arial"/>
        </w:rPr>
        <w:t>, O-</w:t>
      </w:r>
      <w:r w:rsidR="001C4B9B">
        <w:rPr>
          <w:rFonts w:ascii="Arial" w:hAnsi="Arial" w:cs="Arial"/>
        </w:rPr>
        <w:t>CC</w:t>
      </w:r>
      <w:r>
        <w:rPr>
          <w:rFonts w:ascii="Arial" w:hAnsi="Arial" w:cs="Arial"/>
        </w:rPr>
        <w:t>F)</w:t>
      </w:r>
      <w:r w:rsidRPr="00D30B8B">
        <w:rPr>
          <w:rFonts w:ascii="Arial" w:hAnsi="Arial" w:cs="Arial"/>
        </w:rPr>
        <w:t xml:space="preserve">. </w:t>
      </w:r>
    </w:p>
    <w:p w14:paraId="45A9ED08" w14:textId="77777777" w:rsidR="00397278" w:rsidRDefault="00397278" w:rsidP="001617F6">
      <w:pPr>
        <w:shd w:val="clear" w:color="auto" w:fill="FFFFFF"/>
        <w:spacing w:after="0" w:line="240" w:lineRule="auto"/>
        <w:rPr>
          <w:rFonts w:ascii="Arial" w:hAnsi="Arial" w:cs="Arial"/>
        </w:rPr>
      </w:pPr>
    </w:p>
    <w:p w14:paraId="22F735EF" w14:textId="77777777" w:rsidR="00397278" w:rsidRDefault="00397278" w:rsidP="001617F6">
      <w:pPr>
        <w:shd w:val="clear" w:color="auto" w:fill="FFFFFF"/>
        <w:spacing w:after="0" w:line="240" w:lineRule="auto"/>
        <w:rPr>
          <w:rFonts w:ascii="Arial" w:hAnsi="Arial" w:cs="Arial"/>
        </w:rPr>
      </w:pPr>
      <w:r w:rsidRPr="00D30B8B">
        <w:rPr>
          <w:rFonts w:ascii="Arial" w:hAnsi="Arial" w:cs="Arial"/>
        </w:rPr>
        <w:t xml:space="preserve">The worst-case scenario </w:t>
      </w:r>
      <w:r>
        <w:rPr>
          <w:rFonts w:ascii="Arial" w:hAnsi="Arial" w:cs="Arial"/>
        </w:rPr>
        <w:t xml:space="preserve">assumes </w:t>
      </w:r>
      <w:r w:rsidRPr="00D30B8B">
        <w:rPr>
          <w:rFonts w:ascii="Arial" w:hAnsi="Arial" w:cs="Arial"/>
        </w:rPr>
        <w:t>that donor funds will continue to decline and domestic financing will not increase</w:t>
      </w:r>
      <w:r>
        <w:rPr>
          <w:rFonts w:ascii="Arial" w:hAnsi="Arial" w:cs="Arial"/>
        </w:rPr>
        <w:t xml:space="preserve">, generating the smallest benefit in fighting HIV and AIDS, </w:t>
      </w:r>
      <w:r w:rsidRPr="00D30B8B">
        <w:rPr>
          <w:rFonts w:ascii="Arial" w:hAnsi="Arial" w:cs="Arial"/>
        </w:rPr>
        <w:t xml:space="preserve">creating </w:t>
      </w:r>
      <w:r>
        <w:rPr>
          <w:rFonts w:ascii="Arial" w:hAnsi="Arial" w:cs="Arial"/>
        </w:rPr>
        <w:t xml:space="preserve">the largest </w:t>
      </w:r>
      <w:r w:rsidRPr="00D30B8B">
        <w:rPr>
          <w:rFonts w:ascii="Arial" w:hAnsi="Arial" w:cs="Arial"/>
        </w:rPr>
        <w:t>funding gap</w:t>
      </w:r>
      <w:r>
        <w:rPr>
          <w:rFonts w:ascii="Arial" w:hAnsi="Arial" w:cs="Arial"/>
        </w:rPr>
        <w:t>. This reduced funding envelope (</w:t>
      </w:r>
      <w:r w:rsidRPr="00A75D0F">
        <w:rPr>
          <w:rFonts w:ascii="Arial" w:hAnsi="Arial" w:cs="Arial"/>
          <w:b/>
          <w:bCs/>
        </w:rPr>
        <w:t>Optimization with Declining Donor Funds</w:t>
      </w:r>
      <w:r>
        <w:rPr>
          <w:rFonts w:ascii="Arial" w:hAnsi="Arial" w:cs="Arial"/>
        </w:rPr>
        <w:t>,</w:t>
      </w:r>
      <w:r w:rsidRPr="00D30B8B">
        <w:rPr>
          <w:rFonts w:ascii="Arial" w:hAnsi="Arial" w:cs="Arial"/>
        </w:rPr>
        <w:t xml:space="preserve"> O-DFF)</w:t>
      </w:r>
      <w:r>
        <w:rPr>
          <w:rFonts w:ascii="Arial" w:hAnsi="Arial" w:cs="Arial"/>
        </w:rPr>
        <w:t xml:space="preserve"> is stretched as far as possible but still achieves limited results.</w:t>
      </w:r>
    </w:p>
    <w:p w14:paraId="00DCC621" w14:textId="77777777" w:rsidR="00397278" w:rsidRDefault="00397278" w:rsidP="001617F6">
      <w:pPr>
        <w:shd w:val="clear" w:color="auto" w:fill="FFFFFF"/>
        <w:spacing w:after="0" w:line="240" w:lineRule="auto"/>
        <w:rPr>
          <w:rFonts w:ascii="Arial" w:hAnsi="Arial" w:cs="Arial"/>
        </w:rPr>
      </w:pPr>
    </w:p>
    <w:p w14:paraId="30A98B39" w14:textId="77777777" w:rsidR="00397278" w:rsidRDefault="00397278" w:rsidP="001617F6">
      <w:pPr>
        <w:shd w:val="clear" w:color="auto" w:fill="FFFFFF"/>
        <w:spacing w:after="0" w:line="240" w:lineRule="auto"/>
        <w:rPr>
          <w:rFonts w:ascii="Arial" w:hAnsi="Arial" w:cs="Arial"/>
        </w:rPr>
      </w:pPr>
      <w:r w:rsidRPr="00D30B8B">
        <w:rPr>
          <w:rFonts w:ascii="Arial" w:hAnsi="Arial" w:cs="Arial"/>
        </w:rPr>
        <w:t>The third</w:t>
      </w:r>
      <w:r>
        <w:rPr>
          <w:rFonts w:ascii="Arial" w:hAnsi="Arial" w:cs="Arial"/>
        </w:rPr>
        <w:t xml:space="preserve"> funding-constrained scenario</w:t>
      </w:r>
      <w:r w:rsidRPr="00D30B8B">
        <w:rPr>
          <w:rFonts w:ascii="Arial" w:hAnsi="Arial" w:cs="Arial"/>
        </w:rPr>
        <w:t xml:space="preserve"> is a hybrid of the other two</w:t>
      </w:r>
      <w:r>
        <w:rPr>
          <w:rFonts w:ascii="Arial" w:hAnsi="Arial" w:cs="Arial"/>
        </w:rPr>
        <w:t xml:space="preserve">, in which </w:t>
      </w:r>
      <w:r w:rsidRPr="00D30B8B">
        <w:rPr>
          <w:rFonts w:ascii="Arial" w:hAnsi="Arial" w:cs="Arial"/>
        </w:rPr>
        <w:t xml:space="preserve">external financing declines but is </w:t>
      </w:r>
      <w:r>
        <w:rPr>
          <w:rFonts w:ascii="Arial" w:hAnsi="Arial" w:cs="Arial"/>
        </w:rPr>
        <w:t xml:space="preserve">partially </w:t>
      </w:r>
      <w:r w:rsidRPr="00D30B8B">
        <w:rPr>
          <w:rFonts w:ascii="Arial" w:hAnsi="Arial" w:cs="Arial"/>
        </w:rPr>
        <w:t xml:space="preserve">offset by gradually increasing domestic financial outlays, depicting a situation where the government steps into the breach </w:t>
      </w:r>
      <w:r>
        <w:rPr>
          <w:rFonts w:ascii="Arial" w:hAnsi="Arial" w:cs="Arial"/>
        </w:rPr>
        <w:t>by mobilizing more national funds</w:t>
      </w:r>
      <w:r w:rsidRPr="00D30B8B">
        <w:rPr>
          <w:rFonts w:ascii="Arial" w:hAnsi="Arial" w:cs="Arial"/>
        </w:rPr>
        <w:t xml:space="preserve"> (</w:t>
      </w:r>
      <w:r w:rsidRPr="00A75D0F">
        <w:rPr>
          <w:rFonts w:ascii="Arial" w:hAnsi="Arial" w:cs="Arial"/>
          <w:b/>
          <w:bCs/>
        </w:rPr>
        <w:t>Optimization with Domestic Resource Mobilization</w:t>
      </w:r>
      <w:r>
        <w:rPr>
          <w:rFonts w:ascii="Arial" w:hAnsi="Arial" w:cs="Arial"/>
        </w:rPr>
        <w:t>, O-DRM</w:t>
      </w:r>
      <w:r w:rsidRPr="00D30B8B">
        <w:rPr>
          <w:rFonts w:ascii="Arial" w:hAnsi="Arial" w:cs="Arial"/>
        </w:rPr>
        <w:t xml:space="preserve">).  </w:t>
      </w:r>
    </w:p>
    <w:p w14:paraId="734EDC20" w14:textId="77777777" w:rsidR="00397278" w:rsidRPr="00D30B8B" w:rsidRDefault="00397278" w:rsidP="001617F6">
      <w:pPr>
        <w:tabs>
          <w:tab w:val="left" w:pos="720"/>
        </w:tabs>
        <w:spacing w:after="0"/>
        <w:rPr>
          <w:rFonts w:ascii="Arial" w:hAnsi="Arial" w:cs="Arial"/>
        </w:rPr>
      </w:pPr>
    </w:p>
    <w:p w14:paraId="335FBBD6" w14:textId="77777777" w:rsidR="00397278" w:rsidRDefault="00397278" w:rsidP="001617F6">
      <w:pPr>
        <w:shd w:val="clear" w:color="auto" w:fill="FFFFFF"/>
        <w:spacing w:after="0" w:line="240" w:lineRule="auto"/>
        <w:rPr>
          <w:rFonts w:ascii="Arial" w:hAnsi="Arial" w:cs="Arial"/>
        </w:rPr>
      </w:pPr>
      <w:r w:rsidRPr="00D30B8B">
        <w:rPr>
          <w:rFonts w:ascii="Arial" w:hAnsi="Arial" w:cs="Arial"/>
        </w:rPr>
        <w:t xml:space="preserve">Under these tight funding scenarios, the future of the Tanzania HIV response will depend on the ability of the national program to adapt and become more efficient with available funds, by allocating resources to interventions that achieve the greatest impact per dollar spent and by finding ways to deliver critical interventions at a lower unit cost.  </w:t>
      </w:r>
    </w:p>
    <w:p w14:paraId="7AB5DAE1" w14:textId="77777777" w:rsidR="00397278" w:rsidRDefault="00397278" w:rsidP="001617F6">
      <w:pPr>
        <w:shd w:val="clear" w:color="auto" w:fill="FFFFFF"/>
        <w:spacing w:after="0" w:line="240" w:lineRule="auto"/>
        <w:rPr>
          <w:rFonts w:ascii="Arial" w:hAnsi="Arial" w:cs="Arial"/>
        </w:rPr>
      </w:pPr>
    </w:p>
    <w:p w14:paraId="2D9AD749" w14:textId="77777777"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Prevention activities absorb about 15% of current HIV expenditure in Tanzania. Prioritization of prevention interventions was assessed based on cost per infection averted to determine the mix of interventions that would maximize the number of infections averted per dollar spent. Based on Tanzania’s local context and costs, c</w:t>
      </w:r>
      <w:r w:rsidRPr="002F4D86">
        <w:rPr>
          <w:rFonts w:ascii="Arial" w:eastAsia="Times New Roman" w:hAnsi="Arial" w:cs="Arial"/>
          <w:color w:val="222222"/>
        </w:rPr>
        <w:t xml:space="preserve">ondoms, VMMC, FSW, MSM, and BCC interventions </w:t>
      </w:r>
      <w:r>
        <w:rPr>
          <w:rFonts w:ascii="Arial" w:eastAsia="Times New Roman" w:hAnsi="Arial" w:cs="Arial"/>
          <w:color w:val="222222"/>
        </w:rPr>
        <w:t>were found to be</w:t>
      </w:r>
      <w:r w:rsidRPr="002F4D86">
        <w:rPr>
          <w:rFonts w:ascii="Arial" w:eastAsia="Times New Roman" w:hAnsi="Arial" w:cs="Arial"/>
          <w:color w:val="222222"/>
        </w:rPr>
        <w:t xml:space="preserve"> </w:t>
      </w:r>
      <w:r>
        <w:rPr>
          <w:rFonts w:ascii="Arial" w:eastAsia="Times New Roman" w:hAnsi="Arial" w:cs="Arial"/>
          <w:color w:val="222222"/>
        </w:rPr>
        <w:t>the most</w:t>
      </w:r>
      <w:r w:rsidRPr="002F4D86">
        <w:rPr>
          <w:rFonts w:ascii="Arial" w:eastAsia="Times New Roman" w:hAnsi="Arial" w:cs="Arial"/>
          <w:color w:val="222222"/>
        </w:rPr>
        <w:t xml:space="preserve"> cost-effective</w:t>
      </w:r>
      <w:r>
        <w:rPr>
          <w:rFonts w:ascii="Arial" w:eastAsia="Times New Roman" w:hAnsi="Arial" w:cs="Arial"/>
          <w:color w:val="222222"/>
        </w:rPr>
        <w:t xml:space="preserve">. If a greater share of prevention resources was allocated towards these interventions, more infections could be averted for available prevention funding. </w:t>
      </w:r>
    </w:p>
    <w:p w14:paraId="2841D494" w14:textId="77777777" w:rsidR="00397278" w:rsidRDefault="00397278" w:rsidP="001617F6">
      <w:pPr>
        <w:shd w:val="clear" w:color="auto" w:fill="FFFFFF"/>
        <w:spacing w:after="0" w:line="240" w:lineRule="auto"/>
        <w:rPr>
          <w:rFonts w:ascii="Arial" w:eastAsia="Times New Roman" w:hAnsi="Arial" w:cs="Arial"/>
          <w:color w:val="222222"/>
        </w:rPr>
      </w:pPr>
    </w:p>
    <w:p w14:paraId="0084E911" w14:textId="5D83C6E4" w:rsidR="00397278" w:rsidRDefault="00397278" w:rsidP="001617F6">
      <w:pPr>
        <w:shd w:val="clear" w:color="auto" w:fill="FFFFFF"/>
        <w:spacing w:after="0"/>
        <w:rPr>
          <w:rFonts w:ascii="Arial" w:eastAsia="Times New Roman" w:hAnsi="Arial" w:cs="Arial"/>
          <w:color w:val="222222"/>
        </w:rPr>
      </w:pPr>
      <w:r>
        <w:rPr>
          <w:rFonts w:ascii="Arial" w:eastAsia="Times New Roman" w:hAnsi="Arial" w:cs="Arial"/>
          <w:color w:val="222222"/>
        </w:rPr>
        <w:t xml:space="preserve">For efficiency in ART delivery, three policy shifts were identified to have </w:t>
      </w:r>
      <w:r w:rsidR="001C4B9B">
        <w:rPr>
          <w:rFonts w:ascii="Arial" w:eastAsia="Times New Roman" w:hAnsi="Arial" w:cs="Arial"/>
          <w:color w:val="222222"/>
        </w:rPr>
        <w:t xml:space="preserve">additional </w:t>
      </w:r>
      <w:r>
        <w:rPr>
          <w:rFonts w:ascii="Arial" w:eastAsia="Times New Roman" w:hAnsi="Arial" w:cs="Arial"/>
          <w:color w:val="222222"/>
        </w:rPr>
        <w:t>potential for significant cost savings</w:t>
      </w:r>
      <w:r w:rsidR="001C4B9B">
        <w:rPr>
          <w:rFonts w:ascii="Arial" w:eastAsia="Times New Roman" w:hAnsi="Arial" w:cs="Arial"/>
          <w:color w:val="222222"/>
        </w:rPr>
        <w:t xml:space="preserve">. Some of these policies are already being implemented and must be scaled, while other policies have political support and evidence of cost savings but have not been introduced yet. Key technical efficiencies including: </w:t>
      </w:r>
      <w:r w:rsidR="00E323E7">
        <w:rPr>
          <w:rFonts w:ascii="Arial" w:eastAsia="Times New Roman" w:hAnsi="Arial" w:cs="Arial"/>
          <w:color w:val="222222"/>
        </w:rPr>
        <w:t>s</w:t>
      </w:r>
      <w:r w:rsidR="001C4B9B">
        <w:rPr>
          <w:rFonts w:ascii="Arial" w:eastAsia="Times New Roman" w:hAnsi="Arial" w:cs="Arial"/>
          <w:color w:val="222222"/>
        </w:rPr>
        <w:t xml:space="preserve">caling </w:t>
      </w:r>
      <w:r w:rsidRPr="00C35403">
        <w:rPr>
          <w:rFonts w:ascii="Arial" w:eastAsia="Times New Roman" w:hAnsi="Arial" w:cs="Arial"/>
          <w:color w:val="222222"/>
        </w:rPr>
        <w:t xml:space="preserve">Dolutegravir (DTG)-based </w:t>
      </w:r>
      <w:r>
        <w:rPr>
          <w:rFonts w:ascii="Arial" w:eastAsia="Times New Roman" w:hAnsi="Arial" w:cs="Arial"/>
          <w:color w:val="222222"/>
        </w:rPr>
        <w:t xml:space="preserve">ARV </w:t>
      </w:r>
      <w:r w:rsidRPr="00C35403">
        <w:rPr>
          <w:rFonts w:ascii="Arial" w:eastAsia="Times New Roman" w:hAnsi="Arial" w:cs="Arial"/>
          <w:color w:val="222222"/>
        </w:rPr>
        <w:t>regimens</w:t>
      </w:r>
      <w:r>
        <w:rPr>
          <w:rFonts w:ascii="Arial" w:eastAsia="Times New Roman" w:hAnsi="Arial" w:cs="Arial"/>
          <w:color w:val="222222"/>
        </w:rPr>
        <w:t xml:space="preserve">; </w:t>
      </w:r>
      <w:r w:rsidR="00E323E7">
        <w:rPr>
          <w:rFonts w:ascii="Arial" w:eastAsia="Times New Roman" w:hAnsi="Arial" w:cs="Arial"/>
          <w:color w:val="222222"/>
        </w:rPr>
        <w:t xml:space="preserve">achieving </w:t>
      </w:r>
      <w:r>
        <w:rPr>
          <w:rFonts w:ascii="Arial" w:eastAsia="Times New Roman" w:hAnsi="Arial" w:cs="Arial"/>
          <w:color w:val="222222"/>
        </w:rPr>
        <w:t>f</w:t>
      </w:r>
      <w:r w:rsidRPr="00C35403">
        <w:rPr>
          <w:rFonts w:ascii="Arial" w:eastAsia="Times New Roman" w:hAnsi="Arial" w:cs="Arial"/>
          <w:color w:val="222222"/>
        </w:rPr>
        <w:t xml:space="preserve">ull implementation of </w:t>
      </w:r>
      <w:r>
        <w:rPr>
          <w:rFonts w:ascii="Arial" w:eastAsia="Times New Roman" w:hAnsi="Arial" w:cs="Arial"/>
          <w:color w:val="222222"/>
        </w:rPr>
        <w:t xml:space="preserve">simplified </w:t>
      </w:r>
      <w:r w:rsidRPr="00C35403">
        <w:rPr>
          <w:rFonts w:ascii="Arial" w:eastAsia="Times New Roman" w:hAnsi="Arial" w:cs="Arial"/>
          <w:color w:val="222222"/>
        </w:rPr>
        <w:t xml:space="preserve">lab testing algorithm </w:t>
      </w:r>
      <w:r>
        <w:rPr>
          <w:rFonts w:ascii="Arial" w:eastAsia="Times New Roman" w:hAnsi="Arial" w:cs="Arial"/>
          <w:color w:val="222222"/>
        </w:rPr>
        <w:t>for stable patients; and</w:t>
      </w:r>
      <w:r w:rsidR="00E323E7">
        <w:rPr>
          <w:rFonts w:ascii="Arial" w:eastAsia="Times New Roman" w:hAnsi="Arial" w:cs="Arial"/>
          <w:color w:val="222222"/>
        </w:rPr>
        <w:t xml:space="preserve"> introducing</w:t>
      </w:r>
      <w:r>
        <w:rPr>
          <w:rFonts w:ascii="Arial" w:eastAsia="Times New Roman" w:hAnsi="Arial" w:cs="Arial"/>
          <w:color w:val="222222"/>
        </w:rPr>
        <w:t xml:space="preserve"> c</w:t>
      </w:r>
      <w:r w:rsidRPr="00C35403">
        <w:rPr>
          <w:rFonts w:ascii="Arial" w:eastAsia="Times New Roman" w:hAnsi="Arial" w:cs="Arial"/>
          <w:color w:val="222222"/>
        </w:rPr>
        <w:t>ommunity-based support services for ART</w:t>
      </w:r>
      <w:r>
        <w:rPr>
          <w:rFonts w:ascii="Arial" w:eastAsia="Times New Roman" w:hAnsi="Arial" w:cs="Arial"/>
          <w:color w:val="222222"/>
        </w:rPr>
        <w:t xml:space="preserve">. </w:t>
      </w:r>
      <w:r w:rsidR="001C4B9B">
        <w:rPr>
          <w:rFonts w:ascii="Arial" w:eastAsia="Times New Roman" w:hAnsi="Arial" w:cs="Arial"/>
          <w:color w:val="222222"/>
        </w:rPr>
        <w:t>When</w:t>
      </w:r>
      <w:r>
        <w:rPr>
          <w:rFonts w:ascii="Arial" w:eastAsia="Times New Roman" w:hAnsi="Arial" w:cs="Arial"/>
          <w:color w:val="222222"/>
        </w:rPr>
        <w:t xml:space="preserve"> fully implemented, these efficiencies could save USD 50 per PLHIV on ART, reducing ART costs by approximately 25% and generating as much as USD 50 M annually in savings.</w:t>
      </w:r>
    </w:p>
    <w:p w14:paraId="23720CE5" w14:textId="69656E87" w:rsidR="0097190A" w:rsidRDefault="0097190A" w:rsidP="001617F6">
      <w:pPr>
        <w:shd w:val="clear" w:color="auto" w:fill="FFFFFF"/>
        <w:spacing w:after="0"/>
        <w:rPr>
          <w:rFonts w:ascii="Arial" w:eastAsia="Times New Roman" w:hAnsi="Arial" w:cs="Arial"/>
          <w:color w:val="222222"/>
        </w:rPr>
      </w:pPr>
    </w:p>
    <w:p w14:paraId="04CD4FD9" w14:textId="4C8932C7" w:rsidR="000D3D73" w:rsidRPr="0097190A" w:rsidRDefault="0097190A" w:rsidP="0097190A">
      <w:pPr>
        <w:rPr>
          <w:rFonts w:ascii="Arial" w:hAnsi="Arial" w:cs="Arial"/>
          <w:szCs w:val="24"/>
        </w:rPr>
      </w:pPr>
      <w:r w:rsidRPr="00B40003">
        <w:rPr>
          <w:rFonts w:ascii="Arial" w:hAnsi="Arial" w:cs="Arial"/>
        </w:rPr>
        <w:t>Currentl</w:t>
      </w:r>
      <w:r>
        <w:rPr>
          <w:rFonts w:ascii="Arial" w:hAnsi="Arial" w:cs="Arial"/>
        </w:rPr>
        <w:t>y, annual</w:t>
      </w:r>
      <w:r w:rsidRPr="00B40003">
        <w:rPr>
          <w:rFonts w:ascii="Arial" w:hAnsi="Arial" w:cs="Arial"/>
        </w:rPr>
        <w:t xml:space="preserve"> expenditure on </w:t>
      </w:r>
      <w:r>
        <w:rPr>
          <w:rFonts w:ascii="Arial" w:hAnsi="Arial" w:cs="Arial"/>
        </w:rPr>
        <w:t>HIV testing and counseling</w:t>
      </w:r>
      <w:r w:rsidRPr="00B40003">
        <w:rPr>
          <w:rFonts w:ascii="Arial" w:hAnsi="Arial" w:cs="Arial"/>
        </w:rPr>
        <w:t xml:space="preserve"> is about USD 50 </w:t>
      </w:r>
      <w:r>
        <w:rPr>
          <w:rFonts w:ascii="Arial" w:hAnsi="Arial" w:cs="Arial"/>
        </w:rPr>
        <w:t>M</w:t>
      </w:r>
      <w:r w:rsidR="00A5753F">
        <w:rPr>
          <w:rFonts w:ascii="Arial" w:hAnsi="Arial" w:cs="Arial"/>
        </w:rPr>
        <w:t xml:space="preserve">, </w:t>
      </w:r>
      <w:r>
        <w:rPr>
          <w:rFonts w:ascii="Arial" w:hAnsi="Arial" w:cs="Arial"/>
        </w:rPr>
        <w:t xml:space="preserve">and </w:t>
      </w:r>
      <w:r w:rsidR="00A5753F">
        <w:rPr>
          <w:rFonts w:ascii="Arial" w:hAnsi="Arial" w:cs="Arial"/>
        </w:rPr>
        <w:t xml:space="preserve">only </w:t>
      </w:r>
      <w:r>
        <w:rPr>
          <w:rFonts w:ascii="Arial" w:hAnsi="Arial" w:cs="Arial"/>
        </w:rPr>
        <w:t xml:space="preserve">about </w:t>
      </w:r>
      <w:r w:rsidR="000D3D73">
        <w:rPr>
          <w:rFonts w:ascii="Arial" w:hAnsi="Arial" w:cs="Arial"/>
        </w:rPr>
        <w:t>61</w:t>
      </w:r>
      <w:r>
        <w:rPr>
          <w:rFonts w:ascii="Arial" w:hAnsi="Arial" w:cs="Arial"/>
        </w:rPr>
        <w:t>% of PLHIV are aware of their status.</w:t>
      </w:r>
      <w:r w:rsidR="00A5753F">
        <w:rPr>
          <w:rFonts w:ascii="Arial" w:hAnsi="Arial" w:cs="Arial"/>
        </w:rPr>
        <w:t xml:space="preserve"> The</w:t>
      </w:r>
      <w:r>
        <w:rPr>
          <w:rFonts w:ascii="Arial" w:hAnsi="Arial" w:cs="Arial"/>
        </w:rPr>
        <w:t xml:space="preserve"> IC 2.0 </w:t>
      </w:r>
      <w:r w:rsidR="00A5753F">
        <w:rPr>
          <w:rFonts w:ascii="Arial" w:hAnsi="Arial" w:cs="Arial"/>
        </w:rPr>
        <w:t xml:space="preserve">efficiency </w:t>
      </w:r>
      <w:r>
        <w:rPr>
          <w:rFonts w:ascii="Arial" w:hAnsi="Arial" w:cs="Arial"/>
        </w:rPr>
        <w:t xml:space="preserve">analysis suggests that it is possible for Tanzania to reach the 90% target for PLHIV who are aware of their status by 2025 and spend </w:t>
      </w:r>
      <w:r w:rsidR="00A5753F">
        <w:rPr>
          <w:rFonts w:ascii="Arial" w:hAnsi="Arial" w:cs="Arial"/>
        </w:rPr>
        <w:t xml:space="preserve">even less than </w:t>
      </w:r>
      <w:r>
        <w:rPr>
          <w:rFonts w:ascii="Arial" w:hAnsi="Arial" w:cs="Arial"/>
        </w:rPr>
        <w:t xml:space="preserve">today. This </w:t>
      </w:r>
      <w:r w:rsidR="00A5753F">
        <w:rPr>
          <w:rFonts w:ascii="Arial" w:hAnsi="Arial" w:cs="Arial"/>
        </w:rPr>
        <w:t xml:space="preserve">more efficient </w:t>
      </w:r>
      <w:r>
        <w:rPr>
          <w:rFonts w:ascii="Arial" w:hAnsi="Arial" w:cs="Arial"/>
        </w:rPr>
        <w:t xml:space="preserve">strategy would involve </w:t>
      </w:r>
      <w:r w:rsidR="000D3D73">
        <w:rPr>
          <w:rFonts w:ascii="Arial" w:hAnsi="Arial" w:cs="Arial"/>
        </w:rPr>
        <w:t xml:space="preserve">focusing on </w:t>
      </w:r>
      <w:r w:rsidR="000D3D73">
        <w:rPr>
          <w:rFonts w:ascii="Arial" w:hAnsi="Arial" w:cs="Arial"/>
          <w:szCs w:val="24"/>
        </w:rPr>
        <w:t>scaling up PITC, VCT, and self-testing through 2022 and then keeping PITC and self-testing volumes high</w:t>
      </w:r>
      <w:r w:rsidR="00A5753F">
        <w:rPr>
          <w:rFonts w:ascii="Arial" w:hAnsi="Arial" w:cs="Arial"/>
          <w:szCs w:val="24"/>
        </w:rPr>
        <w:t xml:space="preserve"> when VCT scales back in 2022</w:t>
      </w:r>
      <w:r w:rsidR="000D3D73">
        <w:rPr>
          <w:rFonts w:ascii="Arial" w:hAnsi="Arial" w:cs="Arial"/>
          <w:szCs w:val="24"/>
        </w:rPr>
        <w:t xml:space="preserve">. Until 2022, volumes of PITC and self-testing should be about 3-4 million tests and VCT at 800,000 annually. After </w:t>
      </w:r>
      <w:r w:rsidR="00A5753F">
        <w:rPr>
          <w:rFonts w:ascii="Arial" w:hAnsi="Arial" w:cs="Arial"/>
          <w:szCs w:val="24"/>
        </w:rPr>
        <w:t>VCT scale down</w:t>
      </w:r>
      <w:r w:rsidR="000D3D73">
        <w:rPr>
          <w:rFonts w:ascii="Arial" w:hAnsi="Arial" w:cs="Arial"/>
          <w:szCs w:val="24"/>
        </w:rPr>
        <w:t xml:space="preserve">, </w:t>
      </w:r>
      <w:r w:rsidR="00A5753F">
        <w:rPr>
          <w:rFonts w:ascii="Arial" w:hAnsi="Arial" w:cs="Arial"/>
          <w:szCs w:val="24"/>
        </w:rPr>
        <w:t xml:space="preserve">PITC and self-testing volumes would need to reach 4-5 million tests annually. </w:t>
      </w:r>
      <w:r w:rsidR="00A5753F">
        <w:rPr>
          <w:rFonts w:ascii="Arial" w:hAnsi="Arial" w:cs="Arial"/>
        </w:rPr>
        <w:t>This strategy would cost less than USD 40 M annually, saving at least 10-15 M annually compared to the current strategy.</w:t>
      </w:r>
    </w:p>
    <w:p w14:paraId="12B468FB" w14:textId="72A00F30" w:rsidR="00397278" w:rsidRPr="008D10A9" w:rsidRDefault="00397278" w:rsidP="001617F6">
      <w:pPr>
        <w:pStyle w:val="Heading2"/>
        <w:rPr>
          <w:rFonts w:ascii="Arial" w:hAnsi="Arial" w:cs="Arial"/>
          <w:b/>
          <w:bCs/>
        </w:rPr>
      </w:pPr>
      <w:bookmarkStart w:id="9" w:name="_Toc57035111"/>
      <w:r w:rsidRPr="008D10A9">
        <w:rPr>
          <w:rFonts w:ascii="Arial" w:hAnsi="Arial" w:cs="Arial"/>
          <w:b/>
          <w:bCs/>
        </w:rPr>
        <w:t>Results</w:t>
      </w:r>
      <w:bookmarkEnd w:id="9"/>
    </w:p>
    <w:p w14:paraId="2E2C2BA6" w14:textId="77777777" w:rsidR="00397278" w:rsidRPr="00D30B8B" w:rsidRDefault="00397278" w:rsidP="001617F6">
      <w:pPr>
        <w:shd w:val="clear" w:color="auto" w:fill="FFFFFF"/>
        <w:spacing w:after="0" w:line="240" w:lineRule="auto"/>
        <w:rPr>
          <w:rFonts w:ascii="Arial" w:eastAsia="Times New Roman" w:hAnsi="Arial" w:cs="Arial"/>
          <w:i/>
          <w:iCs/>
          <w:color w:val="222222"/>
        </w:rPr>
      </w:pPr>
    </w:p>
    <w:p w14:paraId="79AD8443" w14:textId="44DF7ACC" w:rsidR="001617F6" w:rsidRPr="008F15AD" w:rsidRDefault="00E323E7" w:rsidP="001617F6">
      <w:pPr>
        <w:pStyle w:val="Heading3"/>
        <w:rPr>
          <w:rFonts w:ascii="Arial" w:hAnsi="Arial" w:cs="Arial"/>
          <w:i/>
          <w:iCs/>
          <w:color w:val="auto"/>
        </w:rPr>
      </w:pPr>
      <w:bookmarkStart w:id="10" w:name="_Toc57035112"/>
      <w:r>
        <w:rPr>
          <w:rFonts w:ascii="Arial" w:hAnsi="Arial" w:cs="Arial"/>
          <w:i/>
          <w:iCs/>
          <w:color w:val="auto"/>
        </w:rPr>
        <w:t xml:space="preserve">Current </w:t>
      </w:r>
      <w:r w:rsidR="0097190A">
        <w:rPr>
          <w:rFonts w:ascii="Arial" w:hAnsi="Arial" w:cs="Arial"/>
          <w:i/>
          <w:iCs/>
          <w:color w:val="auto"/>
        </w:rPr>
        <w:t>Coverage Scenario</w:t>
      </w:r>
      <w:bookmarkEnd w:id="10"/>
    </w:p>
    <w:p w14:paraId="7C487C47" w14:textId="77777777" w:rsidR="001617F6" w:rsidRPr="001617F6" w:rsidRDefault="001617F6" w:rsidP="001617F6">
      <w:pPr>
        <w:spacing w:after="0"/>
      </w:pPr>
    </w:p>
    <w:p w14:paraId="6F935E4B" w14:textId="31474268" w:rsidR="00397278" w:rsidRDefault="00397278" w:rsidP="001617F6">
      <w:pPr>
        <w:spacing w:after="0"/>
        <w:rPr>
          <w:rFonts w:ascii="Arial" w:hAnsi="Arial" w:cs="Arial"/>
        </w:rPr>
      </w:pPr>
      <w:r>
        <w:rPr>
          <w:rFonts w:ascii="Arial" w:eastAsia="Times New Roman" w:hAnsi="Arial" w:cs="Arial"/>
          <w:color w:val="222222"/>
        </w:rPr>
        <w:t xml:space="preserve">Under the </w:t>
      </w:r>
      <w:r w:rsidR="00E323E7">
        <w:rPr>
          <w:rFonts w:ascii="Arial" w:eastAsia="Times New Roman" w:hAnsi="Arial" w:cs="Arial"/>
          <w:color w:val="222222"/>
        </w:rPr>
        <w:t>CC</w:t>
      </w:r>
      <w:r>
        <w:rPr>
          <w:rFonts w:ascii="Arial" w:eastAsia="Times New Roman" w:hAnsi="Arial" w:cs="Arial"/>
          <w:color w:val="222222"/>
        </w:rPr>
        <w:t xml:space="preserve"> scenario, ART coverage would stay constant, the level of new infections would remain stagnant and </w:t>
      </w:r>
      <w:r w:rsidRPr="00F827F6">
        <w:rPr>
          <w:rFonts w:ascii="Arial" w:hAnsi="Arial" w:cs="Arial"/>
        </w:rPr>
        <w:t>AIDS-related deaths w</w:t>
      </w:r>
      <w:r>
        <w:rPr>
          <w:rFonts w:ascii="Arial" w:hAnsi="Arial" w:cs="Arial"/>
        </w:rPr>
        <w:t>ould</w:t>
      </w:r>
      <w:r w:rsidRPr="00F827F6">
        <w:rPr>
          <w:rFonts w:ascii="Arial" w:hAnsi="Arial" w:cs="Arial"/>
        </w:rPr>
        <w:t xml:space="preserve"> increase</w:t>
      </w:r>
      <w:r>
        <w:rPr>
          <w:rFonts w:ascii="Arial" w:hAnsi="Arial" w:cs="Arial"/>
        </w:rPr>
        <w:t xml:space="preserve"> </w:t>
      </w:r>
      <w:r w:rsidRPr="00F827F6">
        <w:rPr>
          <w:rFonts w:ascii="Arial" w:hAnsi="Arial" w:cs="Arial"/>
        </w:rPr>
        <w:t>from 28,</w:t>
      </w:r>
      <w:r>
        <w:rPr>
          <w:rFonts w:ascii="Arial" w:hAnsi="Arial" w:cs="Arial"/>
        </w:rPr>
        <w:t>000</w:t>
      </w:r>
      <w:r w:rsidRPr="00F827F6">
        <w:rPr>
          <w:rFonts w:ascii="Arial" w:hAnsi="Arial" w:cs="Arial"/>
        </w:rPr>
        <w:t xml:space="preserve"> </w:t>
      </w:r>
      <w:r>
        <w:rPr>
          <w:rFonts w:ascii="Arial" w:hAnsi="Arial" w:cs="Arial"/>
        </w:rPr>
        <w:t xml:space="preserve">deaths </w:t>
      </w:r>
      <w:r w:rsidRPr="00F827F6">
        <w:rPr>
          <w:rFonts w:ascii="Arial" w:hAnsi="Arial" w:cs="Arial"/>
        </w:rPr>
        <w:t xml:space="preserve">annually in 2019 to </w:t>
      </w:r>
      <w:r>
        <w:rPr>
          <w:rFonts w:ascii="Arial" w:hAnsi="Arial" w:cs="Arial"/>
        </w:rPr>
        <w:t>39,000</w:t>
      </w:r>
      <w:r w:rsidRPr="00F827F6">
        <w:rPr>
          <w:rFonts w:ascii="Arial" w:hAnsi="Arial" w:cs="Arial"/>
        </w:rPr>
        <w:t xml:space="preserve"> annually in 2030. Tanzania would see only a </w:t>
      </w:r>
      <w:r>
        <w:rPr>
          <w:rFonts w:ascii="Arial" w:hAnsi="Arial" w:cs="Arial"/>
        </w:rPr>
        <w:t xml:space="preserve">55% reduction in new infections and a </w:t>
      </w:r>
      <w:r w:rsidRPr="00F827F6">
        <w:rPr>
          <w:rFonts w:ascii="Arial" w:hAnsi="Arial" w:cs="Arial"/>
        </w:rPr>
        <w:t xml:space="preserve">53% reduction in AIDS-related deaths from 2010-2030, </w:t>
      </w:r>
      <w:r>
        <w:rPr>
          <w:rFonts w:ascii="Arial" w:hAnsi="Arial" w:cs="Arial"/>
        </w:rPr>
        <w:t>resulting in major shortfalls in pursuit of Fast Track targets</w:t>
      </w:r>
      <w:r w:rsidRPr="00F827F6">
        <w:rPr>
          <w:rFonts w:ascii="Arial" w:hAnsi="Arial" w:cs="Arial"/>
        </w:rPr>
        <w:t>.</w:t>
      </w:r>
      <w:r>
        <w:rPr>
          <w:rFonts w:ascii="Arial" w:hAnsi="Arial" w:cs="Arial"/>
        </w:rPr>
        <w:t xml:space="preserve">  </w:t>
      </w:r>
    </w:p>
    <w:p w14:paraId="3A681A5C" w14:textId="46C80BE5" w:rsidR="001617F6" w:rsidRDefault="001617F6" w:rsidP="001617F6">
      <w:pPr>
        <w:spacing w:after="0"/>
        <w:rPr>
          <w:rFonts w:ascii="Arial" w:hAnsi="Arial" w:cs="Arial"/>
        </w:rPr>
      </w:pPr>
    </w:p>
    <w:p w14:paraId="598B814C" w14:textId="77777777" w:rsidR="00A661EA" w:rsidRDefault="00A661EA">
      <w:pPr>
        <w:rPr>
          <w:rFonts w:ascii="Arial" w:eastAsiaTheme="majorEastAsia" w:hAnsi="Arial" w:cs="Arial"/>
          <w:i/>
          <w:iCs/>
          <w:sz w:val="24"/>
          <w:szCs w:val="24"/>
        </w:rPr>
      </w:pPr>
      <w:r>
        <w:rPr>
          <w:rFonts w:ascii="Arial" w:hAnsi="Arial" w:cs="Arial"/>
          <w:i/>
          <w:iCs/>
        </w:rPr>
        <w:br w:type="page"/>
      </w:r>
    </w:p>
    <w:p w14:paraId="037D2D2E" w14:textId="1B319E1D" w:rsidR="001617F6" w:rsidRPr="008F15AD" w:rsidRDefault="001617F6" w:rsidP="001617F6">
      <w:pPr>
        <w:pStyle w:val="Heading3"/>
        <w:rPr>
          <w:rFonts w:ascii="Arial" w:hAnsi="Arial" w:cs="Arial"/>
          <w:i/>
          <w:iCs/>
          <w:color w:val="auto"/>
        </w:rPr>
      </w:pPr>
      <w:bookmarkStart w:id="11" w:name="_Toc57035113"/>
      <w:r w:rsidRPr="008F15AD">
        <w:rPr>
          <w:rFonts w:ascii="Arial" w:hAnsi="Arial" w:cs="Arial"/>
          <w:i/>
          <w:iCs/>
          <w:color w:val="auto"/>
        </w:rPr>
        <w:lastRenderedPageBreak/>
        <w:t>National Strategy</w:t>
      </w:r>
      <w:r w:rsidR="0097190A">
        <w:rPr>
          <w:rFonts w:ascii="Arial" w:hAnsi="Arial" w:cs="Arial"/>
          <w:i/>
          <w:iCs/>
          <w:color w:val="auto"/>
        </w:rPr>
        <w:t xml:space="preserve"> Scenario</w:t>
      </w:r>
      <w:bookmarkEnd w:id="11"/>
    </w:p>
    <w:p w14:paraId="0395513F"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125A83E1" w14:textId="56652540" w:rsidR="00397278" w:rsidRPr="00D30B8B" w:rsidRDefault="00914689" w:rsidP="001617F6">
      <w:pPr>
        <w:shd w:val="clear" w:color="auto" w:fill="FFFFFF"/>
        <w:spacing w:after="0"/>
        <w:rPr>
          <w:rFonts w:ascii="Arial" w:eastAsia="Times New Roman" w:hAnsi="Arial" w:cs="Arial"/>
          <w:color w:val="222222"/>
        </w:rPr>
      </w:pPr>
      <w:r w:rsidRPr="002E0189">
        <w:rPr>
          <w:rFonts w:ascii="Arial" w:eastAsia="Times New Roman" w:hAnsi="Arial" w:cs="Arial"/>
          <w:noProof/>
          <w:color w:val="222222"/>
        </w:rPr>
        <w:drawing>
          <wp:anchor distT="0" distB="0" distL="114300" distR="114300" simplePos="0" relativeHeight="251787264" behindDoc="1" locked="0" layoutInCell="1" allowOverlap="1" wp14:anchorId="7674A3DD" wp14:editId="117DC80D">
            <wp:simplePos x="0" y="0"/>
            <wp:positionH relativeFrom="column">
              <wp:posOffset>2867025</wp:posOffset>
            </wp:positionH>
            <wp:positionV relativeFrom="paragraph">
              <wp:posOffset>866775</wp:posOffset>
            </wp:positionV>
            <wp:extent cx="3081020" cy="1968500"/>
            <wp:effectExtent l="0" t="0" r="5080" b="12700"/>
            <wp:wrapTight wrapText="bothSides">
              <wp:wrapPolygon edited="0">
                <wp:start x="0" y="0"/>
                <wp:lineTo x="0" y="21530"/>
                <wp:lineTo x="21502" y="21530"/>
                <wp:lineTo x="21502" y="0"/>
                <wp:lineTo x="0" y="0"/>
              </wp:wrapPolygon>
            </wp:wrapTight>
            <wp:docPr id="13" name="Chart 13">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2E0189">
        <w:rPr>
          <w:rFonts w:ascii="Arial" w:eastAsia="Times New Roman" w:hAnsi="Arial" w:cs="Arial"/>
          <w:noProof/>
          <w:color w:val="222222"/>
        </w:rPr>
        <w:drawing>
          <wp:anchor distT="0" distB="0" distL="114300" distR="114300" simplePos="0" relativeHeight="251786240" behindDoc="1" locked="0" layoutInCell="1" allowOverlap="1" wp14:anchorId="0C59A417" wp14:editId="4ED80E14">
            <wp:simplePos x="0" y="0"/>
            <wp:positionH relativeFrom="column">
              <wp:posOffset>-19050</wp:posOffset>
            </wp:positionH>
            <wp:positionV relativeFrom="paragraph">
              <wp:posOffset>866775</wp:posOffset>
            </wp:positionV>
            <wp:extent cx="2886075" cy="1968500"/>
            <wp:effectExtent l="0" t="0" r="9525" b="12700"/>
            <wp:wrapTight wrapText="bothSides">
              <wp:wrapPolygon edited="0">
                <wp:start x="0" y="0"/>
                <wp:lineTo x="0" y="21530"/>
                <wp:lineTo x="21529" y="21530"/>
                <wp:lineTo x="21529" y="0"/>
                <wp:lineTo x="0" y="0"/>
              </wp:wrapPolygon>
            </wp:wrapTight>
            <wp:docPr id="10" name="Chart 10">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397278" w:rsidRPr="002E0189">
        <w:rPr>
          <w:rFonts w:ascii="Arial" w:eastAsia="Times New Roman" w:hAnsi="Arial" w:cs="Arial"/>
          <w:color w:val="222222"/>
        </w:rPr>
        <w:t>T</w:t>
      </w:r>
      <w:r w:rsidR="00397278" w:rsidRPr="00D30B8B">
        <w:rPr>
          <w:rFonts w:ascii="Arial" w:eastAsia="Times New Roman" w:hAnsi="Arial" w:cs="Arial"/>
          <w:color w:val="222222"/>
        </w:rPr>
        <w:t>he National Strategy</w:t>
      </w:r>
      <w:r w:rsidR="00397278">
        <w:rPr>
          <w:rFonts w:ascii="Arial" w:eastAsia="Times New Roman" w:hAnsi="Arial" w:cs="Arial"/>
          <w:color w:val="222222"/>
        </w:rPr>
        <w:t>, as defined in the NMSF IV and HSHSP IV,</w:t>
      </w:r>
      <w:r w:rsidR="00397278" w:rsidRPr="00D30B8B">
        <w:rPr>
          <w:rFonts w:ascii="Arial" w:eastAsia="Times New Roman" w:hAnsi="Arial" w:cs="Arial"/>
          <w:color w:val="222222"/>
        </w:rPr>
        <w:t xml:space="preserve"> would nearly achieve Fast Track goals</w:t>
      </w:r>
      <w:r w:rsidR="00397278">
        <w:rPr>
          <w:rFonts w:ascii="Arial" w:eastAsia="Times New Roman" w:hAnsi="Arial" w:cs="Arial"/>
          <w:color w:val="222222"/>
        </w:rPr>
        <w:t xml:space="preserve"> with</w:t>
      </w:r>
      <w:r w:rsidR="00397278" w:rsidRPr="00D30B8B">
        <w:rPr>
          <w:rFonts w:ascii="Arial" w:eastAsia="Times New Roman" w:hAnsi="Arial" w:cs="Arial"/>
          <w:color w:val="222222"/>
        </w:rPr>
        <w:t xml:space="preserve"> 85% reduction in new infections and 83% reduction in AIDS deaths </w:t>
      </w:r>
      <w:r w:rsidR="00397278">
        <w:rPr>
          <w:rFonts w:ascii="Arial" w:eastAsia="Times New Roman" w:hAnsi="Arial" w:cs="Arial"/>
          <w:color w:val="222222"/>
        </w:rPr>
        <w:t xml:space="preserve">by 2030, versus the </w:t>
      </w:r>
      <w:r w:rsidR="00397278" w:rsidRPr="00D30B8B">
        <w:rPr>
          <w:rFonts w:ascii="Arial" w:eastAsia="Times New Roman" w:hAnsi="Arial" w:cs="Arial"/>
          <w:color w:val="222222"/>
        </w:rPr>
        <w:t>2010</w:t>
      </w:r>
      <w:r w:rsidR="00397278">
        <w:rPr>
          <w:rFonts w:ascii="Arial" w:eastAsia="Times New Roman" w:hAnsi="Arial" w:cs="Arial"/>
          <w:color w:val="222222"/>
        </w:rPr>
        <w:t xml:space="preserve"> baseline</w:t>
      </w:r>
      <w:r w:rsidR="00397278" w:rsidRPr="00D30B8B">
        <w:rPr>
          <w:rFonts w:ascii="Arial" w:eastAsia="Times New Roman" w:hAnsi="Arial" w:cs="Arial"/>
          <w:color w:val="222222"/>
        </w:rPr>
        <w:t xml:space="preserve">. The </w:t>
      </w:r>
      <w:r w:rsidR="00E323E7">
        <w:rPr>
          <w:rFonts w:ascii="Arial" w:eastAsia="Times New Roman" w:hAnsi="Arial" w:cs="Arial"/>
          <w:color w:val="222222"/>
        </w:rPr>
        <w:t>CC</w:t>
      </w:r>
      <w:r w:rsidR="00397278" w:rsidRPr="00D30B8B">
        <w:rPr>
          <w:rFonts w:ascii="Arial" w:eastAsia="Times New Roman" w:hAnsi="Arial" w:cs="Arial"/>
          <w:color w:val="222222"/>
        </w:rPr>
        <w:t xml:space="preserve"> would lead to 255,000 fewer infections and 188,000 fewer AIDS-deaths from 2019-2030 compared to the </w:t>
      </w:r>
      <w:r w:rsidR="00E323E7">
        <w:rPr>
          <w:rFonts w:ascii="Arial" w:eastAsia="Times New Roman" w:hAnsi="Arial" w:cs="Arial"/>
          <w:color w:val="222222"/>
        </w:rPr>
        <w:t>CC</w:t>
      </w:r>
      <w:r w:rsidR="00397278" w:rsidRPr="00D30B8B">
        <w:rPr>
          <w:rFonts w:ascii="Arial" w:eastAsia="Times New Roman" w:hAnsi="Arial" w:cs="Arial"/>
          <w:color w:val="222222"/>
        </w:rPr>
        <w:t>. In 2030, the NS would see 30,000 fewer infections</w:t>
      </w:r>
      <w:r w:rsidR="00397278">
        <w:rPr>
          <w:rFonts w:ascii="Arial" w:eastAsia="Times New Roman" w:hAnsi="Arial" w:cs="Arial"/>
          <w:color w:val="222222"/>
        </w:rPr>
        <w:t xml:space="preserve"> (</w:t>
      </w:r>
      <w:r w:rsidR="00397278" w:rsidRPr="002E0189">
        <w:rPr>
          <w:rFonts w:ascii="Arial" w:eastAsia="Times New Roman" w:hAnsi="Arial" w:cs="Arial"/>
          <w:i/>
          <w:iCs/>
          <w:color w:val="222222"/>
        </w:rPr>
        <w:t>Figure 0-</w:t>
      </w:r>
      <w:r w:rsidR="00F401A3" w:rsidRPr="002E0189">
        <w:rPr>
          <w:rFonts w:ascii="Arial" w:eastAsia="Times New Roman" w:hAnsi="Arial" w:cs="Arial"/>
          <w:i/>
          <w:iCs/>
          <w:color w:val="222222"/>
        </w:rPr>
        <w:t>2</w:t>
      </w:r>
      <w:r w:rsidR="00397278">
        <w:rPr>
          <w:rFonts w:ascii="Arial" w:eastAsia="Times New Roman" w:hAnsi="Arial" w:cs="Arial"/>
          <w:color w:val="222222"/>
        </w:rPr>
        <w:t>)</w:t>
      </w:r>
      <w:r w:rsidR="00397278" w:rsidRPr="00D30B8B">
        <w:rPr>
          <w:rFonts w:ascii="Arial" w:eastAsia="Times New Roman" w:hAnsi="Arial" w:cs="Arial"/>
          <w:color w:val="222222"/>
        </w:rPr>
        <w:t xml:space="preserve"> and 35,000 fewer AIDS-related deaths </w:t>
      </w:r>
      <w:r w:rsidR="00397278">
        <w:rPr>
          <w:rFonts w:ascii="Arial" w:eastAsia="Times New Roman" w:hAnsi="Arial" w:cs="Arial"/>
          <w:color w:val="222222"/>
        </w:rPr>
        <w:t xml:space="preserve">in comparison to the </w:t>
      </w:r>
      <w:r w:rsidR="00E323E7">
        <w:rPr>
          <w:rFonts w:ascii="Arial" w:eastAsia="Times New Roman" w:hAnsi="Arial" w:cs="Arial"/>
          <w:color w:val="222222"/>
        </w:rPr>
        <w:t>CC</w:t>
      </w:r>
      <w:r w:rsidR="00397278">
        <w:rPr>
          <w:rFonts w:ascii="Arial" w:eastAsia="Times New Roman" w:hAnsi="Arial" w:cs="Arial"/>
          <w:color w:val="222222"/>
        </w:rPr>
        <w:t xml:space="preserve"> (</w:t>
      </w:r>
      <w:r w:rsidR="00397278" w:rsidRPr="002E0189">
        <w:rPr>
          <w:rFonts w:ascii="Arial" w:eastAsia="Times New Roman" w:hAnsi="Arial" w:cs="Arial"/>
          <w:i/>
          <w:iCs/>
          <w:color w:val="222222"/>
        </w:rPr>
        <w:t>Figure 0-</w:t>
      </w:r>
      <w:r w:rsidR="00F401A3" w:rsidRPr="002E0189">
        <w:rPr>
          <w:rFonts w:ascii="Arial" w:eastAsia="Times New Roman" w:hAnsi="Arial" w:cs="Arial"/>
          <w:i/>
          <w:iCs/>
          <w:color w:val="222222"/>
        </w:rPr>
        <w:t>3</w:t>
      </w:r>
      <w:r w:rsidR="00397278">
        <w:rPr>
          <w:rFonts w:ascii="Arial" w:eastAsia="Times New Roman" w:hAnsi="Arial" w:cs="Arial"/>
          <w:color w:val="222222"/>
        </w:rPr>
        <w:t>).</w:t>
      </w:r>
      <w:r w:rsidR="00397278" w:rsidRPr="00D30B8B">
        <w:rPr>
          <w:rFonts w:ascii="Arial" w:eastAsia="Times New Roman" w:hAnsi="Arial" w:cs="Arial"/>
          <w:color w:val="222222"/>
        </w:rPr>
        <w:t xml:space="preserve"> </w:t>
      </w:r>
    </w:p>
    <w:p w14:paraId="4F5C0A07" w14:textId="7BFC7FEB" w:rsidR="001617F6" w:rsidRDefault="001617F6" w:rsidP="001617F6">
      <w:pPr>
        <w:shd w:val="clear" w:color="auto" w:fill="FFFFFF"/>
        <w:spacing w:after="0"/>
        <w:rPr>
          <w:rFonts w:ascii="Arial" w:hAnsi="Arial" w:cs="Arial"/>
          <w:color w:val="222222"/>
        </w:rPr>
      </w:pPr>
    </w:p>
    <w:p w14:paraId="77111F80" w14:textId="0152FC8B" w:rsidR="001617F6" w:rsidRDefault="001617F6" w:rsidP="001617F6">
      <w:pPr>
        <w:shd w:val="clear" w:color="auto" w:fill="FFFFFF"/>
        <w:spacing w:after="0"/>
        <w:rPr>
          <w:rFonts w:ascii="Arial" w:hAnsi="Arial" w:cs="Arial"/>
          <w:color w:val="222222"/>
        </w:rPr>
      </w:pPr>
      <w:r>
        <w:rPr>
          <w:rFonts w:ascii="Arial" w:hAnsi="Arial" w:cs="Arial"/>
          <w:color w:val="222222"/>
        </w:rPr>
        <w:t xml:space="preserve">However, the </w:t>
      </w:r>
      <w:r w:rsidRPr="002F4D86">
        <w:rPr>
          <w:rFonts w:ascii="Arial" w:hAnsi="Arial" w:cs="Arial"/>
          <w:color w:val="222222"/>
        </w:rPr>
        <w:t>cumulative cost of the NS would be USD 8.1 B from 2019 to 2030</w:t>
      </w:r>
      <w:r>
        <w:rPr>
          <w:rFonts w:ascii="Arial" w:hAnsi="Arial" w:cs="Arial"/>
          <w:color w:val="222222"/>
        </w:rPr>
        <w:t xml:space="preserve">, 40% higher than the cost of </w:t>
      </w:r>
      <w:r w:rsidR="003476A4">
        <w:rPr>
          <w:rFonts w:ascii="Arial" w:hAnsi="Arial" w:cs="Arial"/>
          <w:color w:val="222222"/>
        </w:rPr>
        <w:t>Constant Coverage</w:t>
      </w:r>
      <w:r w:rsidRPr="002F4D86">
        <w:rPr>
          <w:rFonts w:ascii="Arial" w:hAnsi="Arial" w:cs="Arial"/>
          <w:color w:val="222222"/>
        </w:rPr>
        <w:t>. By 2030, the</w:t>
      </w:r>
      <w:r>
        <w:rPr>
          <w:rFonts w:ascii="Arial" w:hAnsi="Arial" w:cs="Arial"/>
          <w:color w:val="222222"/>
        </w:rPr>
        <w:t xml:space="preserve"> annual</w:t>
      </w:r>
      <w:r w:rsidRPr="002F4D86">
        <w:rPr>
          <w:rFonts w:ascii="Arial" w:hAnsi="Arial" w:cs="Arial"/>
          <w:color w:val="222222"/>
        </w:rPr>
        <w:t xml:space="preserve"> resource needs of the HIV program would reach USD 839 M, almost </w:t>
      </w:r>
      <w:r>
        <w:rPr>
          <w:rFonts w:ascii="Arial" w:hAnsi="Arial" w:cs="Arial"/>
          <w:color w:val="222222"/>
        </w:rPr>
        <w:t xml:space="preserve">twice </w:t>
      </w:r>
      <w:r w:rsidRPr="002F4D86">
        <w:rPr>
          <w:rFonts w:ascii="Arial" w:hAnsi="Arial" w:cs="Arial"/>
          <w:color w:val="222222"/>
        </w:rPr>
        <w:t>current spending</w:t>
      </w:r>
      <w:r w:rsidR="00EC57EF">
        <w:rPr>
          <w:rFonts w:ascii="Arial" w:hAnsi="Arial" w:cs="Arial"/>
          <w:color w:val="222222"/>
        </w:rPr>
        <w:t xml:space="preserve"> </w:t>
      </w:r>
      <w:r w:rsidR="00EC57EF" w:rsidRPr="00EC57EF">
        <w:rPr>
          <w:rFonts w:ascii="Arial" w:hAnsi="Arial" w:cs="Arial"/>
          <w:i/>
          <w:iCs/>
          <w:color w:val="222222"/>
        </w:rPr>
        <w:t>(Figure</w:t>
      </w:r>
      <w:r w:rsidR="00EC57EF">
        <w:rPr>
          <w:rFonts w:ascii="Arial" w:hAnsi="Arial" w:cs="Arial"/>
          <w:i/>
          <w:iCs/>
          <w:color w:val="222222"/>
        </w:rPr>
        <w:t xml:space="preserve"> </w:t>
      </w:r>
      <w:r w:rsidR="00EC57EF" w:rsidRPr="00EC57EF">
        <w:rPr>
          <w:rFonts w:ascii="Arial" w:hAnsi="Arial" w:cs="Arial"/>
          <w:i/>
          <w:iCs/>
          <w:color w:val="222222"/>
        </w:rPr>
        <w:t>0-</w:t>
      </w:r>
      <w:r w:rsidR="00F401A3">
        <w:rPr>
          <w:rFonts w:ascii="Arial" w:hAnsi="Arial" w:cs="Arial"/>
          <w:i/>
          <w:iCs/>
          <w:color w:val="222222"/>
        </w:rPr>
        <w:t>4</w:t>
      </w:r>
      <w:r w:rsidR="00EC57EF">
        <w:rPr>
          <w:rFonts w:ascii="Arial" w:hAnsi="Arial" w:cs="Arial"/>
          <w:color w:val="222222"/>
        </w:rPr>
        <w:t>)</w:t>
      </w:r>
      <w:r w:rsidRPr="00D30B8B">
        <w:rPr>
          <w:rFonts w:ascii="Arial" w:hAnsi="Arial" w:cs="Arial"/>
          <w:color w:val="222222"/>
        </w:rPr>
        <w:t xml:space="preserve">. </w:t>
      </w:r>
      <w:r w:rsidRPr="002F4D86">
        <w:rPr>
          <w:rFonts w:ascii="Arial" w:hAnsi="Arial" w:cs="Arial"/>
          <w:color w:val="222222"/>
        </w:rPr>
        <w:t xml:space="preserve">The funding gap between the </w:t>
      </w:r>
      <w:r w:rsidR="003476A4">
        <w:rPr>
          <w:rFonts w:ascii="Arial" w:hAnsi="Arial" w:cs="Arial"/>
          <w:color w:val="222222"/>
        </w:rPr>
        <w:t>CC</w:t>
      </w:r>
      <w:r w:rsidRPr="002F4D86">
        <w:rPr>
          <w:rFonts w:ascii="Arial" w:hAnsi="Arial" w:cs="Arial"/>
          <w:color w:val="222222"/>
        </w:rPr>
        <w:t xml:space="preserve"> and NS would increase from USD 48 M in 2019 to 339 M in 2030</w:t>
      </w:r>
      <w:r w:rsidR="008921BB">
        <w:rPr>
          <w:rFonts w:ascii="Arial" w:hAnsi="Arial" w:cs="Arial"/>
          <w:color w:val="222222"/>
        </w:rPr>
        <w:t>.</w:t>
      </w:r>
    </w:p>
    <w:p w14:paraId="09889BC2" w14:textId="58CC26A2" w:rsidR="001617F6" w:rsidRDefault="001617F6" w:rsidP="001617F6">
      <w:pPr>
        <w:shd w:val="clear" w:color="auto" w:fill="FFFFFF"/>
        <w:spacing w:after="0"/>
        <w:rPr>
          <w:rFonts w:ascii="Arial" w:hAnsi="Arial" w:cs="Arial"/>
          <w:color w:val="222222"/>
        </w:rPr>
      </w:pPr>
    </w:p>
    <w:p w14:paraId="214A7A09" w14:textId="78D554A4" w:rsidR="00EC57EF" w:rsidRPr="00EC57EF" w:rsidRDefault="001617F6" w:rsidP="00EC57EF">
      <w:pPr>
        <w:shd w:val="clear" w:color="auto" w:fill="FFFFFF"/>
        <w:spacing w:after="0"/>
        <w:rPr>
          <w:rFonts w:ascii="Arial" w:hAnsi="Arial" w:cs="Arial"/>
          <w:i/>
          <w:iCs/>
          <w:color w:val="222222"/>
        </w:rPr>
      </w:pPr>
      <w:r w:rsidRPr="00A178D1">
        <w:rPr>
          <w:rFonts w:ascii="Arial" w:hAnsi="Arial" w:cs="Arial"/>
          <w:i/>
          <w:iCs/>
          <w:color w:val="222222"/>
          <w:sz w:val="18"/>
          <w:szCs w:val="18"/>
        </w:rPr>
        <w:t>Figure 0-</w:t>
      </w:r>
      <w:r w:rsidR="000B2682" w:rsidRPr="00A178D1">
        <w:rPr>
          <w:rFonts w:ascii="Arial" w:hAnsi="Arial" w:cs="Arial"/>
          <w:i/>
          <w:iCs/>
          <w:color w:val="222222"/>
          <w:sz w:val="18"/>
          <w:szCs w:val="18"/>
        </w:rPr>
        <w:t>4</w:t>
      </w:r>
      <w:r w:rsidRPr="00A178D1">
        <w:rPr>
          <w:rFonts w:ascii="Arial" w:hAnsi="Arial" w:cs="Arial"/>
          <w:i/>
          <w:iCs/>
          <w:color w:val="222222"/>
          <w:sz w:val="18"/>
          <w:szCs w:val="18"/>
        </w:rPr>
        <w:t xml:space="preserve">. </w:t>
      </w:r>
      <w:r w:rsidR="00EC57EF" w:rsidRPr="00A178D1">
        <w:rPr>
          <w:rFonts w:ascii="Arial" w:hAnsi="Arial" w:cs="Arial"/>
          <w:i/>
          <w:sz w:val="18"/>
          <w:szCs w:val="18"/>
        </w:rPr>
        <w:t xml:space="preserve">Cumulative and 2030 resource needs of </w:t>
      </w:r>
      <w:r w:rsidR="003476A4">
        <w:rPr>
          <w:rFonts w:ascii="Arial" w:hAnsi="Arial" w:cs="Arial"/>
          <w:i/>
          <w:sz w:val="18"/>
          <w:szCs w:val="18"/>
        </w:rPr>
        <w:t>CC</w:t>
      </w:r>
      <w:r w:rsidR="00EC57EF" w:rsidRPr="00A178D1">
        <w:rPr>
          <w:rFonts w:ascii="Arial" w:hAnsi="Arial" w:cs="Arial"/>
          <w:i/>
          <w:sz w:val="18"/>
          <w:szCs w:val="18"/>
        </w:rPr>
        <w:t xml:space="preserve"> and NS</w:t>
      </w:r>
    </w:p>
    <w:tbl>
      <w:tblPr>
        <w:tblStyle w:val="TableGrid"/>
        <w:tblW w:w="0" w:type="auto"/>
        <w:tblLook w:val="04A0" w:firstRow="1" w:lastRow="0" w:firstColumn="1" w:lastColumn="0" w:noHBand="0" w:noVBand="1"/>
      </w:tblPr>
      <w:tblGrid>
        <w:gridCol w:w="4585"/>
        <w:gridCol w:w="2160"/>
        <w:gridCol w:w="1817"/>
      </w:tblGrid>
      <w:tr w:rsidR="00EC57EF" w:rsidRPr="00303177" w14:paraId="3B06232D" w14:textId="77777777" w:rsidTr="002C464A">
        <w:trPr>
          <w:trHeight w:val="205"/>
        </w:trPr>
        <w:tc>
          <w:tcPr>
            <w:tcW w:w="4585" w:type="dxa"/>
            <w:shd w:val="clear" w:color="auto" w:fill="C00000"/>
            <w:vAlign w:val="center"/>
          </w:tcPr>
          <w:p w14:paraId="0A699C28" w14:textId="77777777" w:rsidR="00EC57EF" w:rsidRPr="00303177" w:rsidRDefault="00EC57EF" w:rsidP="002C464A">
            <w:pPr>
              <w:rPr>
                <w:rFonts w:ascii="Arial" w:hAnsi="Arial" w:cs="Arial"/>
                <w:b/>
                <w:i/>
                <w:sz w:val="18"/>
              </w:rPr>
            </w:pPr>
          </w:p>
        </w:tc>
        <w:tc>
          <w:tcPr>
            <w:tcW w:w="2160" w:type="dxa"/>
            <w:shd w:val="clear" w:color="auto" w:fill="C00000"/>
            <w:vAlign w:val="center"/>
          </w:tcPr>
          <w:p w14:paraId="10987371" w14:textId="7A8F801E" w:rsidR="00EC57EF" w:rsidRPr="00444084" w:rsidRDefault="00EC57EF" w:rsidP="002C464A">
            <w:pPr>
              <w:tabs>
                <w:tab w:val="left" w:pos="696"/>
              </w:tabs>
              <w:rPr>
                <w:rFonts w:ascii="Arial" w:hAnsi="Arial" w:cs="Arial"/>
                <w:b/>
                <w:sz w:val="18"/>
              </w:rPr>
            </w:pPr>
            <w:r w:rsidRPr="00444084">
              <w:rPr>
                <w:rFonts w:ascii="Arial" w:hAnsi="Arial" w:cs="Arial"/>
                <w:b/>
                <w:sz w:val="18"/>
              </w:rPr>
              <w:tab/>
            </w:r>
            <w:r w:rsidR="003476A4">
              <w:rPr>
                <w:rFonts w:ascii="Arial" w:hAnsi="Arial" w:cs="Arial"/>
                <w:b/>
                <w:sz w:val="18"/>
              </w:rPr>
              <w:t>CC</w:t>
            </w:r>
          </w:p>
        </w:tc>
        <w:tc>
          <w:tcPr>
            <w:tcW w:w="1817" w:type="dxa"/>
            <w:shd w:val="clear" w:color="auto" w:fill="C00000"/>
            <w:vAlign w:val="center"/>
          </w:tcPr>
          <w:p w14:paraId="43915F69" w14:textId="77777777" w:rsidR="00EC57EF" w:rsidRPr="00444084" w:rsidRDefault="00EC57EF" w:rsidP="002C464A">
            <w:pPr>
              <w:rPr>
                <w:rFonts w:ascii="Arial" w:hAnsi="Arial" w:cs="Arial"/>
                <w:b/>
                <w:sz w:val="18"/>
              </w:rPr>
            </w:pPr>
            <w:r w:rsidRPr="00444084">
              <w:rPr>
                <w:rFonts w:ascii="Arial" w:hAnsi="Arial" w:cs="Arial"/>
                <w:b/>
                <w:sz w:val="18"/>
              </w:rPr>
              <w:t>NS</w:t>
            </w:r>
          </w:p>
        </w:tc>
      </w:tr>
      <w:tr w:rsidR="00EC57EF" w:rsidRPr="00303177" w14:paraId="0751627D" w14:textId="77777777" w:rsidTr="002C464A">
        <w:trPr>
          <w:trHeight w:val="205"/>
        </w:trPr>
        <w:tc>
          <w:tcPr>
            <w:tcW w:w="4585" w:type="dxa"/>
            <w:vAlign w:val="center"/>
          </w:tcPr>
          <w:p w14:paraId="75803BA1" w14:textId="77777777" w:rsidR="00EC57EF" w:rsidRPr="00303177" w:rsidRDefault="00EC57EF" w:rsidP="002C464A">
            <w:pPr>
              <w:rPr>
                <w:rFonts w:ascii="Arial" w:hAnsi="Arial" w:cs="Arial"/>
                <w:sz w:val="18"/>
              </w:rPr>
            </w:pPr>
            <w:r w:rsidRPr="00303177">
              <w:rPr>
                <w:rFonts w:ascii="Arial" w:hAnsi="Arial" w:cs="Arial"/>
                <w:sz w:val="18"/>
              </w:rPr>
              <w:t xml:space="preserve">Cumulative </w:t>
            </w:r>
            <w:r>
              <w:rPr>
                <w:rFonts w:ascii="Arial" w:hAnsi="Arial" w:cs="Arial"/>
                <w:sz w:val="18"/>
              </w:rPr>
              <w:t xml:space="preserve">resource needs </w:t>
            </w:r>
            <w:r w:rsidRPr="00303177">
              <w:rPr>
                <w:rFonts w:ascii="Arial" w:hAnsi="Arial" w:cs="Arial"/>
                <w:sz w:val="18"/>
              </w:rPr>
              <w:t>2019-2030</w:t>
            </w:r>
            <w:r>
              <w:rPr>
                <w:rFonts w:ascii="Arial" w:hAnsi="Arial" w:cs="Arial"/>
                <w:sz w:val="18"/>
              </w:rPr>
              <w:t xml:space="preserve"> (USD M)</w:t>
            </w:r>
          </w:p>
        </w:tc>
        <w:tc>
          <w:tcPr>
            <w:tcW w:w="2160" w:type="dxa"/>
            <w:vAlign w:val="center"/>
          </w:tcPr>
          <w:p w14:paraId="537C77DD" w14:textId="77777777" w:rsidR="00EC57EF" w:rsidRPr="00303177" w:rsidRDefault="00EC57EF" w:rsidP="002C464A">
            <w:pPr>
              <w:rPr>
                <w:rFonts w:ascii="Arial" w:hAnsi="Arial" w:cs="Arial"/>
                <w:sz w:val="18"/>
              </w:rPr>
            </w:pPr>
            <w:r w:rsidRPr="00303177">
              <w:rPr>
                <w:rFonts w:ascii="Arial" w:hAnsi="Arial" w:cs="Arial"/>
                <w:sz w:val="18"/>
              </w:rPr>
              <w:t>5,783</w:t>
            </w:r>
          </w:p>
        </w:tc>
        <w:tc>
          <w:tcPr>
            <w:tcW w:w="1817" w:type="dxa"/>
            <w:vAlign w:val="center"/>
          </w:tcPr>
          <w:p w14:paraId="690F342C" w14:textId="77777777" w:rsidR="00EC57EF" w:rsidRPr="00303177" w:rsidRDefault="00EC57EF" w:rsidP="002C464A">
            <w:pPr>
              <w:rPr>
                <w:rFonts w:ascii="Arial" w:hAnsi="Arial" w:cs="Arial"/>
                <w:sz w:val="18"/>
              </w:rPr>
            </w:pPr>
            <w:r w:rsidRPr="00303177">
              <w:rPr>
                <w:rFonts w:ascii="Arial" w:hAnsi="Arial" w:cs="Arial"/>
                <w:sz w:val="18"/>
              </w:rPr>
              <w:t>8,097</w:t>
            </w:r>
          </w:p>
        </w:tc>
      </w:tr>
      <w:tr w:rsidR="00EC57EF" w:rsidRPr="00303177" w14:paraId="1F517252" w14:textId="77777777" w:rsidTr="002C464A">
        <w:trPr>
          <w:trHeight w:val="205"/>
        </w:trPr>
        <w:tc>
          <w:tcPr>
            <w:tcW w:w="4585" w:type="dxa"/>
            <w:vAlign w:val="center"/>
          </w:tcPr>
          <w:p w14:paraId="583C1B78" w14:textId="77777777" w:rsidR="00EC57EF" w:rsidRPr="00303177" w:rsidRDefault="00EC57EF" w:rsidP="002C464A">
            <w:pPr>
              <w:rPr>
                <w:rFonts w:ascii="Arial" w:hAnsi="Arial" w:cs="Arial"/>
                <w:sz w:val="18"/>
              </w:rPr>
            </w:pPr>
            <w:r>
              <w:rPr>
                <w:rFonts w:ascii="Arial" w:hAnsi="Arial" w:cs="Arial"/>
                <w:sz w:val="18"/>
              </w:rPr>
              <w:t>Resource needs</w:t>
            </w:r>
            <w:r w:rsidRPr="00303177">
              <w:rPr>
                <w:rFonts w:ascii="Arial" w:hAnsi="Arial" w:cs="Arial"/>
                <w:sz w:val="18"/>
              </w:rPr>
              <w:t xml:space="preserve"> in 2030</w:t>
            </w:r>
            <w:r>
              <w:rPr>
                <w:rFonts w:ascii="Arial" w:hAnsi="Arial" w:cs="Arial"/>
                <w:sz w:val="18"/>
              </w:rPr>
              <w:t xml:space="preserve"> (USD M)</w:t>
            </w:r>
          </w:p>
        </w:tc>
        <w:tc>
          <w:tcPr>
            <w:tcW w:w="2160" w:type="dxa"/>
            <w:vAlign w:val="center"/>
          </w:tcPr>
          <w:p w14:paraId="14F69E11" w14:textId="77777777" w:rsidR="00EC57EF" w:rsidRPr="00303177" w:rsidRDefault="00EC57EF" w:rsidP="002C464A">
            <w:pPr>
              <w:rPr>
                <w:rFonts w:ascii="Arial" w:hAnsi="Arial" w:cs="Arial"/>
                <w:sz w:val="18"/>
              </w:rPr>
            </w:pPr>
            <w:r w:rsidRPr="00303177">
              <w:rPr>
                <w:rFonts w:ascii="Arial" w:hAnsi="Arial" w:cs="Arial"/>
                <w:sz w:val="18"/>
              </w:rPr>
              <w:t>500</w:t>
            </w:r>
          </w:p>
        </w:tc>
        <w:tc>
          <w:tcPr>
            <w:tcW w:w="1817" w:type="dxa"/>
            <w:vAlign w:val="center"/>
          </w:tcPr>
          <w:p w14:paraId="541AB2FD" w14:textId="77777777" w:rsidR="00EC57EF" w:rsidRPr="00303177" w:rsidRDefault="00EC57EF" w:rsidP="002C464A">
            <w:pPr>
              <w:rPr>
                <w:rFonts w:ascii="Arial" w:hAnsi="Arial" w:cs="Arial"/>
                <w:sz w:val="18"/>
              </w:rPr>
            </w:pPr>
            <w:r w:rsidRPr="00303177">
              <w:rPr>
                <w:rFonts w:ascii="Arial" w:hAnsi="Arial" w:cs="Arial"/>
                <w:sz w:val="18"/>
              </w:rPr>
              <w:t>839</w:t>
            </w:r>
          </w:p>
        </w:tc>
      </w:tr>
    </w:tbl>
    <w:p w14:paraId="5822E393" w14:textId="5F155A82" w:rsidR="00397278" w:rsidRPr="00D30B8B" w:rsidRDefault="00397278" w:rsidP="00914689">
      <w:pPr>
        <w:shd w:val="clear" w:color="auto" w:fill="FFFFFF"/>
        <w:spacing w:after="0"/>
        <w:rPr>
          <w:rFonts w:ascii="Arial" w:hAnsi="Arial" w:cs="Arial"/>
          <w:color w:val="222222"/>
        </w:rPr>
      </w:pPr>
    </w:p>
    <w:p w14:paraId="4D8155EB" w14:textId="77777777" w:rsidR="00397278" w:rsidRPr="009A0BDC" w:rsidRDefault="00397278" w:rsidP="00914689">
      <w:pPr>
        <w:spacing w:after="0"/>
        <w:rPr>
          <w:rFonts w:ascii="Arial" w:hAnsi="Arial" w:cs="Arial"/>
          <w:color w:val="000000" w:themeColor="text1"/>
        </w:rPr>
      </w:pPr>
      <w:r>
        <w:rPr>
          <w:rFonts w:ascii="Arial" w:hAnsi="Arial" w:cs="Arial"/>
          <w:color w:val="000000" w:themeColor="text1"/>
        </w:rPr>
        <w:t xml:space="preserve">The impact that would could be achieved by implementing the National Strategy would prevent hundreds of thousands of new infections and deaths -- if it could be financed. But the resource needs for the National Strategy are very high and may not be feasible, given Tanzania’s HIV financing outlook. </w:t>
      </w:r>
    </w:p>
    <w:p w14:paraId="1439D641" w14:textId="77777777" w:rsidR="006C0CC0" w:rsidRDefault="006C0CC0" w:rsidP="00914689">
      <w:pPr>
        <w:pStyle w:val="Heading3"/>
        <w:rPr>
          <w:rFonts w:ascii="Arial" w:hAnsi="Arial" w:cs="Arial"/>
          <w:i/>
          <w:iCs/>
          <w:color w:val="auto"/>
        </w:rPr>
      </w:pPr>
    </w:p>
    <w:p w14:paraId="7FDD5C4E" w14:textId="7814D9B0" w:rsidR="001617F6" w:rsidRPr="006C0CC0" w:rsidRDefault="00397278" w:rsidP="00914689">
      <w:pPr>
        <w:pStyle w:val="Heading3"/>
        <w:rPr>
          <w:rFonts w:ascii="Arial" w:hAnsi="Arial" w:cs="Arial"/>
          <w:i/>
          <w:iCs/>
          <w:color w:val="auto"/>
        </w:rPr>
      </w:pPr>
      <w:bookmarkStart w:id="12" w:name="_Toc57035114"/>
      <w:r w:rsidRPr="006C0CC0">
        <w:rPr>
          <w:rFonts w:ascii="Arial" w:hAnsi="Arial" w:cs="Arial"/>
          <w:i/>
          <w:iCs/>
          <w:color w:val="auto"/>
        </w:rPr>
        <w:t xml:space="preserve">Optimization </w:t>
      </w:r>
      <w:r w:rsidR="001617F6" w:rsidRPr="006C0CC0">
        <w:rPr>
          <w:rFonts w:ascii="Arial" w:hAnsi="Arial" w:cs="Arial"/>
          <w:i/>
          <w:iCs/>
          <w:color w:val="auto"/>
        </w:rPr>
        <w:t>of</w:t>
      </w:r>
      <w:r w:rsidRPr="006C0CC0">
        <w:rPr>
          <w:rFonts w:ascii="Arial" w:hAnsi="Arial" w:cs="Arial"/>
          <w:i/>
          <w:iCs/>
          <w:color w:val="auto"/>
        </w:rPr>
        <w:t xml:space="preserve"> </w:t>
      </w:r>
      <w:r w:rsidR="003476A4">
        <w:rPr>
          <w:rFonts w:ascii="Arial" w:hAnsi="Arial" w:cs="Arial"/>
          <w:i/>
          <w:iCs/>
          <w:color w:val="auto"/>
        </w:rPr>
        <w:t>Constant Coverage</w:t>
      </w:r>
      <w:r w:rsidRPr="006C0CC0">
        <w:rPr>
          <w:rFonts w:ascii="Arial" w:hAnsi="Arial" w:cs="Arial"/>
          <w:i/>
          <w:iCs/>
          <w:color w:val="auto"/>
        </w:rPr>
        <w:t xml:space="preserve"> Funding</w:t>
      </w:r>
      <w:bookmarkEnd w:id="12"/>
    </w:p>
    <w:p w14:paraId="4125BE9B" w14:textId="77777777" w:rsidR="00914689" w:rsidRPr="00914689" w:rsidRDefault="00914689" w:rsidP="00914689">
      <w:pPr>
        <w:spacing w:after="0"/>
      </w:pPr>
    </w:p>
    <w:p w14:paraId="75C9F834" w14:textId="67AF1060" w:rsidR="00397278" w:rsidRDefault="00397278" w:rsidP="00914689">
      <w:pPr>
        <w:shd w:val="clear" w:color="auto" w:fill="FFFFFF"/>
        <w:spacing w:after="0"/>
        <w:rPr>
          <w:rFonts w:ascii="Arial" w:eastAsia="Times New Roman" w:hAnsi="Arial" w:cs="Arial"/>
          <w:color w:val="222222"/>
        </w:rPr>
      </w:pPr>
      <w:r w:rsidRPr="00D30B8B">
        <w:rPr>
          <w:rFonts w:ascii="Arial" w:eastAsia="Times New Roman" w:hAnsi="Arial" w:cs="Arial"/>
          <w:color w:val="222222"/>
        </w:rPr>
        <w:t xml:space="preserve">If </w:t>
      </w:r>
      <w:r w:rsidR="003476A4">
        <w:rPr>
          <w:rFonts w:ascii="Arial" w:eastAsia="Times New Roman" w:hAnsi="Arial" w:cs="Arial"/>
          <w:color w:val="222222"/>
        </w:rPr>
        <w:t>the</w:t>
      </w:r>
      <w:r w:rsidRPr="00D30B8B">
        <w:rPr>
          <w:rFonts w:ascii="Arial" w:eastAsia="Times New Roman" w:hAnsi="Arial" w:cs="Arial"/>
          <w:color w:val="222222"/>
        </w:rPr>
        <w:t xml:space="preserve"> funds </w:t>
      </w:r>
      <w:r w:rsidR="003476A4">
        <w:rPr>
          <w:rFonts w:ascii="Arial" w:eastAsia="Times New Roman" w:hAnsi="Arial" w:cs="Arial"/>
          <w:color w:val="222222"/>
        </w:rPr>
        <w:t xml:space="preserve">for maintaining Constant Coverage </w:t>
      </w:r>
      <w:r w:rsidRPr="00D30B8B">
        <w:rPr>
          <w:rFonts w:ascii="Arial" w:eastAsia="Times New Roman" w:hAnsi="Arial" w:cs="Arial"/>
          <w:color w:val="222222"/>
        </w:rPr>
        <w:t xml:space="preserve">were </w:t>
      </w:r>
      <w:r w:rsidR="003476A4">
        <w:rPr>
          <w:rFonts w:ascii="Arial" w:eastAsia="Times New Roman" w:hAnsi="Arial" w:cs="Arial"/>
          <w:color w:val="222222"/>
        </w:rPr>
        <w:t xml:space="preserve">further </w:t>
      </w:r>
      <w:r w:rsidRPr="00D30B8B">
        <w:rPr>
          <w:rFonts w:ascii="Arial" w:eastAsia="Times New Roman" w:hAnsi="Arial" w:cs="Arial"/>
          <w:color w:val="222222"/>
        </w:rPr>
        <w:t xml:space="preserve">optimized </w:t>
      </w:r>
      <w:r>
        <w:rPr>
          <w:rFonts w:ascii="Arial" w:eastAsia="Times New Roman" w:hAnsi="Arial" w:cs="Arial"/>
          <w:color w:val="222222"/>
        </w:rPr>
        <w:t xml:space="preserve">through </w:t>
      </w:r>
      <w:r w:rsidR="003476A4">
        <w:rPr>
          <w:rFonts w:ascii="Arial" w:eastAsia="Times New Roman" w:hAnsi="Arial" w:cs="Arial"/>
          <w:color w:val="222222"/>
        </w:rPr>
        <w:t>implementing the</w:t>
      </w:r>
      <w:r w:rsidRPr="00D30B8B">
        <w:rPr>
          <w:rFonts w:ascii="Arial" w:eastAsia="Times New Roman" w:hAnsi="Arial" w:cs="Arial"/>
          <w:color w:val="222222"/>
        </w:rPr>
        <w:t xml:space="preserve"> allocative and technical efficienc</w:t>
      </w:r>
      <w:r>
        <w:rPr>
          <w:rFonts w:ascii="Arial" w:eastAsia="Times New Roman" w:hAnsi="Arial" w:cs="Arial"/>
          <w:color w:val="222222"/>
        </w:rPr>
        <w:t>y approaches</w:t>
      </w:r>
      <w:r w:rsidR="003476A4">
        <w:rPr>
          <w:rFonts w:ascii="Arial" w:eastAsia="Times New Roman" w:hAnsi="Arial" w:cs="Arial"/>
          <w:color w:val="222222"/>
        </w:rPr>
        <w:t xml:space="preserve"> at scale</w:t>
      </w:r>
      <w:r w:rsidRPr="00D30B8B">
        <w:rPr>
          <w:rFonts w:ascii="Arial" w:eastAsia="Times New Roman" w:hAnsi="Arial" w:cs="Arial"/>
          <w:color w:val="222222"/>
        </w:rPr>
        <w:t>, O-</w:t>
      </w:r>
      <w:r w:rsidR="003476A4">
        <w:rPr>
          <w:rFonts w:ascii="Arial" w:eastAsia="Times New Roman" w:hAnsi="Arial" w:cs="Arial"/>
          <w:color w:val="222222"/>
        </w:rPr>
        <w:t>CC</w:t>
      </w:r>
      <w:r w:rsidRPr="00D30B8B">
        <w:rPr>
          <w:rFonts w:ascii="Arial" w:eastAsia="Times New Roman" w:hAnsi="Arial" w:cs="Arial"/>
          <w:color w:val="222222"/>
        </w:rPr>
        <w:t xml:space="preserve">F would </w:t>
      </w:r>
      <w:r>
        <w:rPr>
          <w:rFonts w:ascii="Arial" w:eastAsia="Times New Roman" w:hAnsi="Arial" w:cs="Arial"/>
          <w:color w:val="222222"/>
        </w:rPr>
        <w:t xml:space="preserve">help avert </w:t>
      </w:r>
      <w:r w:rsidRPr="00D30B8B">
        <w:rPr>
          <w:rFonts w:ascii="Arial" w:eastAsia="Times New Roman" w:hAnsi="Arial" w:cs="Arial"/>
          <w:color w:val="222222"/>
        </w:rPr>
        <w:t xml:space="preserve">243,000 </w:t>
      </w:r>
      <w:r>
        <w:rPr>
          <w:rFonts w:ascii="Arial" w:eastAsia="Times New Roman" w:hAnsi="Arial" w:cs="Arial"/>
          <w:color w:val="222222"/>
        </w:rPr>
        <w:t xml:space="preserve">more </w:t>
      </w:r>
      <w:r w:rsidRPr="00D30B8B">
        <w:rPr>
          <w:rFonts w:ascii="Arial" w:eastAsia="Times New Roman" w:hAnsi="Arial" w:cs="Arial"/>
          <w:color w:val="222222"/>
        </w:rPr>
        <w:t>infections and 180,000 fewer deaths</w:t>
      </w:r>
      <w:r>
        <w:rPr>
          <w:rFonts w:ascii="Arial" w:eastAsia="Times New Roman" w:hAnsi="Arial" w:cs="Arial"/>
          <w:color w:val="222222"/>
        </w:rPr>
        <w:t xml:space="preserve"> as compared with </w:t>
      </w:r>
      <w:r w:rsidR="003476A4">
        <w:rPr>
          <w:rFonts w:ascii="Arial" w:eastAsia="Times New Roman" w:hAnsi="Arial" w:cs="Arial"/>
          <w:color w:val="222222"/>
        </w:rPr>
        <w:t>Constant Coverage</w:t>
      </w:r>
      <w:r>
        <w:rPr>
          <w:rFonts w:ascii="Arial" w:eastAsia="Times New Roman" w:hAnsi="Arial" w:cs="Arial"/>
          <w:color w:val="222222"/>
        </w:rPr>
        <w:t xml:space="preserve">, thus </w:t>
      </w:r>
      <w:r w:rsidRPr="00D30B8B">
        <w:rPr>
          <w:rFonts w:ascii="Arial" w:eastAsia="Times New Roman" w:hAnsi="Arial" w:cs="Arial"/>
          <w:color w:val="222222"/>
        </w:rPr>
        <w:t>achieving the same impact</w:t>
      </w:r>
      <w:r>
        <w:rPr>
          <w:rFonts w:ascii="Arial" w:eastAsia="Times New Roman" w:hAnsi="Arial" w:cs="Arial"/>
          <w:color w:val="222222"/>
        </w:rPr>
        <w:t xml:space="preserve"> as the National Strategy</w:t>
      </w:r>
      <w:r w:rsidRPr="00D30B8B">
        <w:rPr>
          <w:rFonts w:ascii="Arial" w:eastAsia="Times New Roman" w:hAnsi="Arial" w:cs="Arial"/>
          <w:color w:val="222222"/>
        </w:rPr>
        <w:t xml:space="preserve"> for USD 2.5 B less.</w:t>
      </w:r>
      <w:r>
        <w:rPr>
          <w:rFonts w:ascii="Arial" w:eastAsia="Times New Roman" w:hAnsi="Arial" w:cs="Arial"/>
          <w:color w:val="222222"/>
        </w:rPr>
        <w:t xml:space="preserve">  This shows the tremendous power of</w:t>
      </w:r>
      <w:r w:rsidR="003476A4">
        <w:rPr>
          <w:rFonts w:ascii="Arial" w:eastAsia="Times New Roman" w:hAnsi="Arial" w:cs="Arial"/>
          <w:color w:val="222222"/>
        </w:rPr>
        <w:t xml:space="preserve"> achieving</w:t>
      </w:r>
      <w:r>
        <w:rPr>
          <w:rFonts w:ascii="Arial" w:eastAsia="Times New Roman" w:hAnsi="Arial" w:cs="Arial"/>
          <w:color w:val="222222"/>
        </w:rPr>
        <w:t xml:space="preserve"> optimization</w:t>
      </w:r>
      <w:r w:rsidR="003476A4">
        <w:rPr>
          <w:rFonts w:ascii="Arial" w:eastAsia="Times New Roman" w:hAnsi="Arial" w:cs="Arial"/>
          <w:color w:val="222222"/>
        </w:rPr>
        <w:t xml:space="preserve"> at scale</w:t>
      </w:r>
      <w:r>
        <w:rPr>
          <w:rFonts w:ascii="Arial" w:eastAsia="Times New Roman" w:hAnsi="Arial" w:cs="Arial"/>
          <w:color w:val="222222"/>
        </w:rPr>
        <w:t>, if implemented</w:t>
      </w:r>
      <w:r w:rsidR="008921BB">
        <w:rPr>
          <w:rFonts w:ascii="Arial" w:eastAsia="Times New Roman" w:hAnsi="Arial" w:cs="Arial"/>
          <w:color w:val="222222"/>
        </w:rPr>
        <w:t>, and how the NS could be optimized further to reduce the price tag of its important impacts</w:t>
      </w:r>
      <w:r>
        <w:rPr>
          <w:rFonts w:ascii="Arial" w:eastAsia="Times New Roman" w:hAnsi="Arial" w:cs="Arial"/>
          <w:color w:val="222222"/>
        </w:rPr>
        <w:t xml:space="preserve"> (</w:t>
      </w:r>
      <w:r w:rsidRPr="002E0189">
        <w:rPr>
          <w:rFonts w:ascii="Arial" w:eastAsia="Times New Roman" w:hAnsi="Arial" w:cs="Arial"/>
          <w:i/>
          <w:iCs/>
          <w:color w:val="222222"/>
        </w:rPr>
        <w:t>Figure 0-</w:t>
      </w:r>
      <w:r w:rsidR="00F401A3">
        <w:rPr>
          <w:rFonts w:ascii="Arial" w:eastAsia="Times New Roman" w:hAnsi="Arial" w:cs="Arial"/>
          <w:i/>
          <w:iCs/>
          <w:color w:val="222222"/>
        </w:rPr>
        <w:t>5</w:t>
      </w:r>
      <w:r>
        <w:rPr>
          <w:rFonts w:ascii="Arial" w:eastAsia="Times New Roman" w:hAnsi="Arial" w:cs="Arial"/>
          <w:color w:val="222222"/>
        </w:rPr>
        <w:t>).</w:t>
      </w:r>
    </w:p>
    <w:p w14:paraId="1448BC91" w14:textId="77777777" w:rsidR="001617F6" w:rsidRPr="00A178D1" w:rsidRDefault="001617F6" w:rsidP="001617F6">
      <w:pPr>
        <w:shd w:val="clear" w:color="auto" w:fill="FFFFFF"/>
        <w:spacing w:after="0"/>
        <w:rPr>
          <w:rFonts w:ascii="Arial" w:eastAsia="Times New Roman" w:hAnsi="Arial" w:cs="Arial"/>
          <w:color w:val="222222"/>
          <w:sz w:val="18"/>
          <w:szCs w:val="18"/>
        </w:rPr>
      </w:pPr>
    </w:p>
    <w:p w14:paraId="16D6A9ED" w14:textId="77777777" w:rsidR="00A661EA" w:rsidRDefault="00A661EA">
      <w:pPr>
        <w:rPr>
          <w:rFonts w:ascii="Arial" w:hAnsi="Arial" w:cs="Arial"/>
          <w:i/>
          <w:iCs/>
          <w:color w:val="222222"/>
          <w:sz w:val="18"/>
          <w:szCs w:val="18"/>
        </w:rPr>
      </w:pPr>
      <w:r>
        <w:rPr>
          <w:rFonts w:ascii="Arial" w:hAnsi="Arial" w:cs="Arial"/>
          <w:i/>
          <w:iCs/>
          <w:color w:val="222222"/>
          <w:sz w:val="18"/>
          <w:szCs w:val="18"/>
        </w:rPr>
        <w:br w:type="page"/>
      </w:r>
    </w:p>
    <w:p w14:paraId="6043C8F1" w14:textId="57EC1461" w:rsidR="00397278" w:rsidRPr="00A178D1" w:rsidRDefault="00397278" w:rsidP="001617F6">
      <w:pPr>
        <w:shd w:val="clear" w:color="auto" w:fill="FFFFFF"/>
        <w:spacing w:after="0"/>
        <w:rPr>
          <w:rFonts w:ascii="Arial" w:hAnsi="Arial" w:cs="Arial"/>
          <w:i/>
          <w:iCs/>
          <w:color w:val="222222"/>
          <w:sz w:val="18"/>
          <w:szCs w:val="18"/>
        </w:rPr>
      </w:pPr>
      <w:r w:rsidRPr="00A178D1">
        <w:rPr>
          <w:rFonts w:ascii="Arial" w:hAnsi="Arial" w:cs="Arial"/>
          <w:i/>
          <w:iCs/>
          <w:color w:val="222222"/>
          <w:sz w:val="18"/>
          <w:szCs w:val="18"/>
        </w:rPr>
        <w:lastRenderedPageBreak/>
        <w:t>Figure 0-</w:t>
      </w:r>
      <w:r w:rsidR="000B2682" w:rsidRPr="00A178D1">
        <w:rPr>
          <w:rFonts w:ascii="Arial" w:hAnsi="Arial" w:cs="Arial"/>
          <w:i/>
          <w:iCs/>
          <w:color w:val="222222"/>
          <w:sz w:val="18"/>
          <w:szCs w:val="18"/>
        </w:rPr>
        <w:t>5</w:t>
      </w:r>
      <w:r w:rsidRPr="00A178D1">
        <w:rPr>
          <w:rFonts w:ascii="Arial" w:hAnsi="Arial" w:cs="Arial"/>
          <w:i/>
          <w:iCs/>
          <w:color w:val="222222"/>
          <w:sz w:val="18"/>
          <w:szCs w:val="18"/>
        </w:rPr>
        <w:t xml:space="preserve">. Comparison of new infections, AIDs-related deaths, ART coverage, and resource needs for </w:t>
      </w:r>
      <w:r w:rsidR="003476A4">
        <w:rPr>
          <w:rFonts w:ascii="Arial" w:hAnsi="Arial" w:cs="Arial"/>
          <w:i/>
          <w:iCs/>
          <w:color w:val="222222"/>
          <w:sz w:val="18"/>
          <w:szCs w:val="18"/>
        </w:rPr>
        <w:t>CC</w:t>
      </w:r>
      <w:r w:rsidRPr="00A178D1">
        <w:rPr>
          <w:rFonts w:ascii="Arial" w:hAnsi="Arial" w:cs="Arial"/>
          <w:i/>
          <w:iCs/>
          <w:color w:val="222222"/>
          <w:sz w:val="18"/>
          <w:szCs w:val="18"/>
        </w:rPr>
        <w:t>, NS, and O-</w:t>
      </w:r>
      <w:r w:rsidR="003476A4">
        <w:rPr>
          <w:rFonts w:ascii="Arial" w:hAnsi="Arial" w:cs="Arial"/>
          <w:i/>
          <w:iCs/>
          <w:color w:val="222222"/>
          <w:sz w:val="18"/>
          <w:szCs w:val="18"/>
        </w:rPr>
        <w:t>CC</w:t>
      </w:r>
      <w:r w:rsidRPr="00A178D1">
        <w:rPr>
          <w:rFonts w:ascii="Arial" w:hAnsi="Arial" w:cs="Arial"/>
          <w:i/>
          <w:iCs/>
          <w:color w:val="222222"/>
          <w:sz w:val="18"/>
          <w:szCs w:val="18"/>
        </w:rPr>
        <w:t>F scenarios</w:t>
      </w:r>
    </w:p>
    <w:tbl>
      <w:tblPr>
        <w:tblW w:w="9440" w:type="dxa"/>
        <w:tblCellMar>
          <w:left w:w="0" w:type="dxa"/>
          <w:right w:w="0" w:type="dxa"/>
        </w:tblCellMar>
        <w:tblLook w:val="04A0" w:firstRow="1" w:lastRow="0" w:firstColumn="1" w:lastColumn="0" w:noHBand="0" w:noVBand="1"/>
      </w:tblPr>
      <w:tblGrid>
        <w:gridCol w:w="3680"/>
        <w:gridCol w:w="1620"/>
        <w:gridCol w:w="2160"/>
        <w:gridCol w:w="1980"/>
      </w:tblGrid>
      <w:tr w:rsidR="00397278" w:rsidRPr="00D30B8B" w14:paraId="23234A9E" w14:textId="77777777" w:rsidTr="00A661EA">
        <w:trPr>
          <w:trHeight w:val="303"/>
        </w:trPr>
        <w:tc>
          <w:tcPr>
            <w:tcW w:w="3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380AEAD" w14:textId="77777777" w:rsidR="00397278" w:rsidRPr="00572F3E" w:rsidRDefault="00397278" w:rsidP="001617F6">
            <w:pPr>
              <w:shd w:val="clear" w:color="auto" w:fill="FFFFFF"/>
              <w:spacing w:after="0" w:line="240" w:lineRule="auto"/>
              <w:rPr>
                <w:rFonts w:ascii="Arial" w:eastAsia="Times New Roman" w:hAnsi="Arial" w:cs="Arial"/>
                <w:color w:val="FF0000"/>
              </w:rPr>
            </w:pPr>
            <w:r w:rsidRPr="00C35403">
              <w:rPr>
                <w:rFonts w:ascii="Arial" w:eastAsia="Times New Roman" w:hAnsi="Arial" w:cs="Arial"/>
                <w:color w:val="222222"/>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AB9F69F" w14:textId="4432C7ED" w:rsidR="00397278" w:rsidRPr="003476A4" w:rsidRDefault="003476A4" w:rsidP="001617F6">
            <w:pPr>
              <w:shd w:val="clear" w:color="auto" w:fill="FFFFFF"/>
              <w:spacing w:after="0" w:line="240" w:lineRule="auto"/>
              <w:rPr>
                <w:rFonts w:ascii="Arial" w:eastAsia="Times New Roman" w:hAnsi="Arial" w:cs="Arial"/>
                <w:b/>
                <w:bCs/>
                <w:color w:val="222222"/>
              </w:rPr>
            </w:pPr>
            <w:r w:rsidRPr="003476A4">
              <w:rPr>
                <w:rFonts w:ascii="Arial" w:eastAsia="Times New Roman" w:hAnsi="Arial" w:cs="Arial"/>
                <w:b/>
                <w:bCs/>
                <w:color w:val="222222"/>
              </w:rPr>
              <w:t>Constant Coverage</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B36E815" w14:textId="77777777" w:rsidR="00397278" w:rsidRPr="00C35403"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b/>
                <w:bCs/>
                <w:color w:val="222222"/>
              </w:rPr>
              <w:t xml:space="preserve">National </w:t>
            </w:r>
            <w:r w:rsidRPr="00C35403">
              <w:rPr>
                <w:rFonts w:ascii="Arial" w:eastAsia="Times New Roman" w:hAnsi="Arial" w:cs="Arial"/>
                <w:b/>
                <w:bCs/>
                <w:color w:val="222222"/>
              </w:rPr>
              <w:t>S</w:t>
            </w:r>
            <w:r>
              <w:rPr>
                <w:rFonts w:ascii="Arial" w:eastAsia="Times New Roman" w:hAnsi="Arial" w:cs="Arial"/>
                <w:b/>
                <w:bCs/>
                <w:color w:val="222222"/>
              </w:rPr>
              <w:t>trategy</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47261EB" w14:textId="00AB6C51"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O</w:t>
            </w:r>
            <w:r>
              <w:rPr>
                <w:rFonts w:ascii="Arial" w:eastAsia="Times New Roman" w:hAnsi="Arial" w:cs="Arial"/>
                <w:b/>
                <w:bCs/>
                <w:color w:val="222222"/>
              </w:rPr>
              <w:t xml:space="preserve">ptimization with </w:t>
            </w:r>
            <w:r w:rsidR="003476A4">
              <w:rPr>
                <w:rFonts w:ascii="Arial" w:eastAsia="Times New Roman" w:hAnsi="Arial" w:cs="Arial"/>
                <w:b/>
                <w:bCs/>
                <w:color w:val="222222"/>
              </w:rPr>
              <w:t>Constant Coverage</w:t>
            </w:r>
            <w:r>
              <w:rPr>
                <w:rFonts w:ascii="Arial" w:eastAsia="Times New Roman" w:hAnsi="Arial" w:cs="Arial"/>
                <w:b/>
                <w:bCs/>
                <w:color w:val="222222"/>
              </w:rPr>
              <w:t xml:space="preserve"> Funding</w:t>
            </w:r>
          </w:p>
        </w:tc>
      </w:tr>
      <w:tr w:rsidR="00397278" w:rsidRPr="00D30B8B" w14:paraId="38368113" w14:textId="77777777" w:rsidTr="00A661EA">
        <w:trPr>
          <w:trHeight w:val="168"/>
        </w:trPr>
        <w:tc>
          <w:tcPr>
            <w:tcW w:w="53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BF24580"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New infections (All adults)</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860F885"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B2AE8EB"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 </w:t>
            </w:r>
          </w:p>
        </w:tc>
      </w:tr>
      <w:tr w:rsidR="00397278" w:rsidRPr="00C35403" w14:paraId="25081598" w14:textId="77777777" w:rsidTr="00A661EA">
        <w:trPr>
          <w:trHeight w:val="168"/>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27991" w14:textId="3FA76E79"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 xml:space="preserve">Cumulative </w:t>
            </w:r>
            <w:r w:rsidR="00A661EA">
              <w:rPr>
                <w:rFonts w:ascii="Arial" w:eastAsia="Times New Roman" w:hAnsi="Arial" w:cs="Arial"/>
                <w:color w:val="222222"/>
              </w:rPr>
              <w:t xml:space="preserve">new infections </w:t>
            </w:r>
            <w:r w:rsidRPr="00C35403">
              <w:rPr>
                <w:rFonts w:ascii="Arial" w:eastAsia="Times New Roman" w:hAnsi="Arial" w:cs="Arial"/>
                <w:color w:val="222222"/>
              </w:rPr>
              <w:t>2019-2030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FFE63F9"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533,000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D4E3F6B"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278,000</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DE3BE4A"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290,000</w:t>
            </w:r>
          </w:p>
        </w:tc>
      </w:tr>
      <w:tr w:rsidR="00397278" w:rsidRPr="00C35403" w14:paraId="34E09EF8" w14:textId="77777777" w:rsidTr="00A661EA">
        <w:trPr>
          <w:trHeight w:val="261"/>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3133AC" w14:textId="15195D8B" w:rsidR="00397278" w:rsidRPr="00C35403" w:rsidRDefault="00A661EA"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Number of new infections</w:t>
            </w:r>
            <w:r w:rsidR="00397278" w:rsidRPr="00C35403">
              <w:rPr>
                <w:rFonts w:ascii="Arial" w:eastAsia="Times New Roman" w:hAnsi="Arial" w:cs="Arial"/>
                <w:color w:val="222222"/>
              </w:rPr>
              <w:t xml:space="preserve"> in 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9823F3"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44,000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BA812A6"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14,000</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9E01709"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16,000</w:t>
            </w:r>
          </w:p>
        </w:tc>
      </w:tr>
      <w:tr w:rsidR="00397278" w:rsidRPr="00C35403" w14:paraId="0E84E2E1" w14:textId="77777777" w:rsidTr="00A661EA">
        <w:trPr>
          <w:trHeight w:val="347"/>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F5CBF" w14:textId="0C078174"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Fast Track target (</w:t>
            </w:r>
            <w:r w:rsidR="00A661EA">
              <w:rPr>
                <w:rFonts w:ascii="Arial" w:eastAsia="Times New Roman" w:hAnsi="Arial" w:cs="Arial"/>
                <w:color w:val="222222"/>
              </w:rPr>
              <w:t>Percent r</w:t>
            </w:r>
            <w:r w:rsidRPr="00C35403">
              <w:rPr>
                <w:rFonts w:ascii="Arial" w:eastAsia="Times New Roman" w:hAnsi="Arial" w:cs="Arial"/>
                <w:color w:val="222222"/>
              </w:rPr>
              <w:t>eduction 2010-2030)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1D5DE42"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-55%</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4BC5FC5"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-85%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9B2E194"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-84%</w:t>
            </w:r>
          </w:p>
        </w:tc>
      </w:tr>
      <w:tr w:rsidR="00397278" w:rsidRPr="00D30B8B" w14:paraId="44870F51" w14:textId="77777777" w:rsidTr="00A661EA">
        <w:trPr>
          <w:trHeight w:val="168"/>
        </w:trPr>
        <w:tc>
          <w:tcPr>
            <w:tcW w:w="53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B008BBC"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AIDS-related deaths</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EFD7566"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C8DBC8B"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 </w:t>
            </w:r>
          </w:p>
        </w:tc>
      </w:tr>
      <w:tr w:rsidR="00397278" w:rsidRPr="00C35403" w14:paraId="1A760C6E" w14:textId="77777777" w:rsidTr="00A661EA">
        <w:trPr>
          <w:trHeight w:val="168"/>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6362B5" w14:textId="314C532B"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 xml:space="preserve">Cumulative </w:t>
            </w:r>
            <w:r w:rsidR="00A661EA">
              <w:rPr>
                <w:rFonts w:ascii="Arial" w:eastAsia="Times New Roman" w:hAnsi="Arial" w:cs="Arial"/>
                <w:color w:val="222222"/>
              </w:rPr>
              <w:t xml:space="preserve">deaths </w:t>
            </w:r>
            <w:r w:rsidRPr="00C35403">
              <w:rPr>
                <w:rFonts w:ascii="Arial" w:eastAsia="Times New Roman" w:hAnsi="Arial" w:cs="Arial"/>
                <w:color w:val="222222"/>
              </w:rPr>
              <w:t>2019-2030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BCE69C8"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408,000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8BD080F"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220,000</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6EAD83B"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220,000</w:t>
            </w:r>
          </w:p>
        </w:tc>
      </w:tr>
      <w:tr w:rsidR="00397278" w:rsidRPr="00C35403" w14:paraId="14D8F3D5" w14:textId="77777777" w:rsidTr="00A661EA">
        <w:trPr>
          <w:trHeight w:val="168"/>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C785E4" w14:textId="57249D19" w:rsidR="00397278" w:rsidRPr="00C35403" w:rsidRDefault="00A661EA"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AIDS-related deaths </w:t>
            </w:r>
            <w:r w:rsidR="00397278" w:rsidRPr="00C35403">
              <w:rPr>
                <w:rFonts w:ascii="Arial" w:eastAsia="Times New Roman" w:hAnsi="Arial" w:cs="Arial"/>
                <w:color w:val="222222"/>
              </w:rPr>
              <w:t>in 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A6862EE"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39,000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1A81BE8"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14,000</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4345C9"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14,000</w:t>
            </w:r>
          </w:p>
        </w:tc>
      </w:tr>
      <w:tr w:rsidR="00397278" w:rsidRPr="00C35403" w14:paraId="28332745" w14:textId="77777777" w:rsidTr="00A661EA">
        <w:trPr>
          <w:trHeight w:val="347"/>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0F001E" w14:textId="1A56EA2C"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Fast Track target (</w:t>
            </w:r>
            <w:r w:rsidR="00A661EA">
              <w:rPr>
                <w:rFonts w:ascii="Arial" w:eastAsia="Times New Roman" w:hAnsi="Arial" w:cs="Arial"/>
                <w:color w:val="222222"/>
              </w:rPr>
              <w:t>Percent r</w:t>
            </w:r>
            <w:r w:rsidRPr="00C35403">
              <w:rPr>
                <w:rFonts w:ascii="Arial" w:eastAsia="Times New Roman" w:hAnsi="Arial" w:cs="Arial"/>
                <w:color w:val="222222"/>
              </w:rPr>
              <w:t>eduction 2010-2030)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8456E6"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-53%</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406AF8A"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-83%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F890FE1"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-83%</w:t>
            </w:r>
          </w:p>
        </w:tc>
      </w:tr>
      <w:tr w:rsidR="00397278" w:rsidRPr="00C35403" w14:paraId="32381B5F" w14:textId="77777777" w:rsidTr="00A661EA">
        <w:trPr>
          <w:trHeight w:val="168"/>
        </w:trPr>
        <w:tc>
          <w:tcPr>
            <w:tcW w:w="53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D76578F"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Number on ART</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009EC74"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 </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7C10060"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 </w:t>
            </w:r>
          </w:p>
        </w:tc>
      </w:tr>
      <w:tr w:rsidR="00397278" w:rsidRPr="00C35403" w14:paraId="06D65AD8" w14:textId="77777777" w:rsidTr="00A661EA">
        <w:trPr>
          <w:trHeight w:val="422"/>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7EE3B4" w14:textId="0A548F4C" w:rsidR="00397278" w:rsidRPr="00C35403" w:rsidRDefault="00A661EA"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Number on ART</w:t>
            </w:r>
            <w:r w:rsidR="00397278" w:rsidRPr="00C35403">
              <w:rPr>
                <w:rFonts w:ascii="Arial" w:eastAsia="Times New Roman" w:hAnsi="Arial" w:cs="Arial"/>
                <w:color w:val="222222"/>
              </w:rPr>
              <w:t xml:space="preserve"> in 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7F24236"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1.10 Million</w:t>
            </w:r>
          </w:p>
          <w:p w14:paraId="23E2F8F2"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(68% of PLHIV)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57521F9"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 xml:space="preserve">1.34 Million </w:t>
            </w:r>
          </w:p>
          <w:p w14:paraId="09A520EE"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(87% of PLHIV)</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EED0B47"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1.35 Million (87% of PLHIVV)</w:t>
            </w:r>
          </w:p>
        </w:tc>
      </w:tr>
      <w:tr w:rsidR="00397278" w:rsidRPr="00C35403" w14:paraId="6F117561" w14:textId="77777777" w:rsidTr="00A661EA">
        <w:trPr>
          <w:trHeight w:val="168"/>
        </w:trPr>
        <w:tc>
          <w:tcPr>
            <w:tcW w:w="944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867BED9" w14:textId="77777777" w:rsidR="00397278" w:rsidRPr="00C35403" w:rsidRDefault="00397278" w:rsidP="001617F6">
            <w:pPr>
              <w:shd w:val="clear" w:color="auto" w:fill="FFFFFF"/>
              <w:spacing w:after="0" w:line="240" w:lineRule="auto"/>
              <w:rPr>
                <w:rFonts w:ascii="Arial" w:eastAsia="Times New Roman" w:hAnsi="Arial" w:cs="Arial"/>
                <w:color w:val="222222"/>
              </w:rPr>
            </w:pPr>
            <w:r w:rsidRPr="00C35403">
              <w:rPr>
                <w:rFonts w:ascii="Arial" w:eastAsia="Times New Roman" w:hAnsi="Arial" w:cs="Arial"/>
                <w:b/>
                <w:bCs/>
                <w:color w:val="222222"/>
              </w:rPr>
              <w:t>Resources (USD M)</w:t>
            </w:r>
          </w:p>
        </w:tc>
      </w:tr>
      <w:tr w:rsidR="00A661EA" w:rsidRPr="00C35403" w14:paraId="23AD1095" w14:textId="77777777" w:rsidTr="00A661EA">
        <w:trPr>
          <w:trHeight w:val="218"/>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D0EF52" w14:textId="7FF9DAFF" w:rsidR="00A661EA" w:rsidRPr="00C35403" w:rsidRDefault="00A661EA" w:rsidP="00A661EA">
            <w:pPr>
              <w:shd w:val="clear" w:color="auto" w:fill="FFFFFF"/>
              <w:spacing w:after="0" w:line="240" w:lineRule="auto"/>
              <w:rPr>
                <w:rFonts w:ascii="Arial" w:eastAsia="Times New Roman" w:hAnsi="Arial" w:cs="Arial"/>
                <w:color w:val="222222"/>
              </w:rPr>
            </w:pPr>
            <w:r w:rsidRPr="00C35403">
              <w:rPr>
                <w:rFonts w:ascii="Arial" w:eastAsia="Times New Roman" w:hAnsi="Arial" w:cs="Arial"/>
                <w:color w:val="222222"/>
              </w:rPr>
              <w:t xml:space="preserve">Cumulative </w:t>
            </w:r>
            <w:r>
              <w:rPr>
                <w:rFonts w:ascii="Arial" w:eastAsia="Times New Roman" w:hAnsi="Arial" w:cs="Arial"/>
                <w:color w:val="222222"/>
              </w:rPr>
              <w:t xml:space="preserve">resources </w:t>
            </w:r>
            <w:r w:rsidRPr="00C35403">
              <w:rPr>
                <w:rFonts w:ascii="Arial" w:eastAsia="Times New Roman" w:hAnsi="Arial" w:cs="Arial"/>
                <w:color w:val="222222"/>
              </w:rPr>
              <w:t>2019-2030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979D19C" w14:textId="3D83C835" w:rsidR="00A661EA" w:rsidRPr="00A661EA" w:rsidRDefault="00A661EA" w:rsidP="00A661EA">
            <w:pPr>
              <w:shd w:val="clear" w:color="auto" w:fill="FFFFFF"/>
              <w:spacing w:after="0" w:line="240" w:lineRule="auto"/>
              <w:rPr>
                <w:rFonts w:ascii="Arial" w:eastAsia="Times New Roman" w:hAnsi="Arial" w:cs="Arial"/>
                <w:color w:val="222222"/>
                <w:szCs w:val="22"/>
              </w:rPr>
            </w:pPr>
            <w:r w:rsidRPr="00A661EA">
              <w:rPr>
                <w:rFonts w:ascii="Arial" w:hAnsi="Arial" w:cs="Arial"/>
                <w:szCs w:val="22"/>
              </w:rPr>
              <w:t>5,783</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16B500D" w14:textId="58729F49" w:rsidR="00A661EA" w:rsidRPr="00A661EA" w:rsidRDefault="00A661EA" w:rsidP="00A661EA">
            <w:pPr>
              <w:shd w:val="clear" w:color="auto" w:fill="FFFFFF"/>
              <w:spacing w:after="0" w:line="240" w:lineRule="auto"/>
              <w:rPr>
                <w:rFonts w:ascii="Arial" w:eastAsia="Times New Roman" w:hAnsi="Arial" w:cs="Arial"/>
                <w:color w:val="222222"/>
                <w:szCs w:val="22"/>
              </w:rPr>
            </w:pPr>
            <w:r w:rsidRPr="00A661EA">
              <w:rPr>
                <w:rFonts w:ascii="Arial" w:hAnsi="Arial" w:cs="Arial"/>
                <w:szCs w:val="22"/>
              </w:rPr>
              <w:t>8,097</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CEAB84D" w14:textId="2CD21775" w:rsidR="00A661EA" w:rsidRPr="00A661EA" w:rsidRDefault="00A661EA" w:rsidP="00A661EA">
            <w:pPr>
              <w:shd w:val="clear" w:color="auto" w:fill="FFFFFF"/>
              <w:spacing w:after="0" w:line="240" w:lineRule="auto"/>
              <w:rPr>
                <w:rFonts w:ascii="Arial" w:eastAsia="Times New Roman" w:hAnsi="Arial" w:cs="Arial"/>
                <w:color w:val="222222"/>
                <w:szCs w:val="22"/>
              </w:rPr>
            </w:pPr>
            <w:r w:rsidRPr="00A661EA">
              <w:rPr>
                <w:rFonts w:ascii="Arial" w:hAnsi="Arial" w:cs="Arial"/>
                <w:szCs w:val="22"/>
              </w:rPr>
              <w:t>5,461</w:t>
            </w:r>
          </w:p>
        </w:tc>
      </w:tr>
      <w:tr w:rsidR="00A661EA" w:rsidRPr="00C35403" w14:paraId="27DA35C0" w14:textId="77777777" w:rsidTr="00A661EA">
        <w:trPr>
          <w:trHeight w:val="258"/>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61E25B" w14:textId="58A76106" w:rsidR="00A661EA" w:rsidRPr="00C35403" w:rsidRDefault="00A661EA" w:rsidP="00A661EA">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Required resources</w:t>
            </w:r>
            <w:r w:rsidRPr="00C35403">
              <w:rPr>
                <w:rFonts w:ascii="Arial" w:eastAsia="Times New Roman" w:hAnsi="Arial" w:cs="Arial"/>
                <w:color w:val="222222"/>
              </w:rPr>
              <w:t xml:space="preserve"> in 2030</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335A46C" w14:textId="6B5CB91F" w:rsidR="00A661EA" w:rsidRPr="00A661EA" w:rsidRDefault="00A661EA" w:rsidP="00A661EA">
            <w:pPr>
              <w:shd w:val="clear" w:color="auto" w:fill="FFFFFF"/>
              <w:spacing w:after="0" w:line="240" w:lineRule="auto"/>
              <w:rPr>
                <w:rFonts w:ascii="Arial" w:eastAsia="Times New Roman" w:hAnsi="Arial" w:cs="Arial"/>
                <w:color w:val="222222"/>
                <w:szCs w:val="22"/>
              </w:rPr>
            </w:pPr>
            <w:r w:rsidRPr="00A661EA">
              <w:rPr>
                <w:rFonts w:ascii="Arial" w:hAnsi="Arial" w:cs="Arial"/>
                <w:szCs w:val="22"/>
              </w:rPr>
              <w:t>500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BF19FD9" w14:textId="568497AF" w:rsidR="00A661EA" w:rsidRPr="00A661EA" w:rsidRDefault="00A661EA" w:rsidP="00A661EA">
            <w:pPr>
              <w:shd w:val="clear" w:color="auto" w:fill="FFFFFF"/>
              <w:spacing w:after="0" w:line="240" w:lineRule="auto"/>
              <w:rPr>
                <w:rFonts w:ascii="Arial" w:eastAsia="Times New Roman" w:hAnsi="Arial" w:cs="Arial"/>
                <w:color w:val="222222"/>
                <w:szCs w:val="22"/>
              </w:rPr>
            </w:pPr>
            <w:r w:rsidRPr="00A661EA">
              <w:rPr>
                <w:rFonts w:ascii="Arial" w:hAnsi="Arial" w:cs="Arial"/>
                <w:szCs w:val="22"/>
              </w:rPr>
              <w:t>839</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F8E0ECB" w14:textId="404303D8" w:rsidR="00A661EA" w:rsidRPr="00A661EA" w:rsidRDefault="00A661EA" w:rsidP="00A661EA">
            <w:pPr>
              <w:shd w:val="clear" w:color="auto" w:fill="FFFFFF"/>
              <w:spacing w:after="0" w:line="240" w:lineRule="auto"/>
              <w:rPr>
                <w:rFonts w:ascii="Arial" w:eastAsia="Times New Roman" w:hAnsi="Arial" w:cs="Arial"/>
                <w:color w:val="222222"/>
                <w:szCs w:val="22"/>
              </w:rPr>
            </w:pPr>
            <w:r w:rsidRPr="00A661EA">
              <w:rPr>
                <w:rFonts w:ascii="Arial" w:hAnsi="Arial" w:cs="Arial"/>
                <w:szCs w:val="22"/>
              </w:rPr>
              <w:t>463</w:t>
            </w:r>
          </w:p>
        </w:tc>
      </w:tr>
    </w:tbl>
    <w:p w14:paraId="3815FF22" w14:textId="77777777" w:rsidR="00397278" w:rsidRDefault="00397278" w:rsidP="001617F6">
      <w:pPr>
        <w:shd w:val="clear" w:color="auto" w:fill="FFFFFF"/>
        <w:spacing w:after="0" w:line="240" w:lineRule="auto"/>
        <w:rPr>
          <w:rFonts w:ascii="Arial" w:eastAsia="Times New Roman" w:hAnsi="Arial" w:cs="Arial"/>
          <w:color w:val="222222"/>
          <w:u w:val="single"/>
        </w:rPr>
      </w:pPr>
    </w:p>
    <w:p w14:paraId="7A14B634" w14:textId="0C8D9757" w:rsidR="001617F6" w:rsidRPr="008F15AD" w:rsidRDefault="00397278" w:rsidP="001617F6">
      <w:pPr>
        <w:shd w:val="clear" w:color="auto" w:fill="FFFFFF"/>
        <w:spacing w:after="0" w:line="240" w:lineRule="auto"/>
        <w:rPr>
          <w:rFonts w:ascii="Arial" w:eastAsia="Times New Roman" w:hAnsi="Arial" w:cs="Arial"/>
          <w:u w:val="single"/>
        </w:rPr>
      </w:pPr>
      <w:bookmarkStart w:id="13" w:name="_Toc57035115"/>
      <w:r w:rsidRPr="008F15AD">
        <w:rPr>
          <w:rStyle w:val="Heading3Char"/>
          <w:rFonts w:ascii="Arial" w:hAnsi="Arial" w:cs="Arial"/>
          <w:i/>
          <w:iCs/>
          <w:color w:val="auto"/>
        </w:rPr>
        <w:t>Optimization - Declining Donor Funds</w:t>
      </w:r>
      <w:bookmarkEnd w:id="13"/>
    </w:p>
    <w:p w14:paraId="2EF39E00" w14:textId="77777777" w:rsidR="001617F6" w:rsidRPr="008F15AD" w:rsidRDefault="001617F6" w:rsidP="001617F6">
      <w:pPr>
        <w:shd w:val="clear" w:color="auto" w:fill="FFFFFF"/>
        <w:spacing w:after="0" w:line="240" w:lineRule="auto"/>
        <w:rPr>
          <w:rFonts w:ascii="Arial" w:eastAsia="Times New Roman" w:hAnsi="Arial" w:cs="Arial"/>
        </w:rPr>
      </w:pPr>
    </w:p>
    <w:p w14:paraId="3EE994D1" w14:textId="169D4118" w:rsidR="00397278" w:rsidRPr="00A021B9"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Based on the announced </w:t>
      </w:r>
      <w:r w:rsidRPr="00D30B8B">
        <w:rPr>
          <w:rFonts w:ascii="Arial" w:eastAsia="Times New Roman" w:hAnsi="Arial" w:cs="Arial"/>
          <w:color w:val="222222"/>
        </w:rPr>
        <w:t>PEPFAR cuts for 2020</w:t>
      </w:r>
      <w:r>
        <w:rPr>
          <w:rFonts w:ascii="Arial" w:eastAsia="Times New Roman" w:hAnsi="Arial" w:cs="Arial"/>
          <w:color w:val="222222"/>
        </w:rPr>
        <w:t xml:space="preserve"> and on discussions with the Global Fund, the most pessimistic scenario assumes that </w:t>
      </w:r>
      <w:r w:rsidRPr="00D30B8B">
        <w:rPr>
          <w:rFonts w:ascii="Arial" w:eastAsia="Times New Roman" w:hAnsi="Arial" w:cs="Arial"/>
          <w:color w:val="222222"/>
        </w:rPr>
        <w:t xml:space="preserve">funding from donors </w:t>
      </w:r>
      <w:r>
        <w:rPr>
          <w:rFonts w:ascii="Arial" w:eastAsia="Times New Roman" w:hAnsi="Arial" w:cs="Arial"/>
          <w:color w:val="222222"/>
        </w:rPr>
        <w:t xml:space="preserve">declines at </w:t>
      </w:r>
      <w:r w:rsidRPr="00D30B8B">
        <w:rPr>
          <w:rFonts w:ascii="Arial" w:eastAsia="Times New Roman" w:hAnsi="Arial" w:cs="Arial"/>
          <w:color w:val="222222"/>
        </w:rPr>
        <w:t>a gradual pace (Global Fund funding by 10% and PEPFAR by 15% every 3 years)</w:t>
      </w:r>
      <w:r>
        <w:rPr>
          <w:rFonts w:ascii="Arial" w:eastAsia="Times New Roman" w:hAnsi="Arial" w:cs="Arial"/>
          <w:color w:val="222222"/>
        </w:rPr>
        <w:t xml:space="preserve"> and that financing by the Tanzania Government remains flat.  As a result, modeling suggests that </w:t>
      </w:r>
      <w:r w:rsidRPr="00D30B8B">
        <w:rPr>
          <w:rFonts w:ascii="Arial" w:eastAsia="Times New Roman" w:hAnsi="Arial" w:cs="Arial"/>
          <w:color w:val="222222"/>
        </w:rPr>
        <w:t>new infections would increase by 7% and AIDS-</w:t>
      </w:r>
      <w:r>
        <w:rPr>
          <w:rFonts w:ascii="Arial" w:eastAsia="Times New Roman" w:hAnsi="Arial" w:cs="Arial"/>
          <w:color w:val="222222"/>
        </w:rPr>
        <w:t xml:space="preserve">related </w:t>
      </w:r>
      <w:r w:rsidRPr="00D30B8B">
        <w:rPr>
          <w:rFonts w:ascii="Arial" w:eastAsia="Times New Roman" w:hAnsi="Arial" w:cs="Arial"/>
          <w:color w:val="222222"/>
        </w:rPr>
        <w:t xml:space="preserve">deaths by 24% </w:t>
      </w:r>
      <w:r>
        <w:rPr>
          <w:rFonts w:ascii="Arial" w:eastAsia="Times New Roman" w:hAnsi="Arial" w:cs="Arial"/>
          <w:color w:val="222222"/>
        </w:rPr>
        <w:t xml:space="preserve">during </w:t>
      </w:r>
      <w:r w:rsidRPr="00D30B8B">
        <w:rPr>
          <w:rFonts w:ascii="Arial" w:eastAsia="Times New Roman" w:hAnsi="Arial" w:cs="Arial"/>
          <w:color w:val="222222"/>
        </w:rPr>
        <w:t>2019-2</w:t>
      </w:r>
      <w:r>
        <w:rPr>
          <w:rFonts w:ascii="Arial" w:eastAsia="Times New Roman" w:hAnsi="Arial" w:cs="Arial"/>
          <w:color w:val="222222"/>
        </w:rPr>
        <w:t>0</w:t>
      </w:r>
      <w:r w:rsidRPr="00D30B8B">
        <w:rPr>
          <w:rFonts w:ascii="Arial" w:eastAsia="Times New Roman" w:hAnsi="Arial" w:cs="Arial"/>
          <w:color w:val="222222"/>
        </w:rPr>
        <w:t>30</w:t>
      </w:r>
      <w:r>
        <w:rPr>
          <w:rFonts w:ascii="Arial" w:eastAsia="Times New Roman" w:hAnsi="Arial" w:cs="Arial"/>
          <w:color w:val="222222"/>
        </w:rPr>
        <w:t xml:space="preserve"> (</w:t>
      </w:r>
      <w:r w:rsidRPr="002E0189">
        <w:rPr>
          <w:rFonts w:ascii="Arial" w:eastAsia="Times New Roman" w:hAnsi="Arial" w:cs="Arial"/>
          <w:i/>
          <w:iCs/>
          <w:color w:val="222222"/>
        </w:rPr>
        <w:t>Figures 0-</w:t>
      </w:r>
      <w:r w:rsidR="00F401A3" w:rsidRPr="002E0189">
        <w:rPr>
          <w:rFonts w:ascii="Arial" w:eastAsia="Times New Roman" w:hAnsi="Arial" w:cs="Arial"/>
          <w:i/>
          <w:iCs/>
          <w:color w:val="222222"/>
        </w:rPr>
        <w:t>6</w:t>
      </w:r>
      <w:r w:rsidRPr="002E0189">
        <w:rPr>
          <w:rFonts w:ascii="Arial" w:eastAsia="Times New Roman" w:hAnsi="Arial" w:cs="Arial"/>
          <w:i/>
          <w:iCs/>
          <w:color w:val="222222"/>
        </w:rPr>
        <w:t xml:space="preserve"> and 0-</w:t>
      </w:r>
      <w:r w:rsidR="00F401A3" w:rsidRPr="002E0189">
        <w:rPr>
          <w:rFonts w:ascii="Arial" w:eastAsia="Times New Roman" w:hAnsi="Arial" w:cs="Arial"/>
          <w:i/>
          <w:iCs/>
          <w:color w:val="222222"/>
        </w:rPr>
        <w:t>7</w:t>
      </w:r>
      <w:r>
        <w:rPr>
          <w:rFonts w:ascii="Arial" w:eastAsia="Times New Roman" w:hAnsi="Arial" w:cs="Arial"/>
          <w:color w:val="222222"/>
        </w:rPr>
        <w:t xml:space="preserve">).  ART coverage (as a share of PLHIV) would drop to 65% as a result of new infections and longer life expectancy for those already on ART. </w:t>
      </w:r>
      <w:r w:rsidRPr="00D30B8B">
        <w:rPr>
          <w:rFonts w:ascii="Arial" w:eastAsia="Times New Roman" w:hAnsi="Arial" w:cs="Arial"/>
          <w:color w:val="222222"/>
        </w:rPr>
        <w:t>This reversal</w:t>
      </w:r>
      <w:r w:rsidRPr="00A021B9">
        <w:rPr>
          <w:rFonts w:ascii="Arial" w:eastAsia="Times New Roman" w:hAnsi="Arial" w:cs="Arial"/>
          <w:color w:val="222222"/>
        </w:rPr>
        <w:t xml:space="preserve"> </w:t>
      </w:r>
      <w:r w:rsidRPr="00D30B8B">
        <w:rPr>
          <w:rFonts w:ascii="Arial" w:eastAsia="Times New Roman" w:hAnsi="Arial" w:cs="Arial"/>
          <w:color w:val="222222"/>
        </w:rPr>
        <w:t xml:space="preserve">of </w:t>
      </w:r>
      <w:r>
        <w:rPr>
          <w:rFonts w:ascii="Arial" w:eastAsia="Times New Roman" w:hAnsi="Arial" w:cs="Arial"/>
          <w:color w:val="222222"/>
        </w:rPr>
        <w:t xml:space="preserve">recent </w:t>
      </w:r>
      <w:r w:rsidRPr="00D30B8B">
        <w:rPr>
          <w:rFonts w:ascii="Arial" w:eastAsia="Times New Roman" w:hAnsi="Arial" w:cs="Arial"/>
          <w:color w:val="222222"/>
        </w:rPr>
        <w:t xml:space="preserve">progress </w:t>
      </w:r>
      <w:r w:rsidRPr="00A021B9">
        <w:rPr>
          <w:rFonts w:ascii="Arial" w:eastAsia="Times New Roman" w:hAnsi="Arial" w:cs="Arial"/>
          <w:color w:val="222222"/>
        </w:rPr>
        <w:t xml:space="preserve">would occur even </w:t>
      </w:r>
      <w:r>
        <w:rPr>
          <w:rFonts w:ascii="Arial" w:eastAsia="Times New Roman" w:hAnsi="Arial" w:cs="Arial"/>
          <w:color w:val="222222"/>
        </w:rPr>
        <w:t xml:space="preserve">with efforts to optimize. </w:t>
      </w:r>
    </w:p>
    <w:p w14:paraId="21FEEB1F" w14:textId="74E54B1A" w:rsidR="00397278" w:rsidRPr="00D30B8B" w:rsidRDefault="001617F6" w:rsidP="001617F6">
      <w:pPr>
        <w:shd w:val="clear" w:color="auto" w:fill="FFFFFF"/>
        <w:spacing w:after="0" w:line="240" w:lineRule="auto"/>
        <w:rPr>
          <w:rFonts w:ascii="Arial" w:eastAsia="Times New Roman" w:hAnsi="Arial" w:cs="Arial"/>
          <w:color w:val="222222"/>
          <w:u w:val="single"/>
        </w:rPr>
      </w:pPr>
      <w:r w:rsidRPr="001617F6">
        <w:rPr>
          <w:rStyle w:val="Heading3Char"/>
          <w:rFonts w:ascii="Arial" w:hAnsi="Arial" w:cs="Arial"/>
          <w:i/>
          <w:iCs/>
          <w:noProof/>
        </w:rPr>
        <w:drawing>
          <wp:anchor distT="0" distB="0" distL="114300" distR="114300" simplePos="0" relativeHeight="251789312" behindDoc="1" locked="0" layoutInCell="1" allowOverlap="1" wp14:anchorId="2547B97B" wp14:editId="008F10D7">
            <wp:simplePos x="0" y="0"/>
            <wp:positionH relativeFrom="column">
              <wp:posOffset>3075940</wp:posOffset>
            </wp:positionH>
            <wp:positionV relativeFrom="paragraph">
              <wp:posOffset>57150</wp:posOffset>
            </wp:positionV>
            <wp:extent cx="2771775" cy="2203450"/>
            <wp:effectExtent l="0" t="0" r="9525" b="6350"/>
            <wp:wrapTight wrapText="bothSides">
              <wp:wrapPolygon edited="0">
                <wp:start x="0" y="0"/>
                <wp:lineTo x="0" y="21476"/>
                <wp:lineTo x="21526" y="21476"/>
                <wp:lineTo x="21526" y="0"/>
                <wp:lineTo x="0" y="0"/>
              </wp:wrapPolygon>
            </wp:wrapTight>
            <wp:docPr id="15" name="Chart 15">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1617F6">
        <w:rPr>
          <w:rStyle w:val="Heading3Char"/>
          <w:rFonts w:ascii="Arial" w:hAnsi="Arial" w:cs="Arial"/>
          <w:i/>
          <w:iCs/>
          <w:noProof/>
        </w:rPr>
        <w:drawing>
          <wp:anchor distT="0" distB="0" distL="114300" distR="114300" simplePos="0" relativeHeight="251788288" behindDoc="0" locked="0" layoutInCell="1" allowOverlap="1" wp14:anchorId="58BA5EDF" wp14:editId="2948C519">
            <wp:simplePos x="0" y="0"/>
            <wp:positionH relativeFrom="margin">
              <wp:posOffset>138430</wp:posOffset>
            </wp:positionH>
            <wp:positionV relativeFrom="paragraph">
              <wp:posOffset>60325</wp:posOffset>
            </wp:positionV>
            <wp:extent cx="2880995" cy="2203450"/>
            <wp:effectExtent l="0" t="0" r="14605" b="6350"/>
            <wp:wrapSquare wrapText="bothSides"/>
            <wp:docPr id="23" name="Chart 23">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5C4A863" w14:textId="77777777" w:rsidR="001617F6" w:rsidRPr="003A2499" w:rsidRDefault="00397278" w:rsidP="001617F6">
      <w:pPr>
        <w:shd w:val="clear" w:color="auto" w:fill="FFFFFF"/>
        <w:spacing w:after="0" w:line="240" w:lineRule="auto"/>
        <w:rPr>
          <w:rFonts w:ascii="Arial" w:eastAsia="Times New Roman" w:hAnsi="Arial" w:cs="Arial"/>
        </w:rPr>
      </w:pPr>
      <w:bookmarkStart w:id="14" w:name="_Toc57035116"/>
      <w:r w:rsidRPr="003A2499">
        <w:rPr>
          <w:rStyle w:val="Heading3Char"/>
          <w:rFonts w:ascii="Arial" w:hAnsi="Arial" w:cs="Arial"/>
          <w:i/>
          <w:iCs/>
          <w:color w:val="auto"/>
        </w:rPr>
        <w:t>Optimization with Domestic Resource Mobilization</w:t>
      </w:r>
      <w:bookmarkEnd w:id="14"/>
    </w:p>
    <w:p w14:paraId="7327E307" w14:textId="77777777" w:rsidR="001617F6" w:rsidRDefault="001617F6" w:rsidP="001617F6">
      <w:pPr>
        <w:shd w:val="clear" w:color="auto" w:fill="FFFFFF"/>
        <w:spacing w:after="0" w:line="240" w:lineRule="auto"/>
        <w:rPr>
          <w:rFonts w:ascii="Arial" w:eastAsia="Times New Roman" w:hAnsi="Arial" w:cs="Arial"/>
          <w:color w:val="222222"/>
        </w:rPr>
      </w:pPr>
    </w:p>
    <w:p w14:paraId="4B8ECBE5" w14:textId="29D6E9F2"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 If donor funds decrease in the coming years, </w:t>
      </w:r>
      <w:r w:rsidRPr="00D30B8B">
        <w:rPr>
          <w:rFonts w:ascii="Arial" w:eastAsia="Times New Roman" w:hAnsi="Arial" w:cs="Arial"/>
          <w:color w:val="222222"/>
        </w:rPr>
        <w:t xml:space="preserve">domestic resource mobilization becomes pivotal to </w:t>
      </w:r>
      <w:r>
        <w:rPr>
          <w:rFonts w:ascii="Arial" w:eastAsia="Times New Roman" w:hAnsi="Arial" w:cs="Arial"/>
          <w:color w:val="222222"/>
        </w:rPr>
        <w:t xml:space="preserve">safeguard </w:t>
      </w:r>
      <w:r w:rsidRPr="00D30B8B">
        <w:rPr>
          <w:rFonts w:ascii="Arial" w:eastAsia="Times New Roman" w:hAnsi="Arial" w:cs="Arial"/>
          <w:color w:val="222222"/>
        </w:rPr>
        <w:t xml:space="preserve">the gains </w:t>
      </w:r>
      <w:r>
        <w:rPr>
          <w:rFonts w:ascii="Arial" w:eastAsia="Times New Roman" w:hAnsi="Arial" w:cs="Arial"/>
          <w:color w:val="222222"/>
        </w:rPr>
        <w:t xml:space="preserve">achieved in the national HIV response and </w:t>
      </w:r>
      <w:r w:rsidRPr="00D30B8B">
        <w:rPr>
          <w:rFonts w:ascii="Arial" w:eastAsia="Times New Roman" w:hAnsi="Arial" w:cs="Arial"/>
          <w:color w:val="222222"/>
        </w:rPr>
        <w:t xml:space="preserve">keep Tanzania </w:t>
      </w:r>
      <w:r>
        <w:rPr>
          <w:rFonts w:ascii="Arial" w:eastAsia="Times New Roman" w:hAnsi="Arial" w:cs="Arial"/>
          <w:color w:val="222222"/>
        </w:rPr>
        <w:t xml:space="preserve">moving toward its </w:t>
      </w:r>
      <w:r w:rsidRPr="00D30B8B">
        <w:rPr>
          <w:rFonts w:ascii="Arial" w:eastAsia="Times New Roman" w:hAnsi="Arial" w:cs="Arial"/>
          <w:color w:val="222222"/>
        </w:rPr>
        <w:t xml:space="preserve">2030 goals. </w:t>
      </w:r>
      <w:r>
        <w:rPr>
          <w:rFonts w:ascii="Arial" w:eastAsia="Times New Roman" w:hAnsi="Arial" w:cs="Arial"/>
          <w:color w:val="222222"/>
        </w:rPr>
        <w:t xml:space="preserve">Based on a detailed fiscal space analysis conducted for IC 2.0, it was estimated that the </w:t>
      </w:r>
      <w:r>
        <w:rPr>
          <w:rFonts w:ascii="Arial" w:eastAsia="Times New Roman" w:hAnsi="Arial" w:cs="Arial"/>
          <w:color w:val="222222"/>
        </w:rPr>
        <w:lastRenderedPageBreak/>
        <w:t xml:space="preserve">Government could feasibly mobilize an additional USD </w:t>
      </w:r>
      <w:r w:rsidRPr="00D30B8B">
        <w:rPr>
          <w:rFonts w:ascii="Arial" w:eastAsia="Times New Roman" w:hAnsi="Arial" w:cs="Arial"/>
          <w:color w:val="222222"/>
        </w:rPr>
        <w:t xml:space="preserve">10-15 M </w:t>
      </w:r>
      <w:r>
        <w:rPr>
          <w:rFonts w:ascii="Arial" w:eastAsia="Times New Roman" w:hAnsi="Arial" w:cs="Arial"/>
          <w:color w:val="222222"/>
        </w:rPr>
        <w:t xml:space="preserve">a year each year from now to 2030, from a combination of MOH budget increases, national health insurance resources, and special HIV Fund levies. </w:t>
      </w:r>
      <w:r w:rsidRPr="00D30B8B">
        <w:rPr>
          <w:rFonts w:ascii="Arial" w:eastAsia="Times New Roman" w:hAnsi="Arial" w:cs="Arial"/>
          <w:color w:val="222222"/>
        </w:rPr>
        <w:t>This pace of domestic resource mobilization</w:t>
      </w:r>
      <w:r>
        <w:rPr>
          <w:rFonts w:ascii="Arial" w:eastAsia="Times New Roman" w:hAnsi="Arial" w:cs="Arial"/>
          <w:color w:val="222222"/>
        </w:rPr>
        <w:t xml:space="preserve"> driving public funds from USD 55 million in 2018 to USD 174 million by 2030 (</w:t>
      </w:r>
      <w:r w:rsidRPr="002E0189">
        <w:rPr>
          <w:rFonts w:ascii="Arial" w:eastAsia="Times New Roman" w:hAnsi="Arial" w:cs="Arial"/>
          <w:i/>
          <w:iCs/>
          <w:color w:val="222222"/>
        </w:rPr>
        <w:t>Figure 0-</w:t>
      </w:r>
      <w:r w:rsidR="00F401A3" w:rsidRPr="002E0189">
        <w:rPr>
          <w:rFonts w:ascii="Arial" w:eastAsia="Times New Roman" w:hAnsi="Arial" w:cs="Arial"/>
          <w:i/>
          <w:iCs/>
          <w:color w:val="222222"/>
        </w:rPr>
        <w:t>8</w:t>
      </w:r>
      <w:r>
        <w:rPr>
          <w:rFonts w:ascii="Arial" w:eastAsia="Times New Roman" w:hAnsi="Arial" w:cs="Arial"/>
          <w:color w:val="222222"/>
        </w:rPr>
        <w:t xml:space="preserve">) </w:t>
      </w:r>
      <w:r w:rsidRPr="00D30B8B">
        <w:rPr>
          <w:rFonts w:ascii="Arial" w:eastAsia="Times New Roman" w:hAnsi="Arial" w:cs="Arial"/>
          <w:color w:val="222222"/>
        </w:rPr>
        <w:t xml:space="preserve">could offset </w:t>
      </w:r>
      <w:r>
        <w:rPr>
          <w:rFonts w:ascii="Arial" w:eastAsia="Times New Roman" w:hAnsi="Arial" w:cs="Arial"/>
          <w:color w:val="222222"/>
        </w:rPr>
        <w:t xml:space="preserve">possible projected </w:t>
      </w:r>
      <w:r w:rsidRPr="00D30B8B">
        <w:rPr>
          <w:rFonts w:ascii="Arial" w:eastAsia="Times New Roman" w:hAnsi="Arial" w:cs="Arial"/>
          <w:color w:val="222222"/>
        </w:rPr>
        <w:t xml:space="preserve">declines in donor funding </w:t>
      </w:r>
      <w:r>
        <w:rPr>
          <w:rFonts w:ascii="Arial" w:eastAsia="Times New Roman" w:hAnsi="Arial" w:cs="Arial"/>
          <w:color w:val="222222"/>
        </w:rPr>
        <w:t xml:space="preserve">and maintain </w:t>
      </w:r>
      <w:r w:rsidRPr="00D30B8B">
        <w:rPr>
          <w:rFonts w:ascii="Arial" w:eastAsia="Times New Roman" w:hAnsi="Arial" w:cs="Arial"/>
          <w:color w:val="222222"/>
        </w:rPr>
        <w:t xml:space="preserve">annual </w:t>
      </w:r>
      <w:r>
        <w:rPr>
          <w:rFonts w:ascii="Arial" w:eastAsia="Times New Roman" w:hAnsi="Arial" w:cs="Arial"/>
          <w:color w:val="222222"/>
        </w:rPr>
        <w:t xml:space="preserve">HIV </w:t>
      </w:r>
      <w:r w:rsidRPr="00D30B8B">
        <w:rPr>
          <w:rFonts w:ascii="Arial" w:eastAsia="Times New Roman" w:hAnsi="Arial" w:cs="Arial"/>
          <w:color w:val="222222"/>
        </w:rPr>
        <w:t xml:space="preserve">funding </w:t>
      </w:r>
      <w:r>
        <w:rPr>
          <w:rFonts w:ascii="Arial" w:eastAsia="Times New Roman" w:hAnsi="Arial" w:cs="Arial"/>
          <w:color w:val="222222"/>
        </w:rPr>
        <w:t xml:space="preserve">at close to </w:t>
      </w:r>
      <w:r w:rsidR="003476A4">
        <w:rPr>
          <w:rFonts w:ascii="Arial" w:eastAsia="Times New Roman" w:hAnsi="Arial" w:cs="Arial"/>
          <w:color w:val="222222"/>
        </w:rPr>
        <w:t>Constant Coverage scenario</w:t>
      </w:r>
      <w:r w:rsidRPr="00D30B8B">
        <w:rPr>
          <w:rFonts w:ascii="Arial" w:eastAsia="Times New Roman" w:hAnsi="Arial" w:cs="Arial"/>
          <w:color w:val="222222"/>
        </w:rPr>
        <w:t xml:space="preserve"> levels</w:t>
      </w:r>
      <w:r>
        <w:rPr>
          <w:rFonts w:ascii="Arial" w:eastAsia="Times New Roman" w:hAnsi="Arial" w:cs="Arial"/>
          <w:color w:val="222222"/>
        </w:rPr>
        <w:t xml:space="preserve"> (even though under this scenario Tanzania would still only cover about 40% of total HIV spending from domestic sources in 2030, with continuing high dependence on donors)</w:t>
      </w:r>
      <w:r w:rsidRPr="00D30B8B">
        <w:rPr>
          <w:rFonts w:ascii="Arial" w:eastAsia="Times New Roman" w:hAnsi="Arial" w:cs="Arial"/>
          <w:color w:val="222222"/>
        </w:rPr>
        <w:t>.</w:t>
      </w:r>
      <w:r>
        <w:rPr>
          <w:rFonts w:ascii="Arial" w:eastAsia="Times New Roman" w:hAnsi="Arial" w:cs="Arial"/>
          <w:color w:val="222222"/>
        </w:rPr>
        <w:t xml:space="preserve"> </w:t>
      </w:r>
    </w:p>
    <w:p w14:paraId="12636194" w14:textId="09A3164D" w:rsidR="001617F6" w:rsidRDefault="001617F6" w:rsidP="001617F6">
      <w:pPr>
        <w:shd w:val="clear" w:color="auto" w:fill="FFFFFF"/>
        <w:spacing w:after="0" w:line="240" w:lineRule="auto"/>
        <w:rPr>
          <w:rFonts w:ascii="Arial" w:eastAsia="Times New Roman" w:hAnsi="Arial" w:cs="Arial"/>
          <w:color w:val="222222"/>
        </w:rPr>
      </w:pPr>
    </w:p>
    <w:p w14:paraId="509B4FE7" w14:textId="070ECBC4" w:rsidR="001617F6" w:rsidRPr="00A178D1" w:rsidRDefault="001617F6" w:rsidP="001617F6">
      <w:pPr>
        <w:shd w:val="clear" w:color="auto" w:fill="FFFFFF"/>
        <w:spacing w:after="0" w:line="240" w:lineRule="auto"/>
        <w:rPr>
          <w:rFonts w:ascii="Arial" w:eastAsia="Times New Roman" w:hAnsi="Arial" w:cs="Arial"/>
          <w:i/>
          <w:iCs/>
          <w:color w:val="222222"/>
          <w:sz w:val="18"/>
          <w:szCs w:val="18"/>
        </w:rPr>
      </w:pPr>
      <w:r w:rsidRPr="00A178D1">
        <w:rPr>
          <w:rFonts w:ascii="Arial" w:eastAsia="Times New Roman" w:hAnsi="Arial" w:cs="Arial"/>
          <w:i/>
          <w:iCs/>
          <w:color w:val="222222"/>
          <w:sz w:val="18"/>
          <w:szCs w:val="18"/>
        </w:rPr>
        <w:t>Figure 0-</w:t>
      </w:r>
      <w:r w:rsidR="000B2682" w:rsidRPr="00A178D1">
        <w:rPr>
          <w:rFonts w:ascii="Arial" w:eastAsia="Times New Roman" w:hAnsi="Arial" w:cs="Arial"/>
          <w:i/>
          <w:iCs/>
          <w:color w:val="222222"/>
          <w:sz w:val="18"/>
          <w:szCs w:val="18"/>
        </w:rPr>
        <w:t>8</w:t>
      </w:r>
      <w:r w:rsidRPr="00A178D1">
        <w:rPr>
          <w:rFonts w:ascii="Arial" w:eastAsia="Times New Roman" w:hAnsi="Arial" w:cs="Arial"/>
          <w:i/>
          <w:iCs/>
          <w:color w:val="222222"/>
          <w:sz w:val="18"/>
          <w:szCs w:val="18"/>
        </w:rPr>
        <w:t>. Estimated feasible amounts of domestic funding for HIV to 2030 (USD Millions), for baseline + incremental annual increases</w:t>
      </w:r>
    </w:p>
    <w:p w14:paraId="4030DC8B"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2D899DDC" w14:textId="77777777" w:rsidR="00397278" w:rsidRPr="00D30B8B" w:rsidRDefault="00397278" w:rsidP="001617F6">
      <w:pPr>
        <w:shd w:val="clear" w:color="auto" w:fill="FFFFFF"/>
        <w:spacing w:after="0" w:line="240" w:lineRule="auto"/>
        <w:rPr>
          <w:rFonts w:ascii="Arial" w:eastAsia="Times New Roman" w:hAnsi="Arial" w:cs="Arial"/>
          <w:color w:val="222222"/>
        </w:rPr>
      </w:pPr>
      <w:r w:rsidRPr="00D30B8B">
        <w:rPr>
          <w:rFonts w:ascii="Arial" w:eastAsia="Times New Roman" w:hAnsi="Arial" w:cs="Arial"/>
          <w:noProof/>
          <w:color w:val="222222"/>
        </w:rPr>
        <w:drawing>
          <wp:inline distT="0" distB="0" distL="0" distR="0" wp14:anchorId="3C1BC6E3" wp14:editId="6CBFAACE">
            <wp:extent cx="5867400" cy="1911928"/>
            <wp:effectExtent l="0" t="0" r="0" b="12700"/>
            <wp:docPr id="27" name="Chart 27">
              <a:extLst xmlns:a="http://schemas.openxmlformats.org/drawingml/2006/main">
                <a:ext uri="{FF2B5EF4-FFF2-40B4-BE49-F238E27FC236}">
                  <a16:creationId xmlns:a16="http://schemas.microsoft.com/office/drawing/2014/main" id="{AC42EBA4-93E6-4FCD-9EE6-03FE958F0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79C0D7"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7CB8D837" w14:textId="1DAFAE6A" w:rsidR="002C464A" w:rsidRPr="003E5B97" w:rsidRDefault="003E5B97" w:rsidP="001617F6">
      <w:pPr>
        <w:shd w:val="clear" w:color="auto" w:fill="FFFFFF"/>
        <w:spacing w:after="0" w:line="240" w:lineRule="auto"/>
        <w:rPr>
          <w:rFonts w:ascii="Arial" w:eastAsia="Times New Roman" w:hAnsi="Arial" w:cs="Arial"/>
          <w:color w:val="222222"/>
        </w:rPr>
      </w:pPr>
      <w:r w:rsidRPr="003E5B97">
        <w:rPr>
          <w:rFonts w:ascii="Arial" w:eastAsia="Times New Roman" w:hAnsi="Arial" w:cs="Arial"/>
          <w:color w:val="222222"/>
        </w:rPr>
        <w:t xml:space="preserve">The most promising mechanisms </w:t>
      </w:r>
      <w:r>
        <w:rPr>
          <w:rFonts w:ascii="Arial" w:eastAsia="Times New Roman" w:hAnsi="Arial" w:cs="Arial"/>
          <w:color w:val="222222"/>
        </w:rPr>
        <w:t>mobilizing the level of resources required</w:t>
      </w:r>
      <w:r w:rsidRPr="003E5B97">
        <w:rPr>
          <w:rFonts w:ascii="Arial" w:eastAsia="Times New Roman" w:hAnsi="Arial" w:cs="Arial"/>
          <w:color w:val="222222"/>
        </w:rPr>
        <w:t xml:space="preserve"> are </w:t>
      </w:r>
      <w:r>
        <w:rPr>
          <w:rFonts w:ascii="Arial" w:eastAsia="Times New Roman" w:hAnsi="Arial" w:cs="Arial"/>
          <w:color w:val="222222"/>
        </w:rPr>
        <w:t xml:space="preserve">increasing the Ministry of Health budget, executing the AIDS Trust Fund, and </w:t>
      </w:r>
      <w:r w:rsidRPr="003E5B97">
        <w:rPr>
          <w:rFonts w:ascii="Arial" w:eastAsia="Times New Roman" w:hAnsi="Arial" w:cs="Arial"/>
          <w:color w:val="222222"/>
        </w:rPr>
        <w:t>adding HIV services to</w:t>
      </w:r>
      <w:r>
        <w:rPr>
          <w:rFonts w:ascii="Arial" w:eastAsia="Times New Roman" w:hAnsi="Arial" w:cs="Arial"/>
          <w:color w:val="222222"/>
        </w:rPr>
        <w:t xml:space="preserve"> the </w:t>
      </w:r>
      <w:r w:rsidRPr="003E5B97">
        <w:rPr>
          <w:rFonts w:ascii="Arial" w:eastAsia="Times New Roman" w:hAnsi="Arial" w:cs="Arial"/>
          <w:color w:val="222222"/>
        </w:rPr>
        <w:t>NHI</w:t>
      </w:r>
      <w:r>
        <w:rPr>
          <w:rFonts w:ascii="Arial" w:eastAsia="Times New Roman" w:hAnsi="Arial" w:cs="Arial"/>
          <w:color w:val="222222"/>
        </w:rPr>
        <w:t>F package of benefits.</w:t>
      </w:r>
    </w:p>
    <w:p w14:paraId="189795AC" w14:textId="77777777" w:rsidR="003E5B97" w:rsidRDefault="003E5B97" w:rsidP="001617F6">
      <w:pPr>
        <w:shd w:val="clear" w:color="auto" w:fill="FFFFFF"/>
        <w:spacing w:after="0" w:line="240" w:lineRule="auto"/>
        <w:rPr>
          <w:rFonts w:ascii="Arial" w:eastAsia="Times New Roman" w:hAnsi="Arial" w:cs="Arial"/>
          <w:color w:val="222222"/>
        </w:rPr>
      </w:pPr>
    </w:p>
    <w:p w14:paraId="2AE89895" w14:textId="34D9B38B" w:rsidR="002C464A"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With this amount of funding, </w:t>
      </w:r>
      <w:r w:rsidR="005E73F8">
        <w:rPr>
          <w:rFonts w:ascii="Arial" w:eastAsia="Times New Roman" w:hAnsi="Arial" w:cs="Arial"/>
          <w:color w:val="222222"/>
        </w:rPr>
        <w:t>O</w:t>
      </w:r>
      <w:r>
        <w:rPr>
          <w:rFonts w:ascii="Arial" w:eastAsia="Times New Roman" w:hAnsi="Arial" w:cs="Arial"/>
          <w:color w:val="222222"/>
        </w:rPr>
        <w:t xml:space="preserve">ptimization (Optimization with Domestic Resource Mobilization) would allow </w:t>
      </w:r>
    </w:p>
    <w:p w14:paraId="125528D0" w14:textId="1EC9B20A"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Tanzania to come close to achieving its 2030 goals, even though the results would be slightly less than under the Optimization with </w:t>
      </w:r>
      <w:r w:rsidR="003476A4">
        <w:rPr>
          <w:rFonts w:ascii="Arial" w:eastAsia="Times New Roman" w:hAnsi="Arial" w:cs="Arial"/>
          <w:color w:val="222222"/>
        </w:rPr>
        <w:t xml:space="preserve">Constant Coverage </w:t>
      </w:r>
      <w:r>
        <w:rPr>
          <w:rFonts w:ascii="Arial" w:eastAsia="Times New Roman" w:hAnsi="Arial" w:cs="Arial"/>
          <w:color w:val="222222"/>
        </w:rPr>
        <w:t>Funding (</w:t>
      </w:r>
      <w:r w:rsidRPr="002E0189">
        <w:rPr>
          <w:rFonts w:ascii="Arial" w:eastAsia="Times New Roman" w:hAnsi="Arial" w:cs="Arial"/>
          <w:i/>
          <w:iCs/>
          <w:color w:val="222222"/>
        </w:rPr>
        <w:t>Figure 0-</w:t>
      </w:r>
      <w:r w:rsidR="00F401A3" w:rsidRPr="002E0189">
        <w:rPr>
          <w:rFonts w:ascii="Arial" w:eastAsia="Times New Roman" w:hAnsi="Arial" w:cs="Arial"/>
          <w:i/>
          <w:iCs/>
          <w:color w:val="222222"/>
        </w:rPr>
        <w:t>9</w:t>
      </w:r>
      <w:r>
        <w:rPr>
          <w:rFonts w:ascii="Arial" w:eastAsia="Times New Roman" w:hAnsi="Arial" w:cs="Arial"/>
          <w:color w:val="222222"/>
        </w:rPr>
        <w:t xml:space="preserve">). </w:t>
      </w:r>
    </w:p>
    <w:p w14:paraId="070AE405" w14:textId="77777777" w:rsidR="006C0CC0" w:rsidRDefault="006C0CC0" w:rsidP="001617F6">
      <w:pPr>
        <w:shd w:val="clear" w:color="auto" w:fill="FFFFFF"/>
        <w:spacing w:after="0" w:line="240" w:lineRule="auto"/>
        <w:rPr>
          <w:rFonts w:ascii="Arial" w:eastAsia="Times New Roman" w:hAnsi="Arial" w:cs="Arial"/>
          <w:i/>
          <w:iCs/>
          <w:color w:val="222222"/>
        </w:rPr>
      </w:pPr>
    </w:p>
    <w:p w14:paraId="680B7340" w14:textId="5DABBFB2" w:rsidR="00397278" w:rsidRPr="00A178D1" w:rsidRDefault="00397278" w:rsidP="001617F6">
      <w:pPr>
        <w:shd w:val="clear" w:color="auto" w:fill="FFFFFF"/>
        <w:spacing w:after="0" w:line="240" w:lineRule="auto"/>
        <w:rPr>
          <w:rFonts w:ascii="Arial" w:eastAsia="Times New Roman" w:hAnsi="Arial" w:cs="Arial"/>
          <w:i/>
          <w:iCs/>
          <w:color w:val="222222"/>
          <w:sz w:val="18"/>
          <w:szCs w:val="18"/>
        </w:rPr>
      </w:pPr>
      <w:r w:rsidRPr="00A178D1">
        <w:rPr>
          <w:rFonts w:ascii="Arial" w:eastAsia="Times New Roman" w:hAnsi="Arial" w:cs="Arial"/>
          <w:i/>
          <w:iCs/>
          <w:color w:val="222222"/>
          <w:sz w:val="18"/>
          <w:szCs w:val="18"/>
        </w:rPr>
        <w:t>Figure 0-</w:t>
      </w:r>
      <w:r w:rsidR="000B2682" w:rsidRPr="00A178D1">
        <w:rPr>
          <w:rFonts w:ascii="Arial" w:eastAsia="Times New Roman" w:hAnsi="Arial" w:cs="Arial"/>
          <w:i/>
          <w:iCs/>
          <w:color w:val="222222"/>
          <w:sz w:val="18"/>
          <w:szCs w:val="18"/>
        </w:rPr>
        <w:t>9</w:t>
      </w:r>
      <w:r w:rsidRPr="00A178D1">
        <w:rPr>
          <w:rFonts w:ascii="Arial" w:eastAsia="Times New Roman" w:hAnsi="Arial" w:cs="Arial"/>
          <w:i/>
          <w:iCs/>
          <w:color w:val="222222"/>
          <w:sz w:val="18"/>
          <w:szCs w:val="18"/>
        </w:rPr>
        <w:t>. Comparing scenarios: Progress towards Fast Track targets and total program costs</w:t>
      </w:r>
    </w:p>
    <w:p w14:paraId="1A51473A" w14:textId="77777777" w:rsidR="00397278" w:rsidRPr="00A178D1" w:rsidRDefault="00397278" w:rsidP="001617F6">
      <w:pPr>
        <w:shd w:val="clear" w:color="auto" w:fill="FFFFFF"/>
        <w:spacing w:after="0" w:line="240" w:lineRule="auto"/>
        <w:rPr>
          <w:rFonts w:ascii="Arial" w:eastAsia="Times New Roman" w:hAnsi="Arial" w:cs="Arial"/>
          <w:i/>
          <w:iCs/>
          <w:color w:val="222222"/>
          <w:sz w:val="18"/>
          <w:szCs w:val="18"/>
        </w:rPr>
      </w:pPr>
      <w:r w:rsidRPr="00A178D1">
        <w:rPr>
          <w:rFonts w:ascii="Arial" w:eastAsia="Times New Roman" w:hAnsi="Arial" w:cs="Arial"/>
          <w:i/>
          <w:iCs/>
          <w:color w:val="222222"/>
          <w:sz w:val="18"/>
          <w:szCs w:val="18"/>
        </w:rPr>
        <w:t xml:space="preserve"> </w:t>
      </w:r>
    </w:p>
    <w:p w14:paraId="3B2641E7" w14:textId="56623905" w:rsidR="00397278" w:rsidRPr="00D30B8B" w:rsidRDefault="00A661EA" w:rsidP="001617F6">
      <w:pPr>
        <w:shd w:val="clear" w:color="auto" w:fill="FFFFFF"/>
        <w:spacing w:after="0" w:line="240" w:lineRule="auto"/>
        <w:rPr>
          <w:rFonts w:ascii="Arial" w:eastAsia="Times New Roman" w:hAnsi="Arial" w:cs="Arial"/>
          <w:color w:val="222222"/>
        </w:rPr>
      </w:pPr>
      <w:r w:rsidRPr="00A661EA">
        <w:rPr>
          <w:rFonts w:ascii="Arial" w:eastAsia="Times New Roman" w:hAnsi="Arial" w:cs="Arial"/>
          <w:noProof/>
          <w:color w:val="222222"/>
        </w:rPr>
        <w:drawing>
          <wp:inline distT="0" distB="0" distL="0" distR="0" wp14:anchorId="11325F98" wp14:editId="3F237B46">
            <wp:extent cx="5943600" cy="2971800"/>
            <wp:effectExtent l="0" t="0" r="0" b="0"/>
            <wp:docPr id="65" name="Chart 65">
              <a:extLst xmlns:a="http://schemas.openxmlformats.org/drawingml/2006/main">
                <a:ext uri="{FF2B5EF4-FFF2-40B4-BE49-F238E27FC236}">
                  <a16:creationId xmlns:a16="http://schemas.microsoft.com/office/drawing/2014/main" id="{AB63068E-80CE-4BDE-9435-4091C79F5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7F8951" w14:textId="77777777" w:rsidR="001617F6" w:rsidRPr="004D30CA" w:rsidRDefault="001617F6" w:rsidP="004D30CA">
      <w:pPr>
        <w:pStyle w:val="Heading3"/>
        <w:rPr>
          <w:rStyle w:val="Heading3Char"/>
          <w:rFonts w:ascii="Arial" w:hAnsi="Arial" w:cs="Arial"/>
          <w:i/>
          <w:iCs/>
        </w:rPr>
      </w:pPr>
    </w:p>
    <w:p w14:paraId="5F49842E" w14:textId="7C40EE7B" w:rsidR="004D30CA" w:rsidRPr="004D30CA" w:rsidRDefault="004D30CA" w:rsidP="004D30CA">
      <w:pPr>
        <w:pStyle w:val="Heading3"/>
        <w:rPr>
          <w:rFonts w:ascii="Arial" w:eastAsia="Times New Roman" w:hAnsi="Arial" w:cs="Arial"/>
          <w:i/>
          <w:iCs/>
          <w:color w:val="222222"/>
        </w:rPr>
      </w:pPr>
      <w:bookmarkStart w:id="15" w:name="_Toc57035117"/>
      <w:r w:rsidRPr="004D30CA">
        <w:rPr>
          <w:rFonts w:ascii="Arial" w:eastAsia="Times New Roman" w:hAnsi="Arial" w:cs="Arial"/>
          <w:i/>
          <w:iCs/>
          <w:color w:val="222222"/>
        </w:rPr>
        <w:t xml:space="preserve">Scaling up a comprehensive </w:t>
      </w:r>
      <w:r>
        <w:rPr>
          <w:rFonts w:ascii="Arial" w:eastAsia="Times New Roman" w:hAnsi="Arial" w:cs="Arial"/>
          <w:i/>
          <w:iCs/>
          <w:color w:val="222222"/>
        </w:rPr>
        <w:t xml:space="preserve">prevention </w:t>
      </w:r>
      <w:r w:rsidRPr="004D30CA">
        <w:rPr>
          <w:rFonts w:ascii="Arial" w:eastAsia="Times New Roman" w:hAnsi="Arial" w:cs="Arial"/>
          <w:i/>
          <w:iCs/>
          <w:color w:val="222222"/>
        </w:rPr>
        <w:t xml:space="preserve">package </w:t>
      </w:r>
      <w:r>
        <w:rPr>
          <w:rFonts w:ascii="Arial" w:eastAsia="Times New Roman" w:hAnsi="Arial" w:cs="Arial"/>
          <w:i/>
          <w:iCs/>
          <w:color w:val="222222"/>
        </w:rPr>
        <w:t>for AGYW</w:t>
      </w:r>
      <w:bookmarkEnd w:id="15"/>
    </w:p>
    <w:p w14:paraId="2260B686" w14:textId="77777777" w:rsidR="004D30CA" w:rsidRDefault="004D30CA" w:rsidP="004D30CA">
      <w:pPr>
        <w:pStyle w:val="ListParagraph"/>
        <w:shd w:val="clear" w:color="auto" w:fill="FFFFFF"/>
        <w:spacing w:after="0" w:line="240" w:lineRule="auto"/>
        <w:ind w:left="0"/>
        <w:rPr>
          <w:rStyle w:val="Heading3Char"/>
          <w:rFonts w:ascii="Arial" w:hAnsi="Arial" w:cs="Arial"/>
          <w:i/>
          <w:iCs/>
        </w:rPr>
      </w:pPr>
    </w:p>
    <w:p w14:paraId="7346F60A" w14:textId="3ABFFB9B" w:rsidR="004D30CA" w:rsidRPr="00572F3E" w:rsidRDefault="004D30CA" w:rsidP="004D30CA">
      <w:pPr>
        <w:pStyle w:val="ListParagraph"/>
        <w:shd w:val="clear" w:color="auto" w:fill="FFFFFF"/>
        <w:spacing w:after="0" w:line="240" w:lineRule="auto"/>
        <w:ind w:left="0"/>
        <w:rPr>
          <w:rFonts w:ascii="Arial" w:eastAsia="Times New Roman" w:hAnsi="Arial" w:cs="Arial"/>
          <w:i/>
          <w:iCs/>
          <w:color w:val="222222"/>
        </w:rPr>
      </w:pPr>
      <w:r w:rsidRPr="006C2CEA">
        <w:rPr>
          <w:rFonts w:ascii="Arial" w:eastAsia="Times New Roman" w:hAnsi="Arial" w:cs="Arial"/>
          <w:color w:val="222222"/>
        </w:rPr>
        <w:t>Addressing</w:t>
      </w:r>
      <w:r>
        <w:rPr>
          <w:rFonts w:ascii="Arial" w:eastAsia="Times New Roman" w:hAnsi="Arial" w:cs="Arial"/>
          <w:color w:val="222222"/>
        </w:rPr>
        <w:t xml:space="preserve"> structural roots of high risk of HIV infection among AGYW is a</w:t>
      </w:r>
      <w:r w:rsidRPr="00572F3E">
        <w:rPr>
          <w:rFonts w:ascii="Arial" w:eastAsia="Times New Roman" w:hAnsi="Arial" w:cs="Arial"/>
          <w:color w:val="222222"/>
        </w:rPr>
        <w:t xml:space="preserve"> key challenge that to</w:t>
      </w:r>
      <w:r>
        <w:rPr>
          <w:rFonts w:ascii="Arial" w:eastAsia="Times New Roman" w:hAnsi="Arial" w:cs="Arial"/>
          <w:color w:val="222222"/>
        </w:rPr>
        <w:t xml:space="preserve"> fully</w:t>
      </w:r>
      <w:r w:rsidRPr="00572F3E">
        <w:rPr>
          <w:rFonts w:ascii="Arial" w:eastAsia="Times New Roman" w:hAnsi="Arial" w:cs="Arial"/>
          <w:color w:val="222222"/>
        </w:rPr>
        <w:t xml:space="preserve"> address will require significant funding outlays beyond current spending.</w:t>
      </w:r>
      <w:r>
        <w:rPr>
          <w:rFonts w:ascii="Arial" w:eastAsia="Times New Roman" w:hAnsi="Arial" w:cs="Arial"/>
          <w:color w:val="222222"/>
        </w:rPr>
        <w:t xml:space="preserve"> The analysis in IC 2.0</w:t>
      </w:r>
      <w:r w:rsidR="005E73F8">
        <w:rPr>
          <w:rFonts w:ascii="Arial" w:eastAsia="Times New Roman" w:hAnsi="Arial" w:cs="Arial"/>
          <w:color w:val="222222"/>
        </w:rPr>
        <w:t>,</w:t>
      </w:r>
      <w:r>
        <w:rPr>
          <w:rFonts w:ascii="Arial" w:eastAsia="Times New Roman" w:hAnsi="Arial" w:cs="Arial"/>
          <w:color w:val="222222"/>
        </w:rPr>
        <w:t xml:space="preserve"> which focuses on optimization of prevention spending based on cost-effectiveness within tight resource constraints</w:t>
      </w:r>
      <w:r w:rsidR="005E73F8">
        <w:rPr>
          <w:rFonts w:ascii="Arial" w:eastAsia="Times New Roman" w:hAnsi="Arial" w:cs="Arial"/>
          <w:color w:val="222222"/>
        </w:rPr>
        <w:t>,</w:t>
      </w:r>
      <w:r>
        <w:rPr>
          <w:rFonts w:ascii="Arial" w:eastAsia="Times New Roman" w:hAnsi="Arial" w:cs="Arial"/>
          <w:color w:val="222222"/>
        </w:rPr>
        <w:t xml:space="preserve"> does not make it easy to justify spending on this innovative program, since it is very expensive compared to equally important but less costly prevention interventions like VMMC and condoms.  Modeling for IC 2.0 suggests that a comprehensive prevention package for AGYW would cost </w:t>
      </w:r>
      <w:r>
        <w:rPr>
          <w:rFonts w:ascii="Arial" w:hAnsi="Arial" w:cs="Arial"/>
        </w:rPr>
        <w:t xml:space="preserve">USD 150 M annually in 2020 and would rise to USD 275 M by 2030 – more than half of what Tanzania is </w:t>
      </w:r>
      <w:r w:rsidR="005E73F8">
        <w:rPr>
          <w:rFonts w:ascii="Arial" w:hAnsi="Arial" w:cs="Arial"/>
        </w:rPr>
        <w:t xml:space="preserve">currently </w:t>
      </w:r>
      <w:r>
        <w:rPr>
          <w:rFonts w:ascii="Arial" w:hAnsi="Arial" w:cs="Arial"/>
        </w:rPr>
        <w:t xml:space="preserve">spending in total to fight AIDS. It is difficult to see </w:t>
      </w:r>
      <w:r>
        <w:rPr>
          <w:rFonts w:ascii="Arial" w:eastAsia="Times New Roman" w:hAnsi="Arial" w:cs="Arial"/>
          <w:color w:val="222222"/>
        </w:rPr>
        <w:t>where the</w:t>
      </w:r>
      <w:r w:rsidR="005E73F8">
        <w:rPr>
          <w:rFonts w:ascii="Arial" w:eastAsia="Times New Roman" w:hAnsi="Arial" w:cs="Arial"/>
          <w:color w:val="222222"/>
        </w:rPr>
        <w:t xml:space="preserve">se additional </w:t>
      </w:r>
      <w:r>
        <w:rPr>
          <w:rFonts w:ascii="Arial" w:eastAsia="Times New Roman" w:hAnsi="Arial" w:cs="Arial"/>
          <w:color w:val="222222"/>
        </w:rPr>
        <w:t xml:space="preserve">funds would come from. However, </w:t>
      </w:r>
      <w:r w:rsidRPr="006F2BDD">
        <w:rPr>
          <w:rFonts w:ascii="Arial" w:eastAsia="Times New Roman" w:hAnsi="Arial" w:cs="Arial"/>
          <w:color w:val="222222"/>
        </w:rPr>
        <w:t xml:space="preserve">given the </w:t>
      </w:r>
      <w:r>
        <w:rPr>
          <w:rFonts w:ascii="Arial" w:eastAsia="Times New Roman" w:hAnsi="Arial" w:cs="Arial"/>
          <w:color w:val="222222"/>
        </w:rPr>
        <w:t>long-run payoffs from protecting adolescent girls and young women from HIV infection, extra investments in these areas may be justified. P</w:t>
      </w:r>
      <w:r w:rsidRPr="006F2BDD">
        <w:rPr>
          <w:rFonts w:ascii="Arial" w:eastAsia="Times New Roman" w:hAnsi="Arial" w:cs="Arial"/>
          <w:color w:val="222222"/>
        </w:rPr>
        <w:t>articularly in the case of AGYW</w:t>
      </w:r>
      <w:r>
        <w:rPr>
          <w:rFonts w:ascii="Arial" w:eastAsia="Times New Roman" w:hAnsi="Arial" w:cs="Arial"/>
          <w:color w:val="222222"/>
        </w:rPr>
        <w:t>, where the benefits of female empowerment are wider than in HIV and health (for example, in increased girls’ education and livelihoods), the extra costs of the program should be shared with other sectors and ministries.</w:t>
      </w:r>
    </w:p>
    <w:p w14:paraId="77109165" w14:textId="77777777" w:rsidR="00397278" w:rsidRPr="001B55B5" w:rsidRDefault="00397278" w:rsidP="008F15AD">
      <w:pPr>
        <w:spacing w:after="0"/>
      </w:pPr>
    </w:p>
    <w:p w14:paraId="51A6D1B1" w14:textId="77777777" w:rsidR="00397278" w:rsidRPr="00A178D1" w:rsidRDefault="00397278" w:rsidP="008F15AD">
      <w:pPr>
        <w:pStyle w:val="Heading2"/>
        <w:rPr>
          <w:rFonts w:ascii="Arial" w:hAnsi="Arial" w:cs="Arial"/>
          <w:b/>
          <w:bCs/>
          <w:color w:val="000000" w:themeColor="text1"/>
        </w:rPr>
      </w:pPr>
      <w:bookmarkStart w:id="16" w:name="_Toc57035118"/>
      <w:r w:rsidRPr="00A178D1">
        <w:rPr>
          <w:rFonts w:ascii="Arial" w:hAnsi="Arial" w:cs="Arial"/>
          <w:b/>
          <w:bCs/>
          <w:color w:val="000000" w:themeColor="text1"/>
        </w:rPr>
        <w:t>Conclusions and recommendations</w:t>
      </w:r>
      <w:bookmarkEnd w:id="16"/>
    </w:p>
    <w:p w14:paraId="07C752D7" w14:textId="77777777" w:rsidR="00397278" w:rsidRPr="00D30B8B" w:rsidRDefault="00397278" w:rsidP="008F15AD">
      <w:pPr>
        <w:shd w:val="clear" w:color="auto" w:fill="FFFFFF"/>
        <w:spacing w:after="0" w:line="240" w:lineRule="auto"/>
        <w:rPr>
          <w:rFonts w:ascii="Arial" w:eastAsia="Times New Roman" w:hAnsi="Arial" w:cs="Arial"/>
          <w:color w:val="222222"/>
        </w:rPr>
      </w:pPr>
    </w:p>
    <w:p w14:paraId="04C1A5ED" w14:textId="77777777" w:rsidR="00397278" w:rsidRDefault="00397278" w:rsidP="001617F6">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As Tanzania looks to the next decade, the challenge </w:t>
      </w:r>
      <w:r>
        <w:rPr>
          <w:rFonts w:ascii="Arial" w:eastAsia="Times New Roman" w:hAnsi="Arial" w:cs="Arial"/>
          <w:color w:val="222222"/>
        </w:rPr>
        <w:t xml:space="preserve">of confronting HIV will not be an easy one. </w:t>
      </w:r>
      <w:r w:rsidRPr="00D30B8B">
        <w:rPr>
          <w:rFonts w:ascii="Arial" w:eastAsia="Times New Roman" w:hAnsi="Arial" w:cs="Arial"/>
          <w:color w:val="222222"/>
        </w:rPr>
        <w:t xml:space="preserve">The program is still </w:t>
      </w:r>
      <w:r>
        <w:rPr>
          <w:rFonts w:ascii="Arial" w:eastAsia="Times New Roman" w:hAnsi="Arial" w:cs="Arial"/>
          <w:color w:val="222222"/>
        </w:rPr>
        <w:t xml:space="preserve">running </w:t>
      </w:r>
      <w:r w:rsidRPr="00D30B8B">
        <w:rPr>
          <w:rFonts w:ascii="Arial" w:eastAsia="Times New Roman" w:hAnsi="Arial" w:cs="Arial"/>
          <w:color w:val="222222"/>
        </w:rPr>
        <w:t xml:space="preserve">significantly short of </w:t>
      </w:r>
      <w:r>
        <w:rPr>
          <w:rFonts w:ascii="Arial" w:eastAsia="Times New Roman" w:hAnsi="Arial" w:cs="Arial"/>
          <w:color w:val="222222"/>
        </w:rPr>
        <w:t xml:space="preserve">its own stated goals for </w:t>
      </w:r>
      <w:r w:rsidRPr="00D30B8B">
        <w:rPr>
          <w:rFonts w:ascii="Arial" w:eastAsia="Times New Roman" w:hAnsi="Arial" w:cs="Arial"/>
          <w:color w:val="222222"/>
        </w:rPr>
        <w:t>2030</w:t>
      </w:r>
      <w:r>
        <w:rPr>
          <w:rFonts w:ascii="Arial" w:eastAsia="Times New Roman" w:hAnsi="Arial" w:cs="Arial"/>
          <w:color w:val="222222"/>
        </w:rPr>
        <w:t>,</w:t>
      </w:r>
      <w:r w:rsidRPr="00D30B8B">
        <w:rPr>
          <w:rFonts w:ascii="Arial" w:eastAsia="Times New Roman" w:hAnsi="Arial" w:cs="Arial"/>
          <w:color w:val="222222"/>
        </w:rPr>
        <w:t xml:space="preserve"> and reliable sources of financing are waning. More PLHIV will have to be tested and put on ART</w:t>
      </w:r>
      <w:r>
        <w:rPr>
          <w:rFonts w:ascii="Arial" w:eastAsia="Times New Roman" w:hAnsi="Arial" w:cs="Arial"/>
          <w:color w:val="222222"/>
        </w:rPr>
        <w:t xml:space="preserve"> and new infections must be cut through a range of targeted prevention efforts</w:t>
      </w:r>
      <w:r w:rsidRPr="00D30B8B">
        <w:rPr>
          <w:rFonts w:ascii="Arial" w:eastAsia="Times New Roman" w:hAnsi="Arial" w:cs="Arial"/>
          <w:color w:val="222222"/>
        </w:rPr>
        <w:t xml:space="preserve">, and there </w:t>
      </w:r>
      <w:r>
        <w:rPr>
          <w:rFonts w:ascii="Arial" w:eastAsia="Times New Roman" w:hAnsi="Arial" w:cs="Arial"/>
          <w:color w:val="222222"/>
        </w:rPr>
        <w:t xml:space="preserve">may well </w:t>
      </w:r>
      <w:r w:rsidRPr="00D30B8B">
        <w:rPr>
          <w:rFonts w:ascii="Arial" w:eastAsia="Times New Roman" w:hAnsi="Arial" w:cs="Arial"/>
          <w:color w:val="222222"/>
        </w:rPr>
        <w:t xml:space="preserve">be less money from donors to support these efforts </w:t>
      </w:r>
    </w:p>
    <w:p w14:paraId="140721D5" w14:textId="77777777" w:rsidR="00397278" w:rsidRDefault="00397278" w:rsidP="001617F6">
      <w:pPr>
        <w:shd w:val="clear" w:color="auto" w:fill="FFFFFF"/>
        <w:spacing w:after="0" w:line="240" w:lineRule="auto"/>
        <w:rPr>
          <w:rFonts w:ascii="Arial" w:eastAsia="Times New Roman" w:hAnsi="Arial" w:cs="Arial"/>
          <w:color w:val="222222"/>
        </w:rPr>
      </w:pPr>
    </w:p>
    <w:p w14:paraId="70A9ACB6" w14:textId="77777777" w:rsidR="00397278" w:rsidRDefault="00397278" w:rsidP="001617F6">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As time continues to tick towards 2030, Tanzania </w:t>
      </w:r>
      <w:r>
        <w:rPr>
          <w:rFonts w:ascii="Arial" w:eastAsia="Times New Roman" w:hAnsi="Arial" w:cs="Arial"/>
          <w:color w:val="222222"/>
        </w:rPr>
        <w:t>faces stark choices.  Unless significantly more money can be mobilized, the country will have t</w:t>
      </w:r>
      <w:r w:rsidRPr="00D30B8B">
        <w:rPr>
          <w:rFonts w:ascii="Arial" w:eastAsia="Times New Roman" w:hAnsi="Arial" w:cs="Arial"/>
          <w:color w:val="222222"/>
        </w:rPr>
        <w:t xml:space="preserve">o do more with </w:t>
      </w:r>
      <w:r>
        <w:rPr>
          <w:rFonts w:ascii="Arial" w:eastAsia="Times New Roman" w:hAnsi="Arial" w:cs="Arial"/>
          <w:color w:val="222222"/>
        </w:rPr>
        <w:t xml:space="preserve">existing resources and possibly with </w:t>
      </w:r>
      <w:r w:rsidRPr="00D30B8B">
        <w:rPr>
          <w:rFonts w:ascii="Arial" w:eastAsia="Times New Roman" w:hAnsi="Arial" w:cs="Arial"/>
          <w:color w:val="222222"/>
        </w:rPr>
        <w:t>less</w:t>
      </w:r>
      <w:r>
        <w:rPr>
          <w:rFonts w:ascii="Arial" w:eastAsia="Times New Roman" w:hAnsi="Arial" w:cs="Arial"/>
          <w:color w:val="222222"/>
        </w:rPr>
        <w:t xml:space="preserve"> than what is available today</w:t>
      </w:r>
      <w:r w:rsidRPr="00D30B8B">
        <w:rPr>
          <w:rFonts w:ascii="Arial" w:eastAsia="Times New Roman" w:hAnsi="Arial" w:cs="Arial"/>
          <w:color w:val="222222"/>
        </w:rPr>
        <w:t xml:space="preserve">. The </w:t>
      </w:r>
      <w:r>
        <w:rPr>
          <w:rFonts w:ascii="Arial" w:eastAsia="Times New Roman" w:hAnsi="Arial" w:cs="Arial"/>
          <w:color w:val="222222"/>
        </w:rPr>
        <w:t xml:space="preserve">country needs to </w:t>
      </w:r>
      <w:r w:rsidRPr="00D30B8B">
        <w:rPr>
          <w:rFonts w:ascii="Arial" w:eastAsia="Times New Roman" w:hAnsi="Arial" w:cs="Arial"/>
          <w:color w:val="222222"/>
        </w:rPr>
        <w:t>identify</w:t>
      </w:r>
      <w:r>
        <w:rPr>
          <w:rFonts w:ascii="Arial" w:eastAsia="Times New Roman" w:hAnsi="Arial" w:cs="Arial"/>
          <w:color w:val="222222"/>
        </w:rPr>
        <w:t xml:space="preserve"> and adopt measures to </w:t>
      </w:r>
      <w:r w:rsidRPr="00D30B8B">
        <w:rPr>
          <w:rFonts w:ascii="Arial" w:eastAsia="Times New Roman" w:hAnsi="Arial" w:cs="Arial"/>
          <w:color w:val="222222"/>
        </w:rPr>
        <w:t>optimiz</w:t>
      </w:r>
      <w:r>
        <w:rPr>
          <w:rFonts w:ascii="Arial" w:eastAsia="Times New Roman" w:hAnsi="Arial" w:cs="Arial"/>
          <w:color w:val="222222"/>
        </w:rPr>
        <w:t>e</w:t>
      </w:r>
      <w:r w:rsidRPr="00D30B8B">
        <w:rPr>
          <w:rFonts w:ascii="Arial" w:eastAsia="Times New Roman" w:hAnsi="Arial" w:cs="Arial"/>
          <w:color w:val="222222"/>
        </w:rPr>
        <w:t xml:space="preserve"> the value of every dollar spent, </w:t>
      </w:r>
      <w:r>
        <w:rPr>
          <w:rFonts w:ascii="Arial" w:eastAsia="Times New Roman" w:hAnsi="Arial" w:cs="Arial"/>
          <w:color w:val="222222"/>
        </w:rPr>
        <w:t xml:space="preserve">achieving </w:t>
      </w:r>
      <w:r w:rsidRPr="00D30B8B">
        <w:rPr>
          <w:rFonts w:ascii="Arial" w:eastAsia="Times New Roman" w:hAnsi="Arial" w:cs="Arial"/>
          <w:color w:val="222222"/>
        </w:rPr>
        <w:t xml:space="preserve">the maximum impact in preventing new infections and putting more PLHIV on </w:t>
      </w:r>
      <w:r>
        <w:rPr>
          <w:rFonts w:ascii="Arial" w:eastAsia="Times New Roman" w:hAnsi="Arial" w:cs="Arial"/>
          <w:color w:val="222222"/>
        </w:rPr>
        <w:t xml:space="preserve">effective </w:t>
      </w:r>
      <w:r w:rsidRPr="00D30B8B">
        <w:rPr>
          <w:rFonts w:ascii="Arial" w:eastAsia="Times New Roman" w:hAnsi="Arial" w:cs="Arial"/>
          <w:color w:val="222222"/>
        </w:rPr>
        <w:t>ART</w:t>
      </w:r>
      <w:r>
        <w:rPr>
          <w:rFonts w:ascii="Arial" w:eastAsia="Times New Roman" w:hAnsi="Arial" w:cs="Arial"/>
          <w:color w:val="222222"/>
        </w:rPr>
        <w:t>.  At the same time, the Government must mobilize additional domestic funding, especially as a hedge if donor financing not only plateaus after 2019 but starts to decline further.</w:t>
      </w:r>
    </w:p>
    <w:p w14:paraId="3853B522" w14:textId="77777777" w:rsidR="00397278" w:rsidRDefault="00397278" w:rsidP="001617F6">
      <w:pPr>
        <w:shd w:val="clear" w:color="auto" w:fill="FFFFFF"/>
        <w:spacing w:after="0" w:line="240" w:lineRule="auto"/>
        <w:rPr>
          <w:rFonts w:ascii="Arial" w:eastAsia="Times New Roman" w:hAnsi="Arial" w:cs="Arial"/>
          <w:color w:val="222222"/>
        </w:rPr>
      </w:pPr>
    </w:p>
    <w:p w14:paraId="7E58AC4B" w14:textId="77777777"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Optimization</w:t>
      </w:r>
      <w:r w:rsidRPr="00D30B8B">
        <w:rPr>
          <w:rFonts w:ascii="Arial" w:eastAsia="Times New Roman" w:hAnsi="Arial" w:cs="Arial"/>
          <w:color w:val="222222"/>
        </w:rPr>
        <w:t xml:space="preserve"> through prioritization of funds towards the most cost-effective interventions and the implementation of </w:t>
      </w:r>
      <w:r>
        <w:rPr>
          <w:rFonts w:ascii="Arial" w:eastAsia="Times New Roman" w:hAnsi="Arial" w:cs="Arial"/>
          <w:color w:val="222222"/>
        </w:rPr>
        <w:t xml:space="preserve">treatment-related </w:t>
      </w:r>
      <w:r w:rsidRPr="00D30B8B">
        <w:rPr>
          <w:rFonts w:ascii="Arial" w:eastAsia="Times New Roman" w:hAnsi="Arial" w:cs="Arial"/>
          <w:color w:val="222222"/>
        </w:rPr>
        <w:t xml:space="preserve">efficiencies could </w:t>
      </w:r>
      <w:r>
        <w:rPr>
          <w:rFonts w:ascii="Arial" w:eastAsia="Times New Roman" w:hAnsi="Arial" w:cs="Arial"/>
          <w:color w:val="222222"/>
        </w:rPr>
        <w:t xml:space="preserve">enable Tanzania to come close to the </w:t>
      </w:r>
      <w:r w:rsidRPr="00D30B8B">
        <w:rPr>
          <w:rFonts w:ascii="Arial" w:eastAsia="Times New Roman" w:hAnsi="Arial" w:cs="Arial"/>
          <w:color w:val="222222"/>
        </w:rPr>
        <w:t xml:space="preserve">goals of the National </w:t>
      </w:r>
      <w:r>
        <w:rPr>
          <w:rFonts w:ascii="Arial" w:eastAsia="Times New Roman" w:hAnsi="Arial" w:cs="Arial"/>
          <w:color w:val="222222"/>
        </w:rPr>
        <w:t xml:space="preserve">HIV </w:t>
      </w:r>
      <w:r w:rsidRPr="00D30B8B">
        <w:rPr>
          <w:rFonts w:ascii="Arial" w:eastAsia="Times New Roman" w:hAnsi="Arial" w:cs="Arial"/>
          <w:color w:val="222222"/>
        </w:rPr>
        <w:t>Strategy</w:t>
      </w:r>
      <w:r>
        <w:rPr>
          <w:rFonts w:ascii="Arial" w:eastAsia="Times New Roman" w:hAnsi="Arial" w:cs="Arial"/>
          <w:color w:val="222222"/>
        </w:rPr>
        <w:t xml:space="preserve"> even with 2018 funding-levels. </w:t>
      </w:r>
    </w:p>
    <w:p w14:paraId="2AD6BC5F" w14:textId="77777777" w:rsidR="00397278" w:rsidRDefault="00397278" w:rsidP="001617F6">
      <w:pPr>
        <w:shd w:val="clear" w:color="auto" w:fill="FFFFFF"/>
        <w:spacing w:after="0" w:line="240" w:lineRule="auto"/>
        <w:rPr>
          <w:rFonts w:ascii="Arial" w:eastAsia="Times New Roman" w:hAnsi="Arial" w:cs="Arial"/>
          <w:color w:val="222222"/>
        </w:rPr>
      </w:pPr>
    </w:p>
    <w:p w14:paraId="0B055D8F" w14:textId="5EFB275E" w:rsidR="00397278" w:rsidRPr="00D30B8B"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If donor funding continues to decline, the Tanzania government will have to step up to provide more domestic financing to offset these reductions. The alternative scenario, in which domestic funds stagnate at current levels, would be perilous for the country, leading to a major reversal of achievements to date and leaving Tanzania very far away from achieving its national goals  A average increase of USD 10-15 M a year in national funds, which appear to be affordable </w:t>
      </w:r>
      <w:r w:rsidR="008921BB">
        <w:rPr>
          <w:rFonts w:ascii="Arial" w:eastAsia="Times New Roman" w:hAnsi="Arial" w:cs="Arial"/>
          <w:color w:val="222222"/>
        </w:rPr>
        <w:t xml:space="preserve">given </w:t>
      </w:r>
      <w:r>
        <w:rPr>
          <w:rFonts w:ascii="Arial" w:eastAsia="Times New Roman" w:hAnsi="Arial" w:cs="Arial"/>
          <w:color w:val="222222"/>
        </w:rPr>
        <w:t>Tanzania’s economic outlook would protect the country against unwanted declines in donor financing and would greatly improve long-run sustainability.</w:t>
      </w:r>
    </w:p>
    <w:p w14:paraId="67E2F0A4"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0836BE8A" w14:textId="77777777" w:rsidR="00397278" w:rsidRDefault="00397278" w:rsidP="001617F6">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Although this challenge is difficult and daunting, Tanzania could </w:t>
      </w:r>
      <w:r>
        <w:rPr>
          <w:rFonts w:ascii="Arial" w:eastAsia="Times New Roman" w:hAnsi="Arial" w:cs="Arial"/>
          <w:color w:val="222222"/>
        </w:rPr>
        <w:t xml:space="preserve">continue to advance toward the </w:t>
      </w:r>
      <w:r w:rsidRPr="00D30B8B">
        <w:rPr>
          <w:rFonts w:ascii="Arial" w:eastAsia="Times New Roman" w:hAnsi="Arial" w:cs="Arial"/>
          <w:color w:val="222222"/>
        </w:rPr>
        <w:t xml:space="preserve">Fast Track targets </w:t>
      </w:r>
      <w:r>
        <w:rPr>
          <w:rFonts w:ascii="Arial" w:eastAsia="Times New Roman" w:hAnsi="Arial" w:cs="Arial"/>
          <w:color w:val="222222"/>
        </w:rPr>
        <w:t xml:space="preserve">for 2030 and move </w:t>
      </w:r>
      <w:r w:rsidRPr="00D30B8B">
        <w:rPr>
          <w:rFonts w:ascii="Arial" w:eastAsia="Times New Roman" w:hAnsi="Arial" w:cs="Arial"/>
          <w:color w:val="222222"/>
        </w:rPr>
        <w:t>to epidemic control</w:t>
      </w:r>
      <w:r>
        <w:rPr>
          <w:rFonts w:ascii="Arial" w:eastAsia="Times New Roman" w:hAnsi="Arial" w:cs="Arial"/>
          <w:color w:val="222222"/>
        </w:rPr>
        <w:t xml:space="preserve"> if the country follows a dual strategy, along the lines of what is contained in IC 2.0, to (a) pursue optimization of spending (allocative and technical efficiencies) and (b) mobilize feasible levels </w:t>
      </w:r>
      <w:r w:rsidRPr="00D30B8B">
        <w:rPr>
          <w:rFonts w:ascii="Arial" w:eastAsia="Times New Roman" w:hAnsi="Arial" w:cs="Arial"/>
          <w:color w:val="222222"/>
        </w:rPr>
        <w:t xml:space="preserve">of domestic financing. </w:t>
      </w:r>
      <w:r>
        <w:rPr>
          <w:rFonts w:ascii="Arial" w:eastAsia="Times New Roman" w:hAnsi="Arial" w:cs="Arial"/>
          <w:color w:val="222222"/>
        </w:rPr>
        <w:t xml:space="preserve">In this sense, IC </w:t>
      </w:r>
      <w:r w:rsidRPr="00D30B8B">
        <w:rPr>
          <w:rFonts w:ascii="Arial" w:eastAsia="Times New Roman" w:hAnsi="Arial" w:cs="Arial"/>
          <w:color w:val="222222"/>
        </w:rPr>
        <w:t xml:space="preserve">2.0 </w:t>
      </w:r>
      <w:r>
        <w:rPr>
          <w:rFonts w:ascii="Arial" w:eastAsia="Times New Roman" w:hAnsi="Arial" w:cs="Arial"/>
          <w:color w:val="222222"/>
        </w:rPr>
        <w:t xml:space="preserve">could help to promote a health policy dialogue around </w:t>
      </w:r>
      <w:r w:rsidRPr="00D30B8B">
        <w:rPr>
          <w:rFonts w:ascii="Arial" w:eastAsia="Times New Roman" w:hAnsi="Arial" w:cs="Arial"/>
          <w:color w:val="222222"/>
        </w:rPr>
        <w:t>focus</w:t>
      </w:r>
      <w:r>
        <w:rPr>
          <w:rFonts w:ascii="Arial" w:eastAsia="Times New Roman" w:hAnsi="Arial" w:cs="Arial"/>
          <w:color w:val="222222"/>
        </w:rPr>
        <w:t>ing</w:t>
      </w:r>
      <w:r w:rsidRPr="00D30B8B">
        <w:rPr>
          <w:rFonts w:ascii="Arial" w:eastAsia="Times New Roman" w:hAnsi="Arial" w:cs="Arial"/>
          <w:color w:val="222222"/>
        </w:rPr>
        <w:t xml:space="preserve"> on efficiency and greater country financial responsibility</w:t>
      </w:r>
      <w:r>
        <w:rPr>
          <w:rFonts w:ascii="Arial" w:eastAsia="Times New Roman" w:hAnsi="Arial" w:cs="Arial"/>
          <w:color w:val="222222"/>
        </w:rPr>
        <w:t xml:space="preserve">, rather than advocating for large and unrealistic amounts of extra external funding. </w:t>
      </w:r>
    </w:p>
    <w:p w14:paraId="37386A62" w14:textId="77777777" w:rsidR="00397278" w:rsidRDefault="00397278" w:rsidP="001617F6">
      <w:pPr>
        <w:shd w:val="clear" w:color="auto" w:fill="FFFFFF"/>
        <w:spacing w:after="0" w:line="240" w:lineRule="auto"/>
        <w:rPr>
          <w:rFonts w:ascii="Arial" w:eastAsia="Times New Roman" w:hAnsi="Arial" w:cs="Arial"/>
          <w:color w:val="222222"/>
        </w:rPr>
      </w:pPr>
    </w:p>
    <w:p w14:paraId="35CDA380" w14:textId="77777777" w:rsidR="005E73F8" w:rsidRDefault="005E73F8" w:rsidP="001617F6">
      <w:pPr>
        <w:shd w:val="clear" w:color="auto" w:fill="FFFFFF"/>
        <w:spacing w:after="0" w:line="240" w:lineRule="auto"/>
        <w:rPr>
          <w:rFonts w:ascii="Arial" w:eastAsia="Times New Roman" w:hAnsi="Arial" w:cs="Arial"/>
          <w:color w:val="222222"/>
        </w:rPr>
      </w:pPr>
    </w:p>
    <w:p w14:paraId="6309662A" w14:textId="77777777" w:rsidR="005E73F8" w:rsidRDefault="005E73F8" w:rsidP="001617F6">
      <w:pPr>
        <w:shd w:val="clear" w:color="auto" w:fill="FFFFFF"/>
        <w:spacing w:after="0" w:line="240" w:lineRule="auto"/>
        <w:rPr>
          <w:rFonts w:ascii="Arial" w:eastAsia="Times New Roman" w:hAnsi="Arial" w:cs="Arial"/>
          <w:color w:val="222222"/>
        </w:rPr>
      </w:pPr>
    </w:p>
    <w:p w14:paraId="184E53EF" w14:textId="77777777" w:rsidR="005E73F8" w:rsidRDefault="005E73F8" w:rsidP="001617F6">
      <w:pPr>
        <w:shd w:val="clear" w:color="auto" w:fill="FFFFFF"/>
        <w:spacing w:after="0" w:line="240" w:lineRule="auto"/>
        <w:rPr>
          <w:rFonts w:ascii="Arial" w:eastAsia="Times New Roman" w:hAnsi="Arial" w:cs="Arial"/>
          <w:color w:val="222222"/>
        </w:rPr>
      </w:pPr>
    </w:p>
    <w:p w14:paraId="0A55F890" w14:textId="7AA147D9" w:rsidR="00397278" w:rsidRPr="00D30B8B"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lastRenderedPageBreak/>
        <w:t>T</w:t>
      </w:r>
      <w:r w:rsidRPr="00D30B8B">
        <w:rPr>
          <w:rFonts w:ascii="Arial" w:eastAsia="Times New Roman" w:hAnsi="Arial" w:cs="Arial"/>
          <w:color w:val="222222"/>
        </w:rPr>
        <w:t xml:space="preserve">he main recommendations of the investment case include: </w:t>
      </w:r>
    </w:p>
    <w:p w14:paraId="1F2D6051"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2AD4B927" w14:textId="77777777" w:rsidR="00397278" w:rsidRPr="0076637B" w:rsidRDefault="00397278" w:rsidP="001617F6">
      <w:pPr>
        <w:pStyle w:val="ListParagraph"/>
        <w:numPr>
          <w:ilvl w:val="0"/>
          <w:numId w:val="59"/>
        </w:numPr>
        <w:shd w:val="clear" w:color="auto" w:fill="FFFFFF"/>
        <w:spacing w:after="0" w:line="240" w:lineRule="auto"/>
        <w:ind w:left="360"/>
        <w:rPr>
          <w:rFonts w:ascii="Arial" w:eastAsia="Times New Roman" w:hAnsi="Arial" w:cs="Arial"/>
          <w:color w:val="222222"/>
        </w:rPr>
      </w:pPr>
      <w:r w:rsidRPr="0076637B">
        <w:rPr>
          <w:rFonts w:ascii="Arial" w:eastAsia="Times New Roman" w:hAnsi="Arial" w:cs="Arial"/>
          <w:color w:val="222222"/>
        </w:rPr>
        <w:t xml:space="preserve">Even in </w:t>
      </w:r>
      <w:r>
        <w:rPr>
          <w:rFonts w:ascii="Arial" w:eastAsia="Times New Roman" w:hAnsi="Arial" w:cs="Arial"/>
          <w:color w:val="222222"/>
        </w:rPr>
        <w:t xml:space="preserve">the </w:t>
      </w:r>
      <w:r w:rsidRPr="0076637B">
        <w:rPr>
          <w:rFonts w:ascii="Arial" w:eastAsia="Times New Roman" w:hAnsi="Arial" w:cs="Arial"/>
          <w:color w:val="222222"/>
        </w:rPr>
        <w:t>best case</w:t>
      </w:r>
      <w:r>
        <w:rPr>
          <w:rFonts w:ascii="Arial" w:eastAsia="Times New Roman" w:hAnsi="Arial" w:cs="Arial"/>
          <w:color w:val="222222"/>
        </w:rPr>
        <w:t xml:space="preserve">s for </w:t>
      </w:r>
      <w:r w:rsidRPr="0076637B">
        <w:rPr>
          <w:rFonts w:ascii="Arial" w:eastAsia="Times New Roman" w:hAnsi="Arial" w:cs="Arial"/>
          <w:color w:val="222222"/>
        </w:rPr>
        <w:t>funding</w:t>
      </w:r>
      <w:r>
        <w:rPr>
          <w:rFonts w:ascii="Arial" w:eastAsia="Times New Roman" w:hAnsi="Arial" w:cs="Arial"/>
          <w:color w:val="222222"/>
        </w:rPr>
        <w:t xml:space="preserve">, </w:t>
      </w:r>
      <w:r w:rsidRPr="0076637B">
        <w:rPr>
          <w:rFonts w:ascii="Arial" w:eastAsia="Times New Roman" w:hAnsi="Arial" w:cs="Arial"/>
          <w:color w:val="222222"/>
        </w:rPr>
        <w:t>optimization of prevention and treatment programs must be pursued</w:t>
      </w:r>
      <w:r>
        <w:rPr>
          <w:rFonts w:ascii="Arial" w:eastAsia="Times New Roman" w:hAnsi="Arial" w:cs="Arial"/>
          <w:color w:val="222222"/>
        </w:rPr>
        <w:t>.</w:t>
      </w:r>
    </w:p>
    <w:p w14:paraId="3DCFC9B6" w14:textId="7C8288E5" w:rsidR="00397278" w:rsidRPr="00D30B8B" w:rsidRDefault="008921BB" w:rsidP="001617F6">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Prevention activities should be optimized by</w:t>
      </w:r>
      <w:r w:rsidR="00397278">
        <w:rPr>
          <w:rFonts w:ascii="Arial" w:eastAsia="Times New Roman" w:hAnsi="Arial" w:cs="Arial"/>
          <w:color w:val="222222"/>
        </w:rPr>
        <w:t xml:space="preserve"> shifting resources from </w:t>
      </w:r>
      <w:r w:rsidR="00397278" w:rsidRPr="00D30B8B">
        <w:rPr>
          <w:rFonts w:ascii="Arial" w:eastAsia="Times New Roman" w:hAnsi="Arial" w:cs="Arial"/>
          <w:color w:val="222222"/>
        </w:rPr>
        <w:t xml:space="preserve">less cost-effective interventions to </w:t>
      </w:r>
      <w:r w:rsidR="00397278">
        <w:rPr>
          <w:rFonts w:ascii="Arial" w:eastAsia="Times New Roman" w:hAnsi="Arial" w:cs="Arial"/>
          <w:color w:val="222222"/>
        </w:rPr>
        <w:t>the most</w:t>
      </w:r>
      <w:r w:rsidR="00397278" w:rsidRPr="00D30B8B">
        <w:rPr>
          <w:rFonts w:ascii="Arial" w:eastAsia="Times New Roman" w:hAnsi="Arial" w:cs="Arial"/>
          <w:color w:val="222222"/>
        </w:rPr>
        <w:t xml:space="preserve"> cost-effective interventions</w:t>
      </w:r>
      <w:r>
        <w:rPr>
          <w:rFonts w:ascii="Arial" w:eastAsia="Times New Roman" w:hAnsi="Arial" w:cs="Arial"/>
          <w:color w:val="222222"/>
        </w:rPr>
        <w:t>.</w:t>
      </w:r>
      <w:r w:rsidR="00397278">
        <w:rPr>
          <w:rFonts w:ascii="Arial" w:eastAsia="Times New Roman" w:hAnsi="Arial" w:cs="Arial"/>
          <w:color w:val="222222"/>
        </w:rPr>
        <w:t xml:space="preserve"> Assuming funding levels are</w:t>
      </w:r>
      <w:r w:rsidR="00A87DFC">
        <w:rPr>
          <w:rFonts w:ascii="Arial" w:eastAsia="Times New Roman" w:hAnsi="Arial" w:cs="Arial"/>
          <w:color w:val="222222"/>
        </w:rPr>
        <w:t xml:space="preserve"> at least</w:t>
      </w:r>
      <w:r w:rsidR="00397278">
        <w:rPr>
          <w:rFonts w:ascii="Arial" w:eastAsia="Times New Roman" w:hAnsi="Arial" w:cs="Arial"/>
          <w:color w:val="222222"/>
        </w:rPr>
        <w:t xml:space="preserve"> maintained</w:t>
      </w:r>
      <w:r w:rsidR="00A87DFC">
        <w:rPr>
          <w:rFonts w:ascii="Arial" w:eastAsia="Times New Roman" w:hAnsi="Arial" w:cs="Arial"/>
          <w:color w:val="222222"/>
        </w:rPr>
        <w:t xml:space="preserve"> as would be required to maintain constant program coverage</w:t>
      </w:r>
      <w:r w:rsidR="00397278">
        <w:rPr>
          <w:rFonts w:ascii="Arial" w:eastAsia="Times New Roman" w:hAnsi="Arial" w:cs="Arial"/>
          <w:color w:val="222222"/>
        </w:rPr>
        <w:t xml:space="preserve">, this would entail a reallocation of USD 175 M to VMMC, condoms, and FSW prevention services over the coming decade. </w:t>
      </w:r>
    </w:p>
    <w:p w14:paraId="677A1BF6" w14:textId="72243835" w:rsidR="00397278" w:rsidRDefault="00397278" w:rsidP="001617F6">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 xml:space="preserve">Optimization </w:t>
      </w:r>
      <w:r w:rsidR="008921BB">
        <w:rPr>
          <w:rFonts w:ascii="Arial" w:eastAsia="Times New Roman" w:hAnsi="Arial" w:cs="Arial"/>
          <w:color w:val="222222"/>
        </w:rPr>
        <w:t>will also</w:t>
      </w:r>
      <w:r>
        <w:rPr>
          <w:rFonts w:ascii="Arial" w:eastAsia="Times New Roman" w:hAnsi="Arial" w:cs="Arial"/>
          <w:color w:val="222222"/>
        </w:rPr>
        <w:t xml:space="preserve"> require</w:t>
      </w:r>
      <w:r w:rsidR="008921BB">
        <w:rPr>
          <w:rFonts w:ascii="Arial" w:eastAsia="Times New Roman" w:hAnsi="Arial" w:cs="Arial"/>
          <w:color w:val="222222"/>
        </w:rPr>
        <w:t xml:space="preserve"> </w:t>
      </w:r>
      <w:r>
        <w:rPr>
          <w:rFonts w:ascii="Arial" w:eastAsia="Times New Roman" w:hAnsi="Arial" w:cs="Arial"/>
          <w:color w:val="222222"/>
        </w:rPr>
        <w:t>that Tanzania and its donor partners c</w:t>
      </w:r>
      <w:r w:rsidRPr="00D30B8B">
        <w:rPr>
          <w:rFonts w:ascii="Arial" w:eastAsia="Times New Roman" w:hAnsi="Arial" w:cs="Arial"/>
          <w:color w:val="222222"/>
        </w:rPr>
        <w:t>ommit to efficiency gains in Dolutegravir-based first-line regimens, more streamlined lab algorithms for stable patients, and community-based delivery of support services fo</w:t>
      </w:r>
      <w:r>
        <w:rPr>
          <w:rFonts w:ascii="Arial" w:eastAsia="Times New Roman" w:hAnsi="Arial" w:cs="Arial"/>
          <w:color w:val="222222"/>
        </w:rPr>
        <w:t xml:space="preserve">r PLHIV on ART.  This could save over USD 50 million annually – 10% if what is currently being spent to fight AIDS in Tanzania. </w:t>
      </w:r>
    </w:p>
    <w:p w14:paraId="1EE3F7D2" w14:textId="728D2D5B" w:rsidR="004D30CA" w:rsidRPr="004D30CA" w:rsidRDefault="008F39BA" w:rsidP="004D30CA">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Implementing a</w:t>
      </w:r>
      <w:r w:rsidR="004D30CA" w:rsidRPr="004D30CA">
        <w:rPr>
          <w:rFonts w:ascii="Arial" w:eastAsia="Times New Roman" w:hAnsi="Arial" w:cs="Arial"/>
          <w:color w:val="222222"/>
        </w:rPr>
        <w:t xml:space="preserve"> more efficient testing strategy</w:t>
      </w:r>
      <w:r>
        <w:rPr>
          <w:rFonts w:ascii="Arial" w:eastAsia="Times New Roman" w:hAnsi="Arial" w:cs="Arial"/>
          <w:color w:val="222222"/>
        </w:rPr>
        <w:t>, expanding on recent efforts by government and donors to prioritize cost-effective modalities with high yield,</w:t>
      </w:r>
      <w:r w:rsidR="004D30CA" w:rsidRPr="004D30CA">
        <w:rPr>
          <w:rFonts w:ascii="Arial" w:eastAsia="Times New Roman" w:hAnsi="Arial" w:cs="Arial"/>
          <w:color w:val="222222"/>
        </w:rPr>
        <w:t xml:space="preserve"> will cost less and help close the first 90 gap, reaching 90% of PLHIV aware of their status by 2025.</w:t>
      </w:r>
    </w:p>
    <w:p w14:paraId="528FAC32" w14:textId="77777777" w:rsidR="00397278" w:rsidRDefault="00397278" w:rsidP="001617F6">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Domestic resource mobilization must be strengthened, with feasible increases of USD 10-15 M</w:t>
      </w:r>
      <w:r w:rsidRPr="00D30B8B">
        <w:rPr>
          <w:rFonts w:ascii="Arial" w:eastAsia="Times New Roman" w:hAnsi="Arial" w:cs="Arial"/>
          <w:color w:val="222222"/>
        </w:rPr>
        <w:t xml:space="preserve"> </w:t>
      </w:r>
      <w:r>
        <w:rPr>
          <w:rFonts w:ascii="Arial" w:eastAsia="Times New Roman" w:hAnsi="Arial" w:cs="Arial"/>
          <w:color w:val="222222"/>
        </w:rPr>
        <w:t xml:space="preserve">a year and a goal of </w:t>
      </w:r>
      <w:r w:rsidRPr="00D30B8B">
        <w:rPr>
          <w:rFonts w:ascii="Arial" w:eastAsia="Times New Roman" w:hAnsi="Arial" w:cs="Arial"/>
          <w:color w:val="222222"/>
        </w:rPr>
        <w:t xml:space="preserve">reaching </w:t>
      </w:r>
      <w:r>
        <w:rPr>
          <w:rFonts w:ascii="Arial" w:eastAsia="Times New Roman" w:hAnsi="Arial" w:cs="Arial"/>
          <w:color w:val="222222"/>
        </w:rPr>
        <w:t>USD 175 M annually in domestic spending</w:t>
      </w:r>
      <w:r w:rsidRPr="00D30B8B">
        <w:rPr>
          <w:rFonts w:ascii="Arial" w:eastAsia="Times New Roman" w:hAnsi="Arial" w:cs="Arial"/>
          <w:color w:val="222222"/>
        </w:rPr>
        <w:t xml:space="preserve"> by 2030</w:t>
      </w:r>
      <w:r>
        <w:rPr>
          <w:rFonts w:ascii="Arial" w:eastAsia="Times New Roman" w:hAnsi="Arial" w:cs="Arial"/>
          <w:color w:val="222222"/>
        </w:rPr>
        <w:t>.</w:t>
      </w:r>
    </w:p>
    <w:p w14:paraId="6CCDCF5B" w14:textId="6D530079" w:rsidR="00397278" w:rsidRPr="00D30B8B" w:rsidRDefault="008921BB" w:rsidP="001617F6">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I</w:t>
      </w:r>
      <w:r w:rsidR="00397278">
        <w:rPr>
          <w:rFonts w:ascii="Arial" w:eastAsia="Times New Roman" w:hAnsi="Arial" w:cs="Arial"/>
          <w:color w:val="222222"/>
        </w:rPr>
        <w:t>ncreasing the government budget to HIV, adding HIV as a benefit to the National Health Insurance Fund, and using the AIDS Trust Fund</w:t>
      </w:r>
      <w:r>
        <w:rPr>
          <w:rFonts w:ascii="Arial" w:eastAsia="Times New Roman" w:hAnsi="Arial" w:cs="Arial"/>
          <w:color w:val="222222"/>
        </w:rPr>
        <w:t xml:space="preserve"> are the most promising domestic resource mobilization mechanisms.</w:t>
      </w:r>
    </w:p>
    <w:p w14:paraId="2E98C40E" w14:textId="77777777" w:rsidR="00397278" w:rsidRPr="00D30B8B" w:rsidRDefault="00397278" w:rsidP="001617F6">
      <w:pPr>
        <w:shd w:val="clear" w:color="auto" w:fill="FFFFFF"/>
        <w:spacing w:after="0" w:line="240" w:lineRule="auto"/>
        <w:rPr>
          <w:rFonts w:ascii="Arial" w:eastAsia="Times New Roman" w:hAnsi="Arial" w:cs="Arial"/>
          <w:color w:val="222222"/>
        </w:rPr>
      </w:pPr>
    </w:p>
    <w:p w14:paraId="35A61970" w14:textId="77777777"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Clearly, these changes in the composition, management, and financing of the national HIV response will be difficult to implement.  If funds are to be shifted away from certain prevention services such as BCC, painful reductions in certain existing programs will need to take place.  At the same time, capacity to cope with and manage effectively areas of expanded prevention such as VMMC and female sex worker services will have to be built up rapidly.  The same can be said for actions to increase the efficiency of AIDS treatment and save tens of millions of dollars – this will require challenging efforts by Tanzania to change its policies and practices surrounding viral load testing and to expand community-based adherence support.</w:t>
      </w:r>
    </w:p>
    <w:p w14:paraId="402ABB0C" w14:textId="77777777" w:rsidR="00397278" w:rsidRDefault="00397278" w:rsidP="001617F6">
      <w:pPr>
        <w:shd w:val="clear" w:color="auto" w:fill="FFFFFF"/>
        <w:spacing w:after="0" w:line="240" w:lineRule="auto"/>
        <w:rPr>
          <w:rFonts w:ascii="Arial" w:eastAsia="Times New Roman" w:hAnsi="Arial" w:cs="Arial"/>
          <w:color w:val="222222"/>
        </w:rPr>
      </w:pPr>
    </w:p>
    <w:p w14:paraId="4256A1A3" w14:textId="77777777"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Similarly, there is no doubt that it will be hard for Tanzania to persuade its key donors to maintain their current levels of financial support, and to expand steadily the amount of domestic funding going to the national HIV program.  For the former, TACAIDS and NACP will have to show strong progress toward targets for 2020 2025, and 2030, and evidence of improvements in program efficiency – and will have to hope that circumstances beyond the country’s control, such as the size of Global Fund replenishments, turn out to be favorable for Tanzania.  </w:t>
      </w:r>
    </w:p>
    <w:p w14:paraId="1083C1BC" w14:textId="77777777" w:rsidR="00397278" w:rsidRDefault="00397278" w:rsidP="001617F6">
      <w:pPr>
        <w:shd w:val="clear" w:color="auto" w:fill="FFFFFF"/>
        <w:spacing w:after="0" w:line="240" w:lineRule="auto"/>
        <w:rPr>
          <w:rFonts w:ascii="Arial" w:eastAsia="Times New Roman" w:hAnsi="Arial" w:cs="Arial"/>
          <w:color w:val="222222"/>
        </w:rPr>
      </w:pPr>
    </w:p>
    <w:p w14:paraId="29AC02C5" w14:textId="04655A4D" w:rsidR="00397278" w:rsidRDefault="00397278" w:rsidP="001617F6">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For the latter, while there is no doubt that the USD 10-15 million a year increase in domestic public funding for </w:t>
      </w:r>
      <w:r w:rsidR="0042782B">
        <w:rPr>
          <w:rFonts w:ascii="Arial" w:eastAsia="Times New Roman" w:hAnsi="Arial" w:cs="Arial"/>
          <w:color w:val="222222"/>
        </w:rPr>
        <w:t>HIV is</w:t>
      </w:r>
      <w:r>
        <w:rPr>
          <w:rFonts w:ascii="Arial" w:eastAsia="Times New Roman" w:hAnsi="Arial" w:cs="Arial"/>
          <w:color w:val="222222"/>
        </w:rPr>
        <w:t xml:space="preserve"> affordable for Tanzania, expanded allocations for HIV will have to compete with many other health priorities such as immunization, child health, and chronic disease management</w:t>
      </w:r>
      <w:r w:rsidR="008921BB">
        <w:rPr>
          <w:rFonts w:ascii="Arial" w:eastAsia="Times New Roman" w:hAnsi="Arial" w:cs="Arial"/>
          <w:color w:val="222222"/>
        </w:rPr>
        <w:t xml:space="preserve"> and non-health priorities</w:t>
      </w:r>
      <w:r>
        <w:rPr>
          <w:rFonts w:ascii="Arial" w:eastAsia="Times New Roman" w:hAnsi="Arial" w:cs="Arial"/>
          <w:color w:val="222222"/>
        </w:rPr>
        <w:t>. Government and other advocates for HIV will thus have to make a strong case for more money from the health budget and national health insurance and for increased revenue collections in the AIDS Trust Fund.  This is happening in other nearby countries such as Kenya, Uganda, and Namibia, demonstrating that this is possible in Tanzania, too.</w:t>
      </w:r>
    </w:p>
    <w:p w14:paraId="3F45DD9E" w14:textId="7653BF3A" w:rsidR="008921BB" w:rsidRDefault="008921BB" w:rsidP="001617F6">
      <w:pPr>
        <w:shd w:val="clear" w:color="auto" w:fill="FFFFFF"/>
        <w:spacing w:after="0" w:line="240" w:lineRule="auto"/>
        <w:rPr>
          <w:rFonts w:ascii="Arial" w:eastAsia="Times New Roman" w:hAnsi="Arial" w:cs="Arial"/>
          <w:color w:val="222222"/>
        </w:rPr>
      </w:pPr>
    </w:p>
    <w:p w14:paraId="6C5971DB" w14:textId="2E3F6902" w:rsidR="003A2499" w:rsidRDefault="008921BB" w:rsidP="003A2499">
      <w:pPr>
        <w:spacing w:after="0"/>
        <w:rPr>
          <w:rFonts w:ascii="Arial" w:hAnsi="Arial" w:cs="Arial"/>
        </w:rPr>
      </w:pPr>
      <w:r>
        <w:rPr>
          <w:rFonts w:ascii="Arial" w:eastAsia="Times New Roman" w:hAnsi="Arial" w:cs="Arial"/>
          <w:color w:val="222222"/>
        </w:rPr>
        <w:t>If Tanzania does not mobilize these resources, the progress of the response to date could be jeopardized. If too little resources are available once donor funds decline, then it will be impossible to maintain and grow ART coverage</w:t>
      </w:r>
      <w:r w:rsidR="00EF2486">
        <w:rPr>
          <w:rFonts w:ascii="Arial" w:eastAsia="Times New Roman" w:hAnsi="Arial" w:cs="Arial"/>
          <w:color w:val="222222"/>
        </w:rPr>
        <w:t>.</w:t>
      </w:r>
      <w:r w:rsidR="003A2499">
        <w:rPr>
          <w:rFonts w:ascii="Arial" w:eastAsia="Times New Roman" w:hAnsi="Arial" w:cs="Arial"/>
          <w:color w:val="222222"/>
        </w:rPr>
        <w:t xml:space="preserve"> Positive trends will be reversed, and epidemic control will no longer be within sight. </w:t>
      </w:r>
      <w:r w:rsidR="003A2499">
        <w:rPr>
          <w:rFonts w:ascii="Arial" w:hAnsi="Arial" w:cs="Arial"/>
        </w:rPr>
        <w:t xml:space="preserve">Given the additional lives saved and infections averted this additional investment would lead </w:t>
      </w:r>
      <w:r w:rsidR="00AB197F">
        <w:rPr>
          <w:rFonts w:ascii="Arial" w:hAnsi="Arial" w:cs="Arial"/>
        </w:rPr>
        <w:t>to</w:t>
      </w:r>
      <w:r w:rsidR="003A2499">
        <w:rPr>
          <w:rFonts w:ascii="Arial" w:hAnsi="Arial" w:cs="Arial"/>
        </w:rPr>
        <w:t>, it is not surprising th</w:t>
      </w:r>
      <w:r w:rsidR="00AB197F">
        <w:rPr>
          <w:rFonts w:ascii="Arial" w:hAnsi="Arial" w:cs="Arial"/>
        </w:rPr>
        <w:t>at</w:t>
      </w:r>
      <w:r w:rsidR="003A2499">
        <w:rPr>
          <w:rFonts w:ascii="Arial" w:hAnsi="Arial" w:cs="Arial"/>
        </w:rPr>
        <w:t xml:space="preserve"> </w:t>
      </w:r>
      <w:r w:rsidR="003A2499" w:rsidRPr="00505F88">
        <w:rPr>
          <w:rFonts w:ascii="Arial" w:hAnsi="Arial" w:cs="Arial"/>
        </w:rPr>
        <w:t>660 M</w:t>
      </w:r>
      <w:r w:rsidR="003A2499">
        <w:rPr>
          <w:rFonts w:ascii="Arial" w:hAnsi="Arial" w:cs="Arial"/>
        </w:rPr>
        <w:t xml:space="preserve"> of total domestic investment </w:t>
      </w:r>
      <w:r w:rsidR="003A2499" w:rsidRPr="00505F88">
        <w:rPr>
          <w:rFonts w:ascii="Arial" w:hAnsi="Arial" w:cs="Arial"/>
        </w:rPr>
        <w:t xml:space="preserve">over the period to 2030 would yield </w:t>
      </w:r>
      <w:r w:rsidR="003A2499">
        <w:rPr>
          <w:rFonts w:ascii="Arial" w:hAnsi="Arial" w:cs="Arial"/>
        </w:rPr>
        <w:t xml:space="preserve">an </w:t>
      </w:r>
      <w:r w:rsidR="003A2499" w:rsidRPr="00505F88">
        <w:rPr>
          <w:rFonts w:ascii="Arial" w:hAnsi="Arial" w:cs="Arial"/>
        </w:rPr>
        <w:t xml:space="preserve">economic benefit of USD 4.3 </w:t>
      </w:r>
      <w:r w:rsidR="003A2499">
        <w:rPr>
          <w:rFonts w:ascii="Arial" w:hAnsi="Arial" w:cs="Arial"/>
        </w:rPr>
        <w:t xml:space="preserve">B for Tanzania </w:t>
      </w:r>
      <w:r w:rsidR="00AB197F">
        <w:rPr>
          <w:rFonts w:ascii="Arial" w:hAnsi="Arial" w:cs="Arial"/>
        </w:rPr>
        <w:t>(</w:t>
      </w:r>
      <w:r w:rsidR="003A2499">
        <w:rPr>
          <w:rFonts w:ascii="Arial" w:hAnsi="Arial" w:cs="Arial"/>
        </w:rPr>
        <w:t>Lamontagne et al 2019).</w:t>
      </w:r>
    </w:p>
    <w:p w14:paraId="46F2FF41" w14:textId="77777777" w:rsidR="00397278" w:rsidRDefault="00397278" w:rsidP="001617F6">
      <w:pPr>
        <w:shd w:val="clear" w:color="auto" w:fill="FFFFFF"/>
        <w:spacing w:after="0" w:line="240" w:lineRule="auto"/>
        <w:rPr>
          <w:rFonts w:ascii="Arial" w:eastAsia="Times New Roman" w:hAnsi="Arial" w:cs="Arial"/>
          <w:color w:val="222222"/>
        </w:rPr>
      </w:pPr>
    </w:p>
    <w:p w14:paraId="3A3EC95E" w14:textId="10088205" w:rsidR="001617F6" w:rsidRPr="008F15AD" w:rsidRDefault="00397278" w:rsidP="008F15AD">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Thus, while it will not be easy for Tanzania to adopt and adapt to the kinds of recommendations contained in this IC 2.0 report, there is no doubt that it is within Tanzania’s grasp to make these changes and enhancements to its HIV response.  High level political will and hard work by program managers is </w:t>
      </w:r>
      <w:r>
        <w:rPr>
          <w:rFonts w:ascii="Arial" w:eastAsia="Times New Roman" w:hAnsi="Arial" w:cs="Arial"/>
          <w:color w:val="222222"/>
        </w:rPr>
        <w:lastRenderedPageBreak/>
        <w:t>needed to make these recommendations a reality.  Given the importance of protecting the large gains already achieved in the fight against AIDS, and the positive impact that further progress toward 90-90-90 and virtual elimination of HIV can have for the future of Tanzania’s people, it is vital for the country to galvanize its political, human, and financial resources around the recommendations in this report and to implement them swiftly and progressively over the next few years.</w:t>
      </w:r>
      <w:r w:rsidR="001617F6">
        <w:rPr>
          <w:rFonts w:ascii="Arial" w:hAnsi="Arial" w:cs="Arial"/>
          <w:b/>
          <w:color w:val="C00000"/>
        </w:rPr>
        <w:br w:type="page"/>
      </w:r>
    </w:p>
    <w:p w14:paraId="0EEB943B" w14:textId="0E825D37" w:rsidR="00CD3475" w:rsidRPr="009F4EEC" w:rsidRDefault="005A468B" w:rsidP="009F4EEC">
      <w:pPr>
        <w:pStyle w:val="Heading1"/>
        <w:rPr>
          <w:rFonts w:ascii="Arial" w:hAnsi="Arial" w:cs="Arial"/>
          <w:b/>
          <w:color w:val="C00000"/>
        </w:rPr>
      </w:pPr>
      <w:bookmarkStart w:id="17" w:name="_Toc57035119"/>
      <w:r w:rsidRPr="009F4EEC">
        <w:rPr>
          <w:rFonts w:ascii="Arial" w:hAnsi="Arial" w:cs="Arial"/>
          <w:b/>
          <w:color w:val="C00000"/>
        </w:rPr>
        <w:lastRenderedPageBreak/>
        <w:t>C</w:t>
      </w:r>
      <w:r w:rsidR="008A6991">
        <w:rPr>
          <w:rFonts w:ascii="Arial" w:hAnsi="Arial" w:cs="Arial"/>
          <w:b/>
          <w:color w:val="C00000"/>
        </w:rPr>
        <w:t>HAPTER</w:t>
      </w:r>
      <w:r w:rsidRPr="009F4EEC">
        <w:rPr>
          <w:rFonts w:ascii="Arial" w:hAnsi="Arial" w:cs="Arial"/>
          <w:b/>
          <w:color w:val="C00000"/>
        </w:rPr>
        <w:t xml:space="preserve"> 1. </w:t>
      </w:r>
      <w:r w:rsidR="008A6991">
        <w:rPr>
          <w:rFonts w:ascii="Arial" w:hAnsi="Arial" w:cs="Arial"/>
          <w:b/>
          <w:color w:val="C00000"/>
        </w:rPr>
        <w:t>SETTING THE STAGE</w:t>
      </w:r>
      <w:bookmarkEnd w:id="17"/>
    </w:p>
    <w:p w14:paraId="71F57D2F" w14:textId="77777777" w:rsidR="005A468B" w:rsidRPr="00C759BF" w:rsidRDefault="005A468B" w:rsidP="00C759BF">
      <w:pPr>
        <w:spacing w:after="0"/>
        <w:rPr>
          <w:rFonts w:ascii="Arial" w:hAnsi="Arial" w:cs="Arial"/>
          <w:b/>
          <w:color w:val="000000" w:themeColor="text1"/>
        </w:rPr>
      </w:pPr>
    </w:p>
    <w:p w14:paraId="088450CE" w14:textId="77777777" w:rsidR="00C36956" w:rsidRDefault="00C36956" w:rsidP="00C759BF">
      <w:pPr>
        <w:pStyle w:val="Heading2"/>
        <w:spacing w:before="0"/>
        <w:rPr>
          <w:rFonts w:ascii="Arial" w:hAnsi="Arial" w:cs="Arial"/>
          <w:b/>
          <w:color w:val="000000" w:themeColor="text1"/>
        </w:rPr>
      </w:pPr>
      <w:bookmarkStart w:id="18" w:name="_Toc57035120"/>
      <w:r>
        <w:rPr>
          <w:rFonts w:ascii="Arial" w:hAnsi="Arial" w:cs="Arial"/>
          <w:b/>
          <w:color w:val="000000" w:themeColor="text1"/>
        </w:rPr>
        <w:t>Achievements and Challenge</w:t>
      </w:r>
      <w:bookmarkEnd w:id="18"/>
    </w:p>
    <w:p w14:paraId="7FE2105C" w14:textId="77777777" w:rsidR="00C36956" w:rsidRDefault="00C36956" w:rsidP="00F07840"/>
    <w:p w14:paraId="7EA25B7E" w14:textId="571C9DE4" w:rsidR="00CD3475" w:rsidRPr="00C36956" w:rsidRDefault="00CD3475" w:rsidP="00C759BF">
      <w:pPr>
        <w:pStyle w:val="Heading2"/>
        <w:spacing w:before="0"/>
        <w:rPr>
          <w:rFonts w:ascii="Arial" w:hAnsi="Arial" w:cs="Arial"/>
          <w:i/>
          <w:color w:val="000000" w:themeColor="text1"/>
          <w:sz w:val="24"/>
        </w:rPr>
      </w:pPr>
      <w:bookmarkStart w:id="19" w:name="_Toc57035121"/>
      <w:r w:rsidRPr="00C36956">
        <w:rPr>
          <w:rFonts w:ascii="Arial" w:hAnsi="Arial" w:cs="Arial"/>
          <w:i/>
          <w:color w:val="000000" w:themeColor="text1"/>
          <w:sz w:val="24"/>
        </w:rPr>
        <w:t xml:space="preserve">Historical achievements of </w:t>
      </w:r>
      <w:r w:rsidR="00B83553" w:rsidRPr="00C36956">
        <w:rPr>
          <w:rFonts w:ascii="Arial" w:hAnsi="Arial" w:cs="Arial"/>
          <w:i/>
          <w:color w:val="000000" w:themeColor="text1"/>
          <w:sz w:val="24"/>
        </w:rPr>
        <w:t xml:space="preserve">Tanzania’s </w:t>
      </w:r>
      <w:r w:rsidRPr="00C36956">
        <w:rPr>
          <w:rFonts w:ascii="Arial" w:hAnsi="Arial" w:cs="Arial"/>
          <w:i/>
          <w:color w:val="000000" w:themeColor="text1"/>
          <w:sz w:val="24"/>
        </w:rPr>
        <w:t>HIV response</w:t>
      </w:r>
      <w:bookmarkEnd w:id="19"/>
      <w:r w:rsidRPr="00C36956">
        <w:rPr>
          <w:rFonts w:ascii="Arial" w:hAnsi="Arial" w:cs="Arial"/>
          <w:i/>
          <w:color w:val="000000" w:themeColor="text1"/>
          <w:sz w:val="24"/>
        </w:rPr>
        <w:t xml:space="preserve"> </w:t>
      </w:r>
    </w:p>
    <w:p w14:paraId="105438F2" w14:textId="77777777" w:rsidR="00C759BF" w:rsidRPr="00C759BF" w:rsidRDefault="00C759BF" w:rsidP="00C759BF">
      <w:pPr>
        <w:spacing w:after="0"/>
      </w:pPr>
    </w:p>
    <w:p w14:paraId="701E80B7" w14:textId="4421309C" w:rsidR="00416C22" w:rsidRDefault="00CD3475" w:rsidP="00C759BF">
      <w:pPr>
        <w:spacing w:after="0"/>
        <w:rPr>
          <w:rFonts w:ascii="Arial" w:hAnsi="Arial" w:cs="Arial"/>
        </w:rPr>
      </w:pPr>
      <w:r>
        <w:rPr>
          <w:rFonts w:ascii="Arial" w:hAnsi="Arial" w:cs="Arial"/>
        </w:rPr>
        <w:t xml:space="preserve">Over the past fifteen years, the HIV response in Tanzania has made significant progress towards epidemic control. </w:t>
      </w:r>
      <w:r w:rsidR="00653B17">
        <w:rPr>
          <w:rFonts w:ascii="Arial" w:hAnsi="Arial" w:cs="Arial"/>
        </w:rPr>
        <w:t>Today</w:t>
      </w:r>
      <w:r w:rsidR="006949AB">
        <w:rPr>
          <w:rFonts w:ascii="Arial" w:hAnsi="Arial" w:cs="Arial"/>
        </w:rPr>
        <w:t xml:space="preserve"> in Tanzania</w:t>
      </w:r>
      <w:r w:rsidR="00653B17">
        <w:rPr>
          <w:rFonts w:ascii="Arial" w:hAnsi="Arial" w:cs="Arial"/>
        </w:rPr>
        <w:t>, there are approximately 1.</w:t>
      </w:r>
      <w:r w:rsidR="00A70FDB">
        <w:rPr>
          <w:rFonts w:ascii="Arial" w:hAnsi="Arial" w:cs="Arial"/>
        </w:rPr>
        <w:t>6</w:t>
      </w:r>
      <w:r w:rsidR="00653B17">
        <w:rPr>
          <w:rFonts w:ascii="Arial" w:hAnsi="Arial" w:cs="Arial"/>
        </w:rPr>
        <w:t xml:space="preserve"> million </w:t>
      </w:r>
      <w:r w:rsidR="00A70FDB">
        <w:rPr>
          <w:rFonts w:ascii="Arial" w:hAnsi="Arial" w:cs="Arial"/>
        </w:rPr>
        <w:t xml:space="preserve">adults and children </w:t>
      </w:r>
      <w:r w:rsidR="00653B17">
        <w:rPr>
          <w:rFonts w:ascii="Arial" w:hAnsi="Arial" w:cs="Arial"/>
        </w:rPr>
        <w:t>living with HIV (PLHIV)</w:t>
      </w:r>
      <w:r w:rsidR="00A70FDB">
        <w:rPr>
          <w:rFonts w:ascii="Arial" w:hAnsi="Arial" w:cs="Arial"/>
        </w:rPr>
        <w:t xml:space="preserve"> UNAIDS 2018).</w:t>
      </w:r>
      <w:r w:rsidR="00653B17">
        <w:rPr>
          <w:rFonts w:ascii="Arial" w:hAnsi="Arial" w:cs="Arial"/>
        </w:rPr>
        <w:t xml:space="preserve"> </w:t>
      </w:r>
      <w:r w:rsidR="00A70FDB">
        <w:rPr>
          <w:rFonts w:ascii="Arial" w:hAnsi="Arial" w:cs="Arial"/>
        </w:rPr>
        <w:t>T</w:t>
      </w:r>
      <w:r w:rsidR="00653B17">
        <w:rPr>
          <w:rFonts w:ascii="Arial" w:hAnsi="Arial" w:cs="Arial"/>
        </w:rPr>
        <w:t xml:space="preserve">he HIV prevalence is </w:t>
      </w:r>
      <w:r w:rsidR="0028213B">
        <w:rPr>
          <w:rFonts w:ascii="Arial" w:hAnsi="Arial" w:cs="Arial"/>
        </w:rPr>
        <w:t>stable</w:t>
      </w:r>
      <w:r w:rsidR="00653B17">
        <w:rPr>
          <w:rFonts w:ascii="Arial" w:hAnsi="Arial" w:cs="Arial"/>
        </w:rPr>
        <w:t xml:space="preserve"> at 5.0%</w:t>
      </w:r>
      <w:r w:rsidR="00AE19F2">
        <w:rPr>
          <w:rFonts w:ascii="Arial" w:hAnsi="Arial" w:cs="Arial"/>
        </w:rPr>
        <w:t xml:space="preserve"> </w:t>
      </w:r>
      <w:r w:rsidR="00A70FDB">
        <w:rPr>
          <w:rFonts w:ascii="Arial" w:hAnsi="Arial" w:cs="Arial"/>
        </w:rPr>
        <w:t xml:space="preserve">for the population 15-64 yrs </w:t>
      </w:r>
      <w:r w:rsidR="00AE19F2">
        <w:rPr>
          <w:rFonts w:ascii="Arial" w:hAnsi="Arial" w:cs="Arial"/>
        </w:rPr>
        <w:t xml:space="preserve">(TACAIDS and </w:t>
      </w:r>
      <w:r w:rsidR="004F38C6">
        <w:rPr>
          <w:rFonts w:ascii="Arial" w:hAnsi="Arial" w:cs="Arial"/>
        </w:rPr>
        <w:t>ZAC</w:t>
      </w:r>
      <w:r w:rsidR="00AE19F2">
        <w:rPr>
          <w:rFonts w:ascii="Arial" w:hAnsi="Arial" w:cs="Arial"/>
        </w:rPr>
        <w:t xml:space="preserve"> 2018)</w:t>
      </w:r>
      <w:r w:rsidR="00A70FDB">
        <w:rPr>
          <w:rFonts w:ascii="Arial" w:hAnsi="Arial" w:cs="Arial"/>
        </w:rPr>
        <w:t xml:space="preserve">, and has declined from </w:t>
      </w:r>
      <w:r w:rsidR="00CF1B34">
        <w:rPr>
          <w:rFonts w:ascii="Arial" w:hAnsi="Arial" w:cs="Arial"/>
        </w:rPr>
        <w:t>7.0% in 2004 (</w:t>
      </w:r>
      <w:r w:rsidR="00A31889">
        <w:rPr>
          <w:rFonts w:ascii="Arial" w:hAnsi="Arial" w:cs="Arial"/>
        </w:rPr>
        <w:t>TACAIDS, NBS, and ORC Macro 2005</w:t>
      </w:r>
      <w:r w:rsidR="00CF1B34">
        <w:rPr>
          <w:rFonts w:ascii="Arial" w:hAnsi="Arial" w:cs="Arial"/>
        </w:rPr>
        <w:t>)</w:t>
      </w:r>
      <w:r w:rsidR="00A70FDB">
        <w:rPr>
          <w:rFonts w:ascii="Arial" w:hAnsi="Arial" w:cs="Arial"/>
        </w:rPr>
        <w:t>. I</w:t>
      </w:r>
      <w:r w:rsidR="00416C22">
        <w:rPr>
          <w:rFonts w:ascii="Arial" w:hAnsi="Arial" w:cs="Arial"/>
        </w:rPr>
        <w:t xml:space="preserve">ncidence and mortality are </w:t>
      </w:r>
      <w:r w:rsidR="00CF1B34">
        <w:rPr>
          <w:rFonts w:ascii="Arial" w:hAnsi="Arial" w:cs="Arial"/>
        </w:rPr>
        <w:t xml:space="preserve">also </w:t>
      </w:r>
      <w:r w:rsidR="00416C22">
        <w:rPr>
          <w:rFonts w:ascii="Arial" w:hAnsi="Arial" w:cs="Arial"/>
        </w:rPr>
        <w:t xml:space="preserve">decreasing. </w:t>
      </w:r>
      <w:r>
        <w:rPr>
          <w:rFonts w:ascii="Arial" w:hAnsi="Arial" w:cs="Arial"/>
        </w:rPr>
        <w:t xml:space="preserve">These public health gains were achieved through scale-up of ART and effective prevention interventions such as voluntary medical male circumcision (VMMC) and prevention of mother to child transmission (PMTCT). The percentage of </w:t>
      </w:r>
      <w:r w:rsidR="00A70FDB">
        <w:rPr>
          <w:rFonts w:ascii="Arial" w:hAnsi="Arial" w:cs="Arial"/>
        </w:rPr>
        <w:t xml:space="preserve">adult </w:t>
      </w:r>
      <w:r>
        <w:rPr>
          <w:rFonts w:ascii="Arial" w:hAnsi="Arial" w:cs="Arial"/>
        </w:rPr>
        <w:t xml:space="preserve">PLHIV on treatment has increased from 22% in 2009 to </w:t>
      </w:r>
      <w:r w:rsidR="004F38C6">
        <w:rPr>
          <w:rFonts w:ascii="Arial" w:hAnsi="Arial" w:cs="Arial"/>
        </w:rPr>
        <w:t>5</w:t>
      </w:r>
      <w:r>
        <w:rPr>
          <w:rFonts w:ascii="Arial" w:hAnsi="Arial" w:cs="Arial"/>
        </w:rPr>
        <w:t>7% in 2017 (TACAIDS and UNAIDS 201</w:t>
      </w:r>
      <w:r w:rsidR="00053050">
        <w:rPr>
          <w:rFonts w:ascii="Arial" w:hAnsi="Arial" w:cs="Arial"/>
        </w:rPr>
        <w:t>6</w:t>
      </w:r>
      <w:r>
        <w:rPr>
          <w:rFonts w:ascii="Arial" w:hAnsi="Arial" w:cs="Arial"/>
        </w:rPr>
        <w:t xml:space="preserve">; </w:t>
      </w:r>
      <w:r w:rsidR="004F38C6">
        <w:rPr>
          <w:rFonts w:ascii="Arial" w:hAnsi="Arial" w:cs="Arial"/>
        </w:rPr>
        <w:t>TACAIDS and ZAC 2018</w:t>
      </w:r>
      <w:r w:rsidR="000F5E56">
        <w:rPr>
          <w:rFonts w:ascii="Arial" w:hAnsi="Arial" w:cs="Arial"/>
        </w:rPr>
        <w:t>)</w:t>
      </w:r>
      <w:r>
        <w:rPr>
          <w:rFonts w:ascii="Arial" w:hAnsi="Arial" w:cs="Arial"/>
        </w:rPr>
        <w:t xml:space="preserve">. Today, there </w:t>
      </w:r>
      <w:r w:rsidR="00006F4C">
        <w:rPr>
          <w:rFonts w:ascii="Arial" w:hAnsi="Arial" w:cs="Arial"/>
        </w:rPr>
        <w:t>about</w:t>
      </w:r>
      <w:r>
        <w:rPr>
          <w:rFonts w:ascii="Arial" w:hAnsi="Arial" w:cs="Arial"/>
        </w:rPr>
        <w:t xml:space="preserve"> one million people on ART</w:t>
      </w:r>
      <w:r w:rsidR="00006F4C">
        <w:rPr>
          <w:rFonts w:ascii="Arial" w:hAnsi="Arial" w:cs="Arial"/>
        </w:rPr>
        <w:t xml:space="preserve"> (UNAIDS 2018)</w:t>
      </w:r>
      <w:r>
        <w:rPr>
          <w:rFonts w:ascii="Arial" w:hAnsi="Arial" w:cs="Arial"/>
        </w:rPr>
        <w:t xml:space="preserve">. This expansion </w:t>
      </w:r>
      <w:r w:rsidR="00CF1B34">
        <w:rPr>
          <w:rFonts w:ascii="Arial" w:hAnsi="Arial" w:cs="Arial"/>
        </w:rPr>
        <w:t xml:space="preserve">of HIV and treatment services </w:t>
      </w:r>
      <w:r>
        <w:rPr>
          <w:rFonts w:ascii="Arial" w:hAnsi="Arial" w:cs="Arial"/>
        </w:rPr>
        <w:t>has saved thousands of lives, with 50% fewer deaths annually in 2017 compared to 2010 (UNAIDS 201</w:t>
      </w:r>
      <w:r w:rsidR="00053050">
        <w:rPr>
          <w:rFonts w:ascii="Arial" w:hAnsi="Arial" w:cs="Arial"/>
        </w:rPr>
        <w:t>9</w:t>
      </w:r>
      <w:r>
        <w:rPr>
          <w:rFonts w:ascii="Arial" w:hAnsi="Arial" w:cs="Arial"/>
        </w:rPr>
        <w:t xml:space="preserve">). Moreover, the number of new infections has decreased </w:t>
      </w:r>
      <w:r w:rsidR="003870DE">
        <w:rPr>
          <w:rFonts w:ascii="Arial" w:hAnsi="Arial" w:cs="Arial"/>
        </w:rPr>
        <w:t>by</w:t>
      </w:r>
      <w:r w:rsidR="0030605F">
        <w:rPr>
          <w:rFonts w:ascii="Arial" w:hAnsi="Arial" w:cs="Arial"/>
        </w:rPr>
        <w:t xml:space="preserve"> nearly</w:t>
      </w:r>
      <w:r w:rsidR="003870DE">
        <w:rPr>
          <w:rFonts w:ascii="Arial" w:hAnsi="Arial" w:cs="Arial"/>
        </w:rPr>
        <w:t xml:space="preserve"> half, </w:t>
      </w:r>
      <w:r>
        <w:rPr>
          <w:rFonts w:ascii="Arial" w:hAnsi="Arial" w:cs="Arial"/>
        </w:rPr>
        <w:t>from 120,000 annually in 2000 to 65,000 in 2017 (</w:t>
      </w:r>
      <w:r w:rsidR="004F38C6">
        <w:rPr>
          <w:rFonts w:ascii="Arial" w:hAnsi="Arial" w:cs="Arial"/>
        </w:rPr>
        <w:t>UNAIDS 2018</w:t>
      </w:r>
      <w:r>
        <w:rPr>
          <w:rFonts w:ascii="Arial" w:hAnsi="Arial" w:cs="Arial"/>
        </w:rPr>
        <w:t xml:space="preserve">). These public health achievements were leveraged from donor and government investments at more than </w:t>
      </w:r>
      <w:r w:rsidR="000807B2">
        <w:rPr>
          <w:rFonts w:ascii="Arial" w:hAnsi="Arial" w:cs="Arial"/>
        </w:rPr>
        <w:t xml:space="preserve">USD </w:t>
      </w:r>
      <w:r>
        <w:rPr>
          <w:rFonts w:ascii="Arial" w:hAnsi="Arial" w:cs="Arial"/>
        </w:rPr>
        <w:t xml:space="preserve">250 </w:t>
      </w:r>
      <w:r w:rsidR="000807B2">
        <w:rPr>
          <w:rFonts w:ascii="Arial" w:hAnsi="Arial" w:cs="Arial"/>
        </w:rPr>
        <w:t xml:space="preserve">M </w:t>
      </w:r>
      <w:r>
        <w:rPr>
          <w:rFonts w:ascii="Arial" w:hAnsi="Arial" w:cs="Arial"/>
        </w:rPr>
        <w:t xml:space="preserve">annually since 2005 and over </w:t>
      </w:r>
      <w:r w:rsidR="000807B2">
        <w:rPr>
          <w:rFonts w:ascii="Arial" w:hAnsi="Arial" w:cs="Arial"/>
        </w:rPr>
        <w:t xml:space="preserve">USD </w:t>
      </w:r>
      <w:r w:rsidR="008F39BA">
        <w:rPr>
          <w:rFonts w:ascii="Arial" w:hAnsi="Arial" w:cs="Arial"/>
        </w:rPr>
        <w:t>6</w:t>
      </w:r>
      <w:r>
        <w:rPr>
          <w:rFonts w:ascii="Arial" w:hAnsi="Arial" w:cs="Arial"/>
        </w:rPr>
        <w:t xml:space="preserve">00 </w:t>
      </w:r>
      <w:r w:rsidR="000807B2">
        <w:rPr>
          <w:rFonts w:ascii="Arial" w:hAnsi="Arial" w:cs="Arial"/>
        </w:rPr>
        <w:t xml:space="preserve">M </w:t>
      </w:r>
      <w:r>
        <w:rPr>
          <w:rFonts w:ascii="Arial" w:hAnsi="Arial" w:cs="Arial"/>
        </w:rPr>
        <w:t>annually in recent years.</w:t>
      </w:r>
      <w:r w:rsidR="00653B17">
        <w:rPr>
          <w:rFonts w:ascii="Arial" w:hAnsi="Arial" w:cs="Arial"/>
        </w:rPr>
        <w:t xml:space="preserve"> </w:t>
      </w:r>
    </w:p>
    <w:p w14:paraId="11AE2127" w14:textId="77777777" w:rsidR="0030605F" w:rsidRDefault="0030605F" w:rsidP="00276364">
      <w:pPr>
        <w:spacing w:after="0"/>
      </w:pPr>
    </w:p>
    <w:p w14:paraId="072000D6" w14:textId="1BB557CC" w:rsidR="001951AB" w:rsidRDefault="00567D1F" w:rsidP="00992E00">
      <w:pPr>
        <w:pStyle w:val="Heading3"/>
        <w:tabs>
          <w:tab w:val="center" w:pos="4680"/>
        </w:tabs>
        <w:spacing w:before="0"/>
        <w:rPr>
          <w:rFonts w:ascii="Arial" w:hAnsi="Arial" w:cs="Arial"/>
          <w:i/>
          <w:color w:val="000000" w:themeColor="text1"/>
        </w:rPr>
      </w:pPr>
      <w:bookmarkStart w:id="20" w:name="_Toc57035122"/>
      <w:r w:rsidRPr="00C36956">
        <w:rPr>
          <w:rFonts w:ascii="Arial" w:hAnsi="Arial" w:cs="Arial"/>
          <w:i/>
          <w:color w:val="000000" w:themeColor="text1"/>
        </w:rPr>
        <w:t>G</w:t>
      </w:r>
      <w:r w:rsidR="001951AB" w:rsidRPr="00C36956">
        <w:rPr>
          <w:rFonts w:ascii="Arial" w:hAnsi="Arial" w:cs="Arial"/>
          <w:i/>
          <w:color w:val="000000" w:themeColor="text1"/>
        </w:rPr>
        <w:t>oals</w:t>
      </w:r>
      <w:r w:rsidRPr="00C36956">
        <w:rPr>
          <w:rFonts w:ascii="Arial" w:hAnsi="Arial" w:cs="Arial"/>
          <w:i/>
          <w:color w:val="000000" w:themeColor="text1"/>
        </w:rPr>
        <w:t xml:space="preserve"> and </w:t>
      </w:r>
      <w:r w:rsidR="003F7722">
        <w:rPr>
          <w:rFonts w:ascii="Arial" w:hAnsi="Arial" w:cs="Arial"/>
          <w:i/>
          <w:color w:val="000000" w:themeColor="text1"/>
        </w:rPr>
        <w:t xml:space="preserve">key </w:t>
      </w:r>
      <w:r w:rsidRPr="00C36956">
        <w:rPr>
          <w:rFonts w:ascii="Arial" w:hAnsi="Arial" w:cs="Arial"/>
          <w:i/>
          <w:color w:val="000000" w:themeColor="text1"/>
        </w:rPr>
        <w:t>challenges going forward</w:t>
      </w:r>
      <w:bookmarkEnd w:id="20"/>
      <w:r w:rsidR="00992E00">
        <w:rPr>
          <w:rFonts w:ascii="Arial" w:hAnsi="Arial" w:cs="Arial"/>
          <w:i/>
          <w:color w:val="000000" w:themeColor="text1"/>
        </w:rPr>
        <w:tab/>
      </w:r>
    </w:p>
    <w:p w14:paraId="798904F2" w14:textId="188FAD54" w:rsidR="00992E00" w:rsidRDefault="00992E00" w:rsidP="00276364">
      <w:pPr>
        <w:spacing w:after="0"/>
      </w:pPr>
    </w:p>
    <w:p w14:paraId="2663920C" w14:textId="77777777" w:rsidR="00992E00" w:rsidRPr="007D2753" w:rsidRDefault="00992E00" w:rsidP="00992E00">
      <w:pPr>
        <w:spacing w:after="0"/>
        <w:rPr>
          <w:rFonts w:ascii="Arial" w:hAnsi="Arial" w:cs="Arial"/>
          <w:color w:val="000000" w:themeColor="text1"/>
        </w:rPr>
      </w:pPr>
      <w:r>
        <w:rPr>
          <w:rFonts w:ascii="Arial" w:hAnsi="Arial" w:cs="Arial"/>
          <w:color w:val="000000" w:themeColor="text1"/>
        </w:rPr>
        <w:t xml:space="preserve">Looking to the future, Tanzania has committed to ending the epidemic by 2030, in line with the Fast Track Targets and the SDGs. Fast Track targets call for countries to set ambitious targets for ending AIDS as a public health threat in 2030. Achieving this target is premised on countries reaching the 90-90-90 targets - </w:t>
      </w:r>
      <w:r w:rsidRPr="007D2753">
        <w:rPr>
          <w:rFonts w:ascii="Arial" w:hAnsi="Arial" w:cs="Arial"/>
          <w:color w:val="000000" w:themeColor="text1"/>
        </w:rPr>
        <w:t>90% of</w:t>
      </w:r>
      <w:r>
        <w:rPr>
          <w:rFonts w:ascii="Arial" w:hAnsi="Arial" w:cs="Arial"/>
          <w:color w:val="000000" w:themeColor="text1"/>
        </w:rPr>
        <w:t xml:space="preserve"> </w:t>
      </w:r>
      <w:r w:rsidRPr="007D2753">
        <w:rPr>
          <w:rFonts w:ascii="Arial" w:hAnsi="Arial" w:cs="Arial"/>
          <w:color w:val="000000" w:themeColor="text1"/>
        </w:rPr>
        <w:t>people living with HIV know their HIV status and by offering HIV treatment to 90%</w:t>
      </w:r>
    </w:p>
    <w:p w14:paraId="54E690E1" w14:textId="2222B536" w:rsidR="00992E00" w:rsidRDefault="00992E00" w:rsidP="00992E00">
      <w:pPr>
        <w:spacing w:after="0"/>
        <w:rPr>
          <w:rFonts w:ascii="Arial" w:hAnsi="Arial" w:cs="Arial"/>
          <w:color w:val="000000" w:themeColor="text1"/>
        </w:rPr>
      </w:pPr>
      <w:r w:rsidRPr="007D2753">
        <w:rPr>
          <w:rFonts w:ascii="Arial" w:hAnsi="Arial" w:cs="Arial"/>
          <w:color w:val="000000" w:themeColor="text1"/>
        </w:rPr>
        <w:t>of people who know their HIV status, 90% of people on HIV treatment achiev</w:t>
      </w:r>
      <w:r>
        <w:rPr>
          <w:rFonts w:ascii="Arial" w:hAnsi="Arial" w:cs="Arial"/>
          <w:color w:val="000000" w:themeColor="text1"/>
        </w:rPr>
        <w:t xml:space="preserve">ing </w:t>
      </w:r>
      <w:r w:rsidRPr="007D2753">
        <w:rPr>
          <w:rFonts w:ascii="Arial" w:hAnsi="Arial" w:cs="Arial"/>
          <w:color w:val="000000" w:themeColor="text1"/>
        </w:rPr>
        <w:t>undetectable levels of HIV in their body (known as viral suppression) by 2020</w:t>
      </w:r>
      <w:r>
        <w:rPr>
          <w:rFonts w:ascii="Arial" w:hAnsi="Arial" w:cs="Arial"/>
          <w:color w:val="000000" w:themeColor="text1"/>
        </w:rPr>
        <w:t xml:space="preserve"> and 95-95-95 by 2030.  </w:t>
      </w:r>
    </w:p>
    <w:p w14:paraId="0480D1FD" w14:textId="77777777" w:rsidR="00B13BCA" w:rsidRDefault="00B13BCA" w:rsidP="001951AB">
      <w:pPr>
        <w:spacing w:after="0"/>
        <w:rPr>
          <w:rFonts w:ascii="Arial" w:hAnsi="Arial" w:cs="Arial"/>
          <w:color w:val="000000" w:themeColor="text1"/>
        </w:rPr>
      </w:pPr>
    </w:p>
    <w:p w14:paraId="04190870" w14:textId="7F4B7140" w:rsidR="001951AB" w:rsidRDefault="001951AB" w:rsidP="001951AB">
      <w:pPr>
        <w:spacing w:after="0"/>
        <w:rPr>
          <w:rFonts w:ascii="Arial" w:hAnsi="Arial" w:cs="Arial"/>
        </w:rPr>
      </w:pPr>
      <w:r>
        <w:rPr>
          <w:rFonts w:ascii="Arial" w:hAnsi="Arial" w:cs="Arial"/>
        </w:rPr>
        <w:t xml:space="preserve">The national response to achieve these goals is led by TACAIDS and the National AIDS Control Program </w:t>
      </w:r>
      <w:r w:rsidR="0030605F">
        <w:rPr>
          <w:rFonts w:ascii="Arial" w:hAnsi="Arial" w:cs="Arial"/>
        </w:rPr>
        <w:t>(</w:t>
      </w:r>
      <w:r>
        <w:rPr>
          <w:rFonts w:ascii="Arial" w:hAnsi="Arial" w:cs="Arial"/>
        </w:rPr>
        <w:t>NACP</w:t>
      </w:r>
      <w:r w:rsidR="0030605F">
        <w:rPr>
          <w:rFonts w:ascii="Arial" w:hAnsi="Arial" w:cs="Arial"/>
        </w:rPr>
        <w:t>)</w:t>
      </w:r>
      <w:r>
        <w:rPr>
          <w:rFonts w:ascii="Arial" w:hAnsi="Arial" w:cs="Arial"/>
        </w:rPr>
        <w:t>. To drive progress, both agencies have developed ambitious strategic plans</w:t>
      </w:r>
      <w:r w:rsidR="00CF1B34">
        <w:rPr>
          <w:rFonts w:ascii="Arial" w:hAnsi="Arial" w:cs="Arial"/>
        </w:rPr>
        <w:t>, which include</w:t>
      </w:r>
      <w:r>
        <w:rPr>
          <w:rFonts w:ascii="Arial" w:hAnsi="Arial" w:cs="Arial"/>
        </w:rPr>
        <w:t xml:space="preserve"> the </w:t>
      </w:r>
      <w:r w:rsidR="00CF1B34">
        <w:rPr>
          <w:rFonts w:ascii="Arial" w:hAnsi="Arial" w:cs="Arial"/>
        </w:rPr>
        <w:t xml:space="preserve">fourth </w:t>
      </w:r>
      <w:r>
        <w:rPr>
          <w:rFonts w:ascii="Arial" w:hAnsi="Arial" w:cs="Arial"/>
        </w:rPr>
        <w:t xml:space="preserve">National Multisectoral Strategic </w:t>
      </w:r>
      <w:r w:rsidR="00506966">
        <w:rPr>
          <w:rFonts w:ascii="Arial" w:hAnsi="Arial" w:cs="Arial"/>
        </w:rPr>
        <w:t>F</w:t>
      </w:r>
      <w:r>
        <w:rPr>
          <w:rFonts w:ascii="Arial" w:hAnsi="Arial" w:cs="Arial"/>
        </w:rPr>
        <w:t>ramework</w:t>
      </w:r>
      <w:r w:rsidR="00CF1B34">
        <w:rPr>
          <w:rFonts w:ascii="Arial" w:hAnsi="Arial" w:cs="Arial"/>
        </w:rPr>
        <w:t xml:space="preserve"> 2018/19-2033/23</w:t>
      </w:r>
      <w:r>
        <w:rPr>
          <w:rFonts w:ascii="Arial" w:hAnsi="Arial" w:cs="Arial"/>
        </w:rPr>
        <w:t xml:space="preserve"> (</w:t>
      </w:r>
      <w:r w:rsidR="006415B8">
        <w:rPr>
          <w:rFonts w:ascii="Arial" w:hAnsi="Arial" w:cs="Arial"/>
        </w:rPr>
        <w:t>TACAIDS 2018</w:t>
      </w:r>
      <w:r>
        <w:rPr>
          <w:rFonts w:ascii="Arial" w:hAnsi="Arial" w:cs="Arial"/>
        </w:rPr>
        <w:t xml:space="preserve">) </w:t>
      </w:r>
      <w:r w:rsidR="00CF1B34">
        <w:rPr>
          <w:rFonts w:ascii="Arial" w:hAnsi="Arial" w:cs="Arial"/>
        </w:rPr>
        <w:t>and the fourth</w:t>
      </w:r>
      <w:r>
        <w:rPr>
          <w:rFonts w:ascii="Arial" w:hAnsi="Arial" w:cs="Arial"/>
        </w:rPr>
        <w:t xml:space="preserve"> Health Sector HIV Strategic Plan</w:t>
      </w:r>
      <w:r w:rsidR="00CF1B34">
        <w:rPr>
          <w:rFonts w:ascii="Arial" w:hAnsi="Arial" w:cs="Arial"/>
        </w:rPr>
        <w:t xml:space="preserve"> 2017-2022</w:t>
      </w:r>
      <w:r>
        <w:rPr>
          <w:rFonts w:ascii="Arial" w:hAnsi="Arial" w:cs="Arial"/>
        </w:rPr>
        <w:t xml:space="preserve"> (</w:t>
      </w:r>
      <w:r w:rsidR="006415B8">
        <w:rPr>
          <w:rFonts w:ascii="Arial" w:hAnsi="Arial" w:cs="Arial"/>
        </w:rPr>
        <w:t>NACP 2017</w:t>
      </w:r>
      <w:r>
        <w:rPr>
          <w:rFonts w:ascii="Arial" w:hAnsi="Arial" w:cs="Arial"/>
        </w:rPr>
        <w:t xml:space="preserve">). Both set targets </w:t>
      </w:r>
      <w:r w:rsidR="004F38C6">
        <w:rPr>
          <w:rFonts w:ascii="Arial" w:hAnsi="Arial" w:cs="Arial"/>
        </w:rPr>
        <w:t>in line with</w:t>
      </w:r>
      <w:r>
        <w:rPr>
          <w:rFonts w:ascii="Arial" w:hAnsi="Arial" w:cs="Arial"/>
        </w:rPr>
        <w:t xml:space="preserve"> global </w:t>
      </w:r>
      <w:r w:rsidR="0030605F">
        <w:rPr>
          <w:rFonts w:ascii="Arial" w:hAnsi="Arial" w:cs="Arial"/>
        </w:rPr>
        <w:t>goals, calling</w:t>
      </w:r>
      <w:r>
        <w:rPr>
          <w:rFonts w:ascii="Arial" w:hAnsi="Arial" w:cs="Arial"/>
        </w:rPr>
        <w:t xml:space="preserve"> for expanding ART to 9</w:t>
      </w:r>
      <w:r w:rsidR="00CF1B34">
        <w:rPr>
          <w:rFonts w:ascii="Arial" w:hAnsi="Arial" w:cs="Arial"/>
        </w:rPr>
        <w:t>5</w:t>
      </w:r>
      <w:r>
        <w:rPr>
          <w:rFonts w:ascii="Arial" w:hAnsi="Arial" w:cs="Arial"/>
        </w:rPr>
        <w:t>% of all PLHIV by 2025 (95-95-95) and reducing new infections to only 15,000 annually by 2023 (</w:t>
      </w:r>
      <w:r w:rsidR="006415B8">
        <w:rPr>
          <w:rFonts w:ascii="Arial" w:hAnsi="Arial" w:cs="Arial"/>
        </w:rPr>
        <w:t>TACAIDS 2018).</w:t>
      </w:r>
    </w:p>
    <w:p w14:paraId="743DEFA8" w14:textId="77777777" w:rsidR="001951AB" w:rsidRDefault="001951AB" w:rsidP="00C759BF">
      <w:pPr>
        <w:spacing w:after="0"/>
        <w:rPr>
          <w:rFonts w:ascii="Arial" w:hAnsi="Arial" w:cs="Arial"/>
        </w:rPr>
      </w:pPr>
    </w:p>
    <w:p w14:paraId="71B64F81" w14:textId="48286472" w:rsidR="00B02F48" w:rsidRDefault="00CD3475" w:rsidP="00C759BF">
      <w:pPr>
        <w:spacing w:after="0"/>
        <w:rPr>
          <w:rFonts w:ascii="Arial" w:hAnsi="Arial" w:cs="Arial"/>
        </w:rPr>
      </w:pPr>
      <w:r>
        <w:rPr>
          <w:rFonts w:ascii="Arial" w:hAnsi="Arial" w:cs="Arial"/>
        </w:rPr>
        <w:t>To ultimately achieve these ambitious targets, strategic decisions will have to be made to efficiently scale-up effective interventions and thoughtfully invest in innovations. It will be important for government, donors, and implementing partners to have a common understanding of the priority actions to accelerate progress, especially</w:t>
      </w:r>
      <w:r w:rsidR="00B02F48">
        <w:rPr>
          <w:rFonts w:ascii="Arial" w:hAnsi="Arial" w:cs="Arial"/>
        </w:rPr>
        <w:t xml:space="preserve"> since</w:t>
      </w:r>
      <w:r>
        <w:rPr>
          <w:rFonts w:ascii="Arial" w:hAnsi="Arial" w:cs="Arial"/>
        </w:rPr>
        <w:t xml:space="preserve"> resources are constrained. </w:t>
      </w:r>
    </w:p>
    <w:p w14:paraId="128BC558" w14:textId="5FEEFF64" w:rsidR="00B02F48" w:rsidRDefault="00B02F48" w:rsidP="00C759BF">
      <w:pPr>
        <w:spacing w:after="0"/>
        <w:rPr>
          <w:rFonts w:ascii="Arial" w:hAnsi="Arial" w:cs="Arial"/>
        </w:rPr>
      </w:pPr>
    </w:p>
    <w:p w14:paraId="2D2DBE40" w14:textId="4606ADA0" w:rsidR="0006750A" w:rsidRDefault="0006750A" w:rsidP="00C759BF">
      <w:pPr>
        <w:spacing w:after="0"/>
        <w:rPr>
          <w:rFonts w:ascii="Arial" w:hAnsi="Arial" w:cs="Arial"/>
        </w:rPr>
      </w:pPr>
      <w:r>
        <w:rPr>
          <w:rFonts w:ascii="Arial" w:hAnsi="Arial" w:cs="Arial"/>
        </w:rPr>
        <w:t>In this regard, while Tanzania has made substantial progress in its fight against HIV and AIDS over the past decade, there are also vulnerabilities in the response that need to be addressed if the country is to advance toward the Fast Track targets and sustain its efforts over the coming years.  Financing and efficiency are two of the vulnerabilities that need to be urgently addressed.  Domestic financing remains a small fraction (less than 10%) of total HIV spending, and external funding from the principal sources – PEPFAR and the Global Fund – appear</w:t>
      </w:r>
      <w:r w:rsidR="009C75CD">
        <w:rPr>
          <w:rFonts w:ascii="Arial" w:hAnsi="Arial" w:cs="Arial"/>
        </w:rPr>
        <w:t>s</w:t>
      </w:r>
      <w:r>
        <w:rPr>
          <w:rFonts w:ascii="Arial" w:hAnsi="Arial" w:cs="Arial"/>
        </w:rPr>
        <w:t xml:space="preserve"> to be leveling off and may even fall in the coming years.  </w:t>
      </w:r>
      <w:r>
        <w:rPr>
          <w:rFonts w:ascii="Arial" w:hAnsi="Arial" w:cs="Arial"/>
        </w:rPr>
        <w:lastRenderedPageBreak/>
        <w:t>Efficiency is also reported to be sub-optimal in several areas, including HIV testing, AIDS treatment, and allocation to priority prevention activities and to certain high burden geographies within Tanzania.</w:t>
      </w:r>
    </w:p>
    <w:p w14:paraId="093FA001" w14:textId="77777777" w:rsidR="0097190A" w:rsidRDefault="0097190A" w:rsidP="00C759BF">
      <w:pPr>
        <w:spacing w:after="0"/>
        <w:rPr>
          <w:rFonts w:ascii="Arial" w:hAnsi="Arial" w:cs="Arial"/>
        </w:rPr>
      </w:pPr>
    </w:p>
    <w:p w14:paraId="50D173F6" w14:textId="77777777" w:rsidR="00C36956" w:rsidRPr="00444084" w:rsidRDefault="00C36956" w:rsidP="0097190A">
      <w:pPr>
        <w:pStyle w:val="Heading2"/>
        <w:spacing w:before="0"/>
        <w:rPr>
          <w:rFonts w:ascii="Arial" w:hAnsi="Arial" w:cs="Arial"/>
          <w:b/>
          <w:color w:val="000000" w:themeColor="text1"/>
        </w:rPr>
      </w:pPr>
      <w:bookmarkStart w:id="21" w:name="_Toc57035123"/>
      <w:r w:rsidRPr="00444084">
        <w:rPr>
          <w:rFonts w:ascii="Arial" w:hAnsi="Arial" w:cs="Arial"/>
          <w:b/>
          <w:color w:val="000000" w:themeColor="text1"/>
        </w:rPr>
        <w:t>An updated HIV investment case for Tanzania</w:t>
      </w:r>
      <w:bookmarkEnd w:id="21"/>
    </w:p>
    <w:p w14:paraId="4088EA59" w14:textId="77777777" w:rsidR="00C36956" w:rsidRDefault="00C36956" w:rsidP="00A22479">
      <w:pPr>
        <w:spacing w:after="0"/>
      </w:pPr>
    </w:p>
    <w:p w14:paraId="09F38D11" w14:textId="0E5A7D63" w:rsidR="00567D1F" w:rsidRPr="00C36956" w:rsidRDefault="00567D1F" w:rsidP="00567D1F">
      <w:pPr>
        <w:pStyle w:val="Heading3"/>
        <w:rPr>
          <w:rFonts w:ascii="Arial" w:hAnsi="Arial" w:cs="Arial"/>
          <w:i/>
          <w:color w:val="000000" w:themeColor="text1"/>
        </w:rPr>
      </w:pPr>
      <w:bookmarkStart w:id="22" w:name="_Toc57035124"/>
      <w:r w:rsidRPr="00C36956">
        <w:rPr>
          <w:rFonts w:ascii="Arial" w:hAnsi="Arial" w:cs="Arial"/>
          <w:i/>
          <w:color w:val="000000" w:themeColor="text1"/>
        </w:rPr>
        <w:t>The need for an updated investment case</w:t>
      </w:r>
      <w:bookmarkEnd w:id="22"/>
      <w:r w:rsidRPr="00C36956">
        <w:rPr>
          <w:rFonts w:ascii="Arial" w:hAnsi="Arial" w:cs="Arial"/>
          <w:i/>
          <w:color w:val="000000" w:themeColor="text1"/>
        </w:rPr>
        <w:t xml:space="preserve"> </w:t>
      </w:r>
    </w:p>
    <w:p w14:paraId="4336CCAE" w14:textId="77777777" w:rsidR="0006750A" w:rsidRDefault="0006750A" w:rsidP="00C759BF">
      <w:pPr>
        <w:spacing w:after="0"/>
        <w:rPr>
          <w:rFonts w:ascii="Arial" w:hAnsi="Arial" w:cs="Arial"/>
        </w:rPr>
      </w:pPr>
    </w:p>
    <w:p w14:paraId="58DEDF48" w14:textId="7C29CE3B" w:rsidR="0006750A" w:rsidRDefault="0006750A" w:rsidP="0006750A">
      <w:pPr>
        <w:spacing w:after="0"/>
        <w:rPr>
          <w:rFonts w:ascii="Arial" w:hAnsi="Arial" w:cs="Arial"/>
        </w:rPr>
      </w:pPr>
      <w:r>
        <w:rPr>
          <w:rFonts w:ascii="Arial" w:hAnsi="Arial" w:cs="Arial"/>
        </w:rPr>
        <w:t xml:space="preserve">To achieve the Fast Track targets while addressing the main issues and vulnerabilities facing Tanzania’s national HIV response, the country is </w:t>
      </w:r>
      <w:r w:rsidR="00992E00">
        <w:rPr>
          <w:rFonts w:ascii="Arial" w:hAnsi="Arial" w:cs="Arial"/>
        </w:rPr>
        <w:t>made a firm commitment to</w:t>
      </w:r>
      <w:r>
        <w:rPr>
          <w:rFonts w:ascii="Arial" w:hAnsi="Arial" w:cs="Arial"/>
        </w:rPr>
        <w:t xml:space="preserve"> update of its HIV I</w:t>
      </w:r>
      <w:r w:rsidR="00CD3475">
        <w:rPr>
          <w:rFonts w:ascii="Arial" w:hAnsi="Arial" w:cs="Arial"/>
        </w:rPr>
        <w:t xml:space="preserve">nvestment </w:t>
      </w:r>
      <w:r>
        <w:rPr>
          <w:rFonts w:ascii="Arial" w:hAnsi="Arial" w:cs="Arial"/>
        </w:rPr>
        <w:t>C</w:t>
      </w:r>
      <w:r w:rsidR="00CD3475">
        <w:rPr>
          <w:rFonts w:ascii="Arial" w:hAnsi="Arial" w:cs="Arial"/>
        </w:rPr>
        <w:t xml:space="preserve">ase </w:t>
      </w:r>
      <w:r>
        <w:rPr>
          <w:rFonts w:ascii="Arial" w:hAnsi="Arial" w:cs="Arial"/>
        </w:rPr>
        <w:t xml:space="preserve">as a key </w:t>
      </w:r>
      <w:r w:rsidR="00992E00">
        <w:rPr>
          <w:rFonts w:ascii="Arial" w:hAnsi="Arial" w:cs="Arial"/>
        </w:rPr>
        <w:t>framework f</w:t>
      </w:r>
      <w:r w:rsidR="00CD3475">
        <w:rPr>
          <w:rFonts w:ascii="Arial" w:hAnsi="Arial" w:cs="Arial"/>
        </w:rPr>
        <w:t xml:space="preserve">or uniting stakeholders around a common vision for the future and </w:t>
      </w:r>
      <w:r>
        <w:rPr>
          <w:rFonts w:ascii="Arial" w:hAnsi="Arial" w:cs="Arial"/>
        </w:rPr>
        <w:t xml:space="preserve">guiding </w:t>
      </w:r>
      <w:r w:rsidR="00CD3475">
        <w:rPr>
          <w:rFonts w:ascii="Arial" w:hAnsi="Arial" w:cs="Arial"/>
        </w:rPr>
        <w:t xml:space="preserve">decisions in allocating limited resources for maximum impact. </w:t>
      </w:r>
      <w:r>
        <w:rPr>
          <w:rFonts w:ascii="Arial" w:hAnsi="Arial" w:cs="Arial"/>
        </w:rPr>
        <w:t>In light of more uncertain</w:t>
      </w:r>
      <w:r w:rsidR="0030605F">
        <w:rPr>
          <w:rFonts w:ascii="Arial" w:hAnsi="Arial" w:cs="Arial"/>
        </w:rPr>
        <w:t>ty surrounding</w:t>
      </w:r>
      <w:r>
        <w:rPr>
          <w:rFonts w:ascii="Arial" w:hAnsi="Arial" w:cs="Arial"/>
        </w:rPr>
        <w:t xml:space="preserve"> future financing from both domestic and external actors and </w:t>
      </w:r>
      <w:r w:rsidR="0030605F">
        <w:rPr>
          <w:rFonts w:ascii="Arial" w:hAnsi="Arial" w:cs="Arial"/>
        </w:rPr>
        <w:t>lower-than-</w:t>
      </w:r>
      <w:r>
        <w:rPr>
          <w:rFonts w:ascii="Arial" w:hAnsi="Arial" w:cs="Arial"/>
        </w:rPr>
        <w:t xml:space="preserve">expected progress towards 95-95-95 coverage goals, TACAIDS and NACP requested from UNAIDS an updated and more tailored </w:t>
      </w:r>
      <w:r w:rsidR="0030605F">
        <w:rPr>
          <w:rFonts w:ascii="Arial" w:hAnsi="Arial" w:cs="Arial"/>
        </w:rPr>
        <w:t>I</w:t>
      </w:r>
      <w:r>
        <w:rPr>
          <w:rFonts w:ascii="Arial" w:hAnsi="Arial" w:cs="Arial"/>
        </w:rPr>
        <w:t xml:space="preserve">nvestment </w:t>
      </w:r>
      <w:r w:rsidR="0030605F">
        <w:rPr>
          <w:rFonts w:ascii="Arial" w:hAnsi="Arial" w:cs="Arial"/>
        </w:rPr>
        <w:t>C</w:t>
      </w:r>
      <w:r>
        <w:rPr>
          <w:rFonts w:ascii="Arial" w:hAnsi="Arial" w:cs="Arial"/>
        </w:rPr>
        <w:t>ase to guide national policy decisions on maximizing the efficiency of these interventions within a more constrained resource environment and securing financial sustainability of the program into the future.</w:t>
      </w:r>
    </w:p>
    <w:p w14:paraId="2DAC24AF" w14:textId="40082876" w:rsidR="0006750A" w:rsidRDefault="0006750A" w:rsidP="00C759BF">
      <w:pPr>
        <w:spacing w:after="0"/>
        <w:rPr>
          <w:rFonts w:ascii="Arial" w:hAnsi="Arial" w:cs="Arial"/>
        </w:rPr>
      </w:pPr>
    </w:p>
    <w:p w14:paraId="6A18105C" w14:textId="5AC5FA6B" w:rsidR="00153AFB" w:rsidRPr="00C36956" w:rsidRDefault="00153AFB" w:rsidP="00153AFB">
      <w:pPr>
        <w:pStyle w:val="Heading3"/>
        <w:rPr>
          <w:rFonts w:ascii="Arial" w:hAnsi="Arial" w:cs="Arial"/>
          <w:i/>
          <w:color w:val="000000" w:themeColor="text1"/>
        </w:rPr>
      </w:pPr>
      <w:bookmarkStart w:id="23" w:name="_Toc57035125"/>
      <w:r w:rsidRPr="00C36956">
        <w:rPr>
          <w:rFonts w:ascii="Arial" w:hAnsi="Arial" w:cs="Arial"/>
          <w:i/>
          <w:color w:val="000000" w:themeColor="text1"/>
        </w:rPr>
        <w:t>What is an investment case?</w:t>
      </w:r>
      <w:bookmarkEnd w:id="23"/>
      <w:r w:rsidRPr="00C36956">
        <w:rPr>
          <w:rFonts w:ascii="Arial" w:hAnsi="Arial" w:cs="Arial"/>
          <w:i/>
          <w:color w:val="000000" w:themeColor="text1"/>
        </w:rPr>
        <w:t xml:space="preserve"> </w:t>
      </w:r>
    </w:p>
    <w:p w14:paraId="7824C531" w14:textId="35ADDF57" w:rsidR="00153AFB" w:rsidRDefault="00153AFB" w:rsidP="00153AFB"/>
    <w:p w14:paraId="3521980B" w14:textId="3886DFBB" w:rsidR="00C071CC" w:rsidRDefault="00153AFB" w:rsidP="006E495C">
      <w:pPr>
        <w:rPr>
          <w:rFonts w:ascii="Arial" w:hAnsi="Arial" w:cs="Arial"/>
        </w:rPr>
      </w:pPr>
      <w:r w:rsidRPr="00153AFB">
        <w:rPr>
          <w:rFonts w:ascii="Arial" w:hAnsi="Arial" w:cs="Arial"/>
        </w:rPr>
        <w:t>In 2012, UNAIDS launched the HIV Strategic Investment Framework to guide countries in allocating limited resources for maximum impact (</w:t>
      </w:r>
      <w:r w:rsidR="00053050">
        <w:rPr>
          <w:rFonts w:ascii="Arial" w:hAnsi="Arial" w:cs="Arial"/>
        </w:rPr>
        <w:t>UNAIDS 2012)</w:t>
      </w:r>
      <w:r w:rsidRPr="00153AFB">
        <w:rPr>
          <w:rFonts w:ascii="Arial" w:hAnsi="Arial" w:cs="Arial"/>
        </w:rPr>
        <w:t xml:space="preserve">. </w:t>
      </w:r>
      <w:r>
        <w:rPr>
          <w:rFonts w:ascii="Arial" w:hAnsi="Arial" w:cs="Arial"/>
        </w:rPr>
        <w:t xml:space="preserve">The Framework is meant to be a country-led, people-centered package of investment priorities that is </w:t>
      </w:r>
      <w:r w:rsidR="008B46EC">
        <w:rPr>
          <w:rFonts w:ascii="Arial" w:hAnsi="Arial" w:cs="Arial"/>
        </w:rPr>
        <w:t>based upon</w:t>
      </w:r>
      <w:r>
        <w:rPr>
          <w:rFonts w:ascii="Arial" w:hAnsi="Arial" w:cs="Arial"/>
        </w:rPr>
        <w:t xml:space="preserve"> robust analysis of the epidemiology, the current response, and the recent scientific evidence. </w:t>
      </w:r>
    </w:p>
    <w:p w14:paraId="11DBC266" w14:textId="4677D7F9" w:rsidR="00CD3475" w:rsidRPr="00C36956" w:rsidRDefault="00E40EB0" w:rsidP="00C759BF">
      <w:pPr>
        <w:pStyle w:val="Heading3"/>
        <w:rPr>
          <w:rFonts w:ascii="Arial" w:hAnsi="Arial" w:cs="Arial"/>
          <w:i/>
          <w:color w:val="000000" w:themeColor="text1"/>
        </w:rPr>
      </w:pPr>
      <w:bookmarkStart w:id="24" w:name="_Toc57035126"/>
      <w:r w:rsidRPr="00C36956">
        <w:rPr>
          <w:rFonts w:ascii="Arial" w:hAnsi="Arial" w:cs="Arial"/>
          <w:i/>
          <w:color w:val="000000" w:themeColor="text1"/>
        </w:rPr>
        <w:t>HIV Investment case 1.0</w:t>
      </w:r>
      <w:bookmarkEnd w:id="24"/>
    </w:p>
    <w:p w14:paraId="6913B056" w14:textId="77777777" w:rsidR="00C759BF" w:rsidRPr="00C759BF" w:rsidRDefault="00C759BF" w:rsidP="00C759BF">
      <w:pPr>
        <w:spacing w:after="0"/>
      </w:pPr>
    </w:p>
    <w:p w14:paraId="300D5D05" w14:textId="51120B59" w:rsidR="00E40EB0" w:rsidRDefault="00CD3475" w:rsidP="00C759BF">
      <w:pPr>
        <w:spacing w:after="0"/>
        <w:rPr>
          <w:rFonts w:ascii="Arial" w:hAnsi="Arial" w:cs="Arial"/>
        </w:rPr>
      </w:pPr>
      <w:r>
        <w:rPr>
          <w:rFonts w:ascii="Arial" w:hAnsi="Arial" w:cs="Arial"/>
        </w:rPr>
        <w:t xml:space="preserve">An investment case framework was first adopted in Tanzania in 2015. Published in 2016, around the launch of the Fast Track targets, this “Investment Case 1.0” put forward a vision for </w:t>
      </w:r>
      <w:r w:rsidR="008B46EC">
        <w:rPr>
          <w:rFonts w:ascii="Arial" w:hAnsi="Arial" w:cs="Arial"/>
        </w:rPr>
        <w:t xml:space="preserve">greatly expanded funding of the national response.  It also examined </w:t>
      </w:r>
      <w:r>
        <w:rPr>
          <w:rFonts w:ascii="Arial" w:hAnsi="Arial" w:cs="Arial"/>
        </w:rPr>
        <w:t xml:space="preserve">resource allocation, exploring how prioritization of interventions and geographies could maximize the impact of the program. </w:t>
      </w:r>
    </w:p>
    <w:p w14:paraId="6045BA9D" w14:textId="6273A4DC" w:rsidR="00E40EB0" w:rsidRDefault="00E40EB0" w:rsidP="00C759BF">
      <w:pPr>
        <w:spacing w:after="0"/>
        <w:rPr>
          <w:rFonts w:ascii="Arial" w:hAnsi="Arial" w:cs="Arial"/>
        </w:rPr>
      </w:pPr>
    </w:p>
    <w:p w14:paraId="09887B45" w14:textId="78BDB075" w:rsidR="006E495C" w:rsidRDefault="006E495C" w:rsidP="00C759BF">
      <w:pPr>
        <w:spacing w:after="0"/>
        <w:rPr>
          <w:rFonts w:ascii="Arial" w:hAnsi="Arial" w:cs="Arial"/>
        </w:rPr>
      </w:pPr>
      <w:r>
        <w:rPr>
          <w:rFonts w:ascii="Arial" w:hAnsi="Arial" w:cs="Arial"/>
        </w:rPr>
        <w:t xml:space="preserve">Some of the main recommendations of the first investment case </w:t>
      </w:r>
      <w:r w:rsidR="004F38C6">
        <w:rPr>
          <w:rFonts w:ascii="Arial" w:hAnsi="Arial" w:cs="Arial"/>
        </w:rPr>
        <w:t xml:space="preserve">in Tanzania </w:t>
      </w:r>
      <w:r>
        <w:rPr>
          <w:rFonts w:ascii="Arial" w:hAnsi="Arial" w:cs="Arial"/>
        </w:rPr>
        <w:t>included:</w:t>
      </w:r>
    </w:p>
    <w:p w14:paraId="05FC97F1" w14:textId="77777777" w:rsidR="00D65393" w:rsidRPr="00D65393" w:rsidRDefault="00D65393" w:rsidP="00D65393">
      <w:pPr>
        <w:spacing w:after="0"/>
        <w:rPr>
          <w:rFonts w:ascii="Arial" w:hAnsi="Arial" w:cs="Arial"/>
        </w:rPr>
      </w:pPr>
    </w:p>
    <w:p w14:paraId="09B625A5" w14:textId="08276563" w:rsidR="000F5E56" w:rsidRDefault="00D65393" w:rsidP="0058354C">
      <w:pPr>
        <w:pStyle w:val="ListParagraph"/>
        <w:numPr>
          <w:ilvl w:val="0"/>
          <w:numId w:val="37"/>
        </w:numPr>
        <w:spacing w:after="0"/>
        <w:rPr>
          <w:rFonts w:ascii="Arial" w:hAnsi="Arial" w:cs="Arial"/>
        </w:rPr>
      </w:pPr>
      <w:r>
        <w:rPr>
          <w:rFonts w:ascii="Arial" w:hAnsi="Arial" w:cs="Arial"/>
        </w:rPr>
        <w:t>Reallocate funding to the most c</w:t>
      </w:r>
      <w:r w:rsidRPr="00D65393">
        <w:rPr>
          <w:rFonts w:ascii="Arial" w:hAnsi="Arial" w:cs="Arial"/>
        </w:rPr>
        <w:t xml:space="preserve">ost-effective interventions, </w:t>
      </w:r>
      <w:r>
        <w:rPr>
          <w:rFonts w:ascii="Arial" w:hAnsi="Arial" w:cs="Arial"/>
        </w:rPr>
        <w:t xml:space="preserve">including </w:t>
      </w:r>
      <w:r w:rsidRPr="00D65393">
        <w:rPr>
          <w:rFonts w:ascii="Arial" w:hAnsi="Arial" w:cs="Arial"/>
        </w:rPr>
        <w:t>greater access to ART, VMMC, outreach to FSW, and condom program</w:t>
      </w:r>
      <w:r>
        <w:rPr>
          <w:rFonts w:ascii="Arial" w:hAnsi="Arial" w:cs="Arial"/>
        </w:rPr>
        <w:t>s</w:t>
      </w:r>
      <w:r w:rsidRPr="00D65393">
        <w:rPr>
          <w:rFonts w:ascii="Arial" w:hAnsi="Arial" w:cs="Arial"/>
        </w:rPr>
        <w:t xml:space="preserve">. Almost 50% of estimated new HIV infections could be prevented by this type of strategic reallocation of planned funding. </w:t>
      </w:r>
    </w:p>
    <w:p w14:paraId="76A8A9FF" w14:textId="23E431F2" w:rsidR="006E495C" w:rsidRPr="00444084" w:rsidRDefault="000F5E56" w:rsidP="00444084">
      <w:pPr>
        <w:pStyle w:val="ListParagraph"/>
        <w:numPr>
          <w:ilvl w:val="0"/>
          <w:numId w:val="37"/>
        </w:numPr>
        <w:spacing w:after="0"/>
        <w:rPr>
          <w:rFonts w:ascii="Arial" w:hAnsi="Arial" w:cs="Arial"/>
        </w:rPr>
      </w:pPr>
      <w:r w:rsidRPr="00444084">
        <w:rPr>
          <w:rFonts w:ascii="Arial" w:hAnsi="Arial" w:cs="Arial"/>
        </w:rPr>
        <w:t xml:space="preserve">Adoption of the Maximum Technical Efficiency </w:t>
      </w:r>
      <w:r w:rsidR="00A22479">
        <w:rPr>
          <w:rFonts w:ascii="Arial" w:hAnsi="Arial" w:cs="Arial"/>
        </w:rPr>
        <w:t xml:space="preserve">(TE) </w:t>
      </w:r>
      <w:r w:rsidRPr="00444084">
        <w:rPr>
          <w:rFonts w:ascii="Arial" w:hAnsi="Arial" w:cs="Arial"/>
        </w:rPr>
        <w:t>scenario through implementing community-adherence clubs, home-based ART, CHW adherence promotion and mHealth to improve ART adherence and viral suppression and several approaches to enhancing the effectiveness of primary prevention including partner testing and community testing, age targeting of VMMC, sex worker empowerment, and PMTCT Option B+.</w:t>
      </w:r>
    </w:p>
    <w:p w14:paraId="39B340AE" w14:textId="252243C0" w:rsidR="008B46EC" w:rsidRPr="006E495C" w:rsidRDefault="008B46EC" w:rsidP="0058354C">
      <w:pPr>
        <w:pStyle w:val="ListParagraph"/>
        <w:numPr>
          <w:ilvl w:val="0"/>
          <w:numId w:val="37"/>
        </w:numPr>
        <w:spacing w:after="0"/>
        <w:rPr>
          <w:rFonts w:ascii="Arial" w:hAnsi="Arial" w:cs="Arial"/>
        </w:rPr>
      </w:pPr>
      <w:r>
        <w:rPr>
          <w:rFonts w:ascii="Arial" w:hAnsi="Arial" w:cs="Arial"/>
        </w:rPr>
        <w:t xml:space="preserve">Mobilize a large increase in funding for HIV to pay for the Maximum scenarios that had estimated price tags of 150-200% of the estimated spending of around </w:t>
      </w:r>
      <w:r w:rsidR="000807B2">
        <w:rPr>
          <w:rFonts w:ascii="Arial" w:hAnsi="Arial" w:cs="Arial"/>
        </w:rPr>
        <w:t xml:space="preserve">USD </w:t>
      </w:r>
      <w:r>
        <w:rPr>
          <w:rFonts w:ascii="Arial" w:hAnsi="Arial" w:cs="Arial"/>
        </w:rPr>
        <w:t xml:space="preserve">500 </w:t>
      </w:r>
      <w:r w:rsidR="000807B2">
        <w:rPr>
          <w:rFonts w:ascii="Arial" w:hAnsi="Arial" w:cs="Arial"/>
        </w:rPr>
        <w:t xml:space="preserve">M </w:t>
      </w:r>
      <w:r>
        <w:rPr>
          <w:rFonts w:ascii="Arial" w:hAnsi="Arial" w:cs="Arial"/>
        </w:rPr>
        <w:t>a year in 2015.</w:t>
      </w:r>
    </w:p>
    <w:p w14:paraId="10C17954" w14:textId="77777777" w:rsidR="00E40EB0" w:rsidRDefault="00E40EB0" w:rsidP="00C759BF">
      <w:pPr>
        <w:spacing w:after="0"/>
        <w:rPr>
          <w:rFonts w:ascii="Arial" w:hAnsi="Arial" w:cs="Arial"/>
        </w:rPr>
      </w:pPr>
    </w:p>
    <w:p w14:paraId="213E34E3" w14:textId="1DCD81B6" w:rsidR="00C759BF" w:rsidRDefault="00E40EB0" w:rsidP="008544A5">
      <w:pPr>
        <w:spacing w:after="0"/>
        <w:rPr>
          <w:rFonts w:ascii="Arial" w:hAnsi="Arial" w:cs="Arial"/>
        </w:rPr>
      </w:pPr>
      <w:r>
        <w:rPr>
          <w:rFonts w:ascii="Arial" w:hAnsi="Arial" w:cs="Arial"/>
        </w:rPr>
        <w:t>This analysis</w:t>
      </w:r>
      <w:r w:rsidR="00CD3475">
        <w:rPr>
          <w:rFonts w:ascii="Arial" w:hAnsi="Arial" w:cs="Arial"/>
        </w:rPr>
        <w:t xml:space="preserve"> informed both current national strategies, NMSF IV and HSHSP</w:t>
      </w:r>
      <w:r w:rsidR="002F7FD7">
        <w:rPr>
          <w:rFonts w:ascii="Arial" w:hAnsi="Arial" w:cs="Arial"/>
        </w:rPr>
        <w:t xml:space="preserve"> IV</w:t>
      </w:r>
      <w:r w:rsidR="00CD3475">
        <w:rPr>
          <w:rFonts w:ascii="Arial" w:hAnsi="Arial" w:cs="Arial"/>
        </w:rPr>
        <w:t xml:space="preserve"> documents.</w:t>
      </w:r>
      <w:r w:rsidR="007D72C7">
        <w:rPr>
          <w:rFonts w:ascii="Arial" w:hAnsi="Arial" w:cs="Arial"/>
        </w:rPr>
        <w:t xml:space="preserve"> The Max T</w:t>
      </w:r>
      <w:r w:rsidR="00992E00">
        <w:rPr>
          <w:rFonts w:ascii="Arial" w:hAnsi="Arial" w:cs="Arial"/>
        </w:rPr>
        <w:t>echnical Efficiency</w:t>
      </w:r>
      <w:r w:rsidR="007D72C7">
        <w:rPr>
          <w:rFonts w:ascii="Arial" w:hAnsi="Arial" w:cs="Arial"/>
        </w:rPr>
        <w:t xml:space="preserve"> scenario was adopted in these documents. </w:t>
      </w:r>
      <w:r w:rsidR="00CD3475">
        <w:rPr>
          <w:rFonts w:ascii="Arial" w:hAnsi="Arial" w:cs="Arial"/>
        </w:rPr>
        <w:t>Although the investment case focused on maximizing impact, less emphasis was placed on maximizing impact with constrained resources. At the time, both external and domestic contributions were increasing year on year and new domestic resource mobilization efforts, such as the AIDS Trust Fund</w:t>
      </w:r>
      <w:r w:rsidR="004F38C6">
        <w:rPr>
          <w:rFonts w:ascii="Arial" w:hAnsi="Arial" w:cs="Arial"/>
        </w:rPr>
        <w:t xml:space="preserve"> (ATF)</w:t>
      </w:r>
      <w:r w:rsidR="00CD3475">
        <w:rPr>
          <w:rFonts w:ascii="Arial" w:hAnsi="Arial" w:cs="Arial"/>
        </w:rPr>
        <w:t xml:space="preserve">, had just been launched. The maximum impact scenario in this first investment case was estimated to cost </w:t>
      </w:r>
      <w:r w:rsidR="000807B2">
        <w:rPr>
          <w:rFonts w:ascii="Arial" w:hAnsi="Arial" w:cs="Arial"/>
        </w:rPr>
        <w:t xml:space="preserve">USD </w:t>
      </w:r>
      <w:r w:rsidR="00CD3475">
        <w:rPr>
          <w:rFonts w:ascii="Arial" w:hAnsi="Arial" w:cs="Arial"/>
        </w:rPr>
        <w:t xml:space="preserve">800 </w:t>
      </w:r>
      <w:r w:rsidR="000807B2">
        <w:rPr>
          <w:rFonts w:ascii="Arial" w:hAnsi="Arial" w:cs="Arial"/>
        </w:rPr>
        <w:t>M</w:t>
      </w:r>
      <w:r w:rsidR="00CD3475">
        <w:rPr>
          <w:rFonts w:ascii="Arial" w:hAnsi="Arial" w:cs="Arial"/>
        </w:rPr>
        <w:t xml:space="preserve"> to </w:t>
      </w:r>
      <w:r w:rsidR="000807B2">
        <w:rPr>
          <w:rFonts w:ascii="Arial" w:hAnsi="Arial" w:cs="Arial"/>
        </w:rPr>
        <w:t xml:space="preserve">USD </w:t>
      </w:r>
      <w:r w:rsidR="00CD3475">
        <w:rPr>
          <w:rFonts w:ascii="Arial" w:hAnsi="Arial" w:cs="Arial"/>
        </w:rPr>
        <w:t xml:space="preserve">1 </w:t>
      </w:r>
      <w:r w:rsidR="000807B2">
        <w:rPr>
          <w:rFonts w:ascii="Arial" w:hAnsi="Arial" w:cs="Arial"/>
        </w:rPr>
        <w:t>M</w:t>
      </w:r>
      <w:r w:rsidR="00CD3475">
        <w:rPr>
          <w:rFonts w:ascii="Arial" w:hAnsi="Arial" w:cs="Arial"/>
        </w:rPr>
        <w:t xml:space="preserve"> annually (</w:t>
      </w:r>
      <w:r w:rsidR="002F7FD7">
        <w:rPr>
          <w:rFonts w:ascii="Arial" w:hAnsi="Arial" w:cs="Arial"/>
        </w:rPr>
        <w:t>TACAIDS and UNAIDS 2016</w:t>
      </w:r>
      <w:r w:rsidR="00CD3475">
        <w:rPr>
          <w:rFonts w:ascii="Arial" w:hAnsi="Arial" w:cs="Arial"/>
        </w:rPr>
        <w:t>)</w:t>
      </w:r>
      <w:r w:rsidR="00C071CC">
        <w:rPr>
          <w:rFonts w:ascii="Arial" w:hAnsi="Arial" w:cs="Arial"/>
        </w:rPr>
        <w:t xml:space="preserve">, against estimated spending in 2016 </w:t>
      </w:r>
      <w:r w:rsidR="00C071CC" w:rsidRPr="004F529F">
        <w:rPr>
          <w:rFonts w:ascii="Arial" w:hAnsi="Arial" w:cs="Arial"/>
        </w:rPr>
        <w:t>of</w:t>
      </w:r>
      <w:r w:rsidR="00F401A3" w:rsidRPr="002E0189">
        <w:rPr>
          <w:rFonts w:ascii="Arial" w:hAnsi="Arial" w:cs="Arial"/>
        </w:rPr>
        <w:t xml:space="preserve"> </w:t>
      </w:r>
      <w:r w:rsidR="000807B2">
        <w:rPr>
          <w:rFonts w:ascii="Arial" w:hAnsi="Arial" w:cs="Arial"/>
        </w:rPr>
        <w:t xml:space="preserve">USD </w:t>
      </w:r>
      <w:r w:rsidR="004B144C" w:rsidRPr="002E0189">
        <w:rPr>
          <w:rFonts w:ascii="Arial" w:hAnsi="Arial" w:cs="Arial"/>
        </w:rPr>
        <w:t>5</w:t>
      </w:r>
      <w:r w:rsidR="00F401A3" w:rsidRPr="002E0189">
        <w:rPr>
          <w:rFonts w:ascii="Arial" w:hAnsi="Arial" w:cs="Arial"/>
        </w:rPr>
        <w:t>38</w:t>
      </w:r>
      <w:r w:rsidR="000807B2">
        <w:rPr>
          <w:rFonts w:ascii="Arial" w:hAnsi="Arial" w:cs="Arial"/>
        </w:rPr>
        <w:t xml:space="preserve"> M</w:t>
      </w:r>
      <w:r w:rsidR="00CD3475">
        <w:rPr>
          <w:rFonts w:ascii="Arial" w:hAnsi="Arial" w:cs="Arial"/>
        </w:rPr>
        <w:t xml:space="preserve">. </w:t>
      </w:r>
    </w:p>
    <w:p w14:paraId="4141D732" w14:textId="77777777" w:rsidR="00221622" w:rsidRDefault="00221622" w:rsidP="008544A5">
      <w:pPr>
        <w:pStyle w:val="Heading3"/>
        <w:rPr>
          <w:rFonts w:ascii="Arial" w:hAnsi="Arial" w:cs="Arial"/>
          <w:i/>
          <w:color w:val="000000" w:themeColor="text1"/>
        </w:rPr>
      </w:pPr>
    </w:p>
    <w:p w14:paraId="1AD7D78A" w14:textId="5771BBE3" w:rsidR="00C759BF" w:rsidRPr="00C36956" w:rsidRDefault="00E40EB0" w:rsidP="008544A5">
      <w:pPr>
        <w:pStyle w:val="Heading3"/>
        <w:rPr>
          <w:rFonts w:ascii="Arial" w:hAnsi="Arial" w:cs="Arial"/>
          <w:i/>
          <w:color w:val="000000" w:themeColor="text1"/>
        </w:rPr>
      </w:pPr>
      <w:bookmarkStart w:id="25" w:name="_Toc57035127"/>
      <w:r w:rsidRPr="00C36956">
        <w:rPr>
          <w:rFonts w:ascii="Arial" w:hAnsi="Arial" w:cs="Arial"/>
          <w:i/>
          <w:color w:val="000000" w:themeColor="text1"/>
        </w:rPr>
        <w:t xml:space="preserve">Since 2015: </w:t>
      </w:r>
      <w:r w:rsidR="00715760" w:rsidRPr="00C36956">
        <w:rPr>
          <w:rFonts w:ascii="Arial" w:hAnsi="Arial" w:cs="Arial"/>
          <w:i/>
          <w:color w:val="000000" w:themeColor="text1"/>
        </w:rPr>
        <w:t>c</w:t>
      </w:r>
      <w:r w:rsidRPr="00C36956">
        <w:rPr>
          <w:rFonts w:ascii="Arial" w:hAnsi="Arial" w:cs="Arial"/>
          <w:i/>
          <w:color w:val="000000" w:themeColor="text1"/>
        </w:rPr>
        <w:t>hanging context</w:t>
      </w:r>
      <w:bookmarkEnd w:id="25"/>
    </w:p>
    <w:p w14:paraId="63769775" w14:textId="77777777" w:rsidR="00D869BE" w:rsidRPr="00D869BE" w:rsidRDefault="00D869BE" w:rsidP="008544A5">
      <w:pPr>
        <w:spacing w:after="0"/>
      </w:pPr>
    </w:p>
    <w:p w14:paraId="07020218" w14:textId="20B484A5" w:rsidR="00CD3475" w:rsidRDefault="003870DE" w:rsidP="00C759BF">
      <w:pPr>
        <w:spacing w:after="0"/>
        <w:rPr>
          <w:rFonts w:ascii="Arial" w:hAnsi="Arial" w:cs="Arial"/>
        </w:rPr>
      </w:pPr>
      <w:r w:rsidRPr="003870DE">
        <w:rPr>
          <w:rFonts w:ascii="Arial" w:hAnsi="Arial" w:cs="Arial"/>
          <w:b/>
        </w:rPr>
        <w:t xml:space="preserve">Uncertain financing. </w:t>
      </w:r>
      <w:r w:rsidR="004B144C">
        <w:rPr>
          <w:rFonts w:ascii="Arial" w:hAnsi="Arial" w:cs="Arial"/>
        </w:rPr>
        <w:t xml:space="preserve">Although the HIV response has benefitted from increasing external contributions, </w:t>
      </w:r>
      <w:r w:rsidR="008B46EC">
        <w:rPr>
          <w:rFonts w:ascii="Arial" w:hAnsi="Arial" w:cs="Arial"/>
        </w:rPr>
        <w:t>s</w:t>
      </w:r>
      <w:r w:rsidR="00CD3475">
        <w:rPr>
          <w:rFonts w:ascii="Arial" w:hAnsi="Arial" w:cs="Arial"/>
        </w:rPr>
        <w:t xml:space="preserve">ince </w:t>
      </w:r>
      <w:r w:rsidR="008B46EC">
        <w:rPr>
          <w:rFonts w:ascii="Arial" w:hAnsi="Arial" w:cs="Arial"/>
        </w:rPr>
        <w:t xml:space="preserve">the publication of IC 1.0 in </w:t>
      </w:r>
      <w:r w:rsidR="00CD3475">
        <w:rPr>
          <w:rFonts w:ascii="Arial" w:hAnsi="Arial" w:cs="Arial"/>
        </w:rPr>
        <w:t>2016</w:t>
      </w:r>
      <w:r w:rsidR="004F38C6">
        <w:rPr>
          <w:rFonts w:ascii="Arial" w:hAnsi="Arial" w:cs="Arial"/>
        </w:rPr>
        <w:t>,</w:t>
      </w:r>
      <w:r w:rsidR="004B144C">
        <w:rPr>
          <w:rFonts w:ascii="Arial" w:hAnsi="Arial" w:cs="Arial"/>
        </w:rPr>
        <w:t xml:space="preserve"> </w:t>
      </w:r>
      <w:r w:rsidR="00CD3475">
        <w:rPr>
          <w:rFonts w:ascii="Arial" w:hAnsi="Arial" w:cs="Arial"/>
        </w:rPr>
        <w:t>domestic contributions have not increased as much as expected</w:t>
      </w:r>
      <w:r w:rsidR="004B144C">
        <w:rPr>
          <w:rFonts w:ascii="Arial" w:hAnsi="Arial" w:cs="Arial"/>
        </w:rPr>
        <w:t>. Moreover, k</w:t>
      </w:r>
      <w:r w:rsidR="00CD3475">
        <w:rPr>
          <w:rFonts w:ascii="Arial" w:hAnsi="Arial" w:cs="Arial"/>
        </w:rPr>
        <w:t>ey donors, including PEPFAR and Global Fund, have indicated that external resources may flatline or decrease in coming years</w:t>
      </w:r>
      <w:r w:rsidR="00044CD6">
        <w:rPr>
          <w:rFonts w:ascii="Arial" w:hAnsi="Arial" w:cs="Arial"/>
        </w:rPr>
        <w:t>, which could have serious consequences given that donors account for 90% of financing</w:t>
      </w:r>
      <w:r w:rsidR="00CD3475">
        <w:rPr>
          <w:rFonts w:ascii="Arial" w:hAnsi="Arial" w:cs="Arial"/>
        </w:rPr>
        <w:t xml:space="preserve">. </w:t>
      </w:r>
      <w:r w:rsidR="004B144C" w:rsidRPr="002E0189">
        <w:rPr>
          <w:rFonts w:ascii="Arial" w:hAnsi="Arial" w:cs="Arial"/>
        </w:rPr>
        <w:t>Although resources have increased, t</w:t>
      </w:r>
      <w:r w:rsidR="00CD3475" w:rsidRPr="002E0189">
        <w:rPr>
          <w:rFonts w:ascii="Arial" w:hAnsi="Arial" w:cs="Arial"/>
        </w:rPr>
        <w:t xml:space="preserve">otal external and domestic financing </w:t>
      </w:r>
      <w:r w:rsidR="00F401A3" w:rsidRPr="002E0189">
        <w:rPr>
          <w:rFonts w:ascii="Arial" w:hAnsi="Arial" w:cs="Arial"/>
        </w:rPr>
        <w:t>ha</w:t>
      </w:r>
      <w:r w:rsidR="00007844">
        <w:rPr>
          <w:rFonts w:ascii="Arial" w:hAnsi="Arial" w:cs="Arial"/>
        </w:rPr>
        <w:t>ve</w:t>
      </w:r>
      <w:r w:rsidR="00F401A3" w:rsidRPr="002E0189">
        <w:rPr>
          <w:rFonts w:ascii="Arial" w:hAnsi="Arial" w:cs="Arial"/>
        </w:rPr>
        <w:t xml:space="preserve"> not significantly exceeded</w:t>
      </w:r>
      <w:r w:rsidR="00CD3475" w:rsidRPr="002E0189">
        <w:rPr>
          <w:rFonts w:ascii="Arial" w:hAnsi="Arial" w:cs="Arial"/>
        </w:rPr>
        <w:t xml:space="preserve"> </w:t>
      </w:r>
      <w:r w:rsidR="000807B2">
        <w:rPr>
          <w:rFonts w:ascii="Arial" w:hAnsi="Arial" w:cs="Arial"/>
        </w:rPr>
        <w:t xml:space="preserve">USD </w:t>
      </w:r>
      <w:r w:rsidR="004B144C" w:rsidRPr="002E0189">
        <w:rPr>
          <w:rFonts w:ascii="Arial" w:hAnsi="Arial" w:cs="Arial"/>
        </w:rPr>
        <w:t>600</w:t>
      </w:r>
      <w:r w:rsidR="00CD3475" w:rsidRPr="002E0189">
        <w:rPr>
          <w:rFonts w:ascii="Arial" w:hAnsi="Arial" w:cs="Arial"/>
        </w:rPr>
        <w:t xml:space="preserve"> </w:t>
      </w:r>
      <w:r w:rsidR="000807B2">
        <w:rPr>
          <w:rFonts w:ascii="Arial" w:hAnsi="Arial" w:cs="Arial"/>
        </w:rPr>
        <w:t>M</w:t>
      </w:r>
      <w:r w:rsidR="00CD3475" w:rsidRPr="002E0189">
        <w:rPr>
          <w:rFonts w:ascii="Arial" w:hAnsi="Arial" w:cs="Arial"/>
        </w:rPr>
        <w:t xml:space="preserve"> annually</w:t>
      </w:r>
      <w:r w:rsidR="008B46EC" w:rsidRPr="002E0189">
        <w:rPr>
          <w:rFonts w:ascii="Arial" w:hAnsi="Arial" w:cs="Arial"/>
        </w:rPr>
        <w:t>,</w:t>
      </w:r>
      <w:r w:rsidR="008B46EC" w:rsidRPr="00F401A3">
        <w:rPr>
          <w:rFonts w:ascii="Arial" w:hAnsi="Arial" w:cs="Arial"/>
        </w:rPr>
        <w:t xml:space="preserve"> whereas</w:t>
      </w:r>
      <w:r w:rsidR="008B46EC">
        <w:rPr>
          <w:rFonts w:ascii="Arial" w:hAnsi="Arial" w:cs="Arial"/>
        </w:rPr>
        <w:t xml:space="preserve"> the IC 1.0 </w:t>
      </w:r>
      <w:r w:rsidR="004B144C">
        <w:rPr>
          <w:rFonts w:ascii="Arial" w:hAnsi="Arial" w:cs="Arial"/>
        </w:rPr>
        <w:t xml:space="preserve">called for levels </w:t>
      </w:r>
      <w:r w:rsidR="00F83890">
        <w:rPr>
          <w:rFonts w:ascii="Arial" w:hAnsi="Arial" w:cs="Arial"/>
        </w:rPr>
        <w:t>to reach t</w:t>
      </w:r>
      <w:r w:rsidR="004B144C">
        <w:rPr>
          <w:rFonts w:ascii="Arial" w:hAnsi="Arial" w:cs="Arial"/>
        </w:rPr>
        <w:t>wice as much</w:t>
      </w:r>
      <w:r w:rsidR="00CD3475">
        <w:rPr>
          <w:rFonts w:ascii="Arial" w:hAnsi="Arial" w:cs="Arial"/>
        </w:rPr>
        <w:t xml:space="preserve">. </w:t>
      </w:r>
      <w:r w:rsidR="004F38C6">
        <w:rPr>
          <w:rFonts w:ascii="Arial" w:hAnsi="Arial" w:cs="Arial"/>
        </w:rPr>
        <w:t>D</w:t>
      </w:r>
      <w:r w:rsidR="004B144C">
        <w:rPr>
          <w:rFonts w:ascii="Arial" w:hAnsi="Arial" w:cs="Arial"/>
        </w:rPr>
        <w:t>onor funds may decline</w:t>
      </w:r>
      <w:r w:rsidR="008B46EC">
        <w:rPr>
          <w:rFonts w:ascii="Arial" w:hAnsi="Arial" w:cs="Arial"/>
        </w:rPr>
        <w:t xml:space="preserve"> further </w:t>
      </w:r>
      <w:r w:rsidR="004F38C6">
        <w:rPr>
          <w:rFonts w:ascii="Arial" w:hAnsi="Arial" w:cs="Arial"/>
        </w:rPr>
        <w:t xml:space="preserve">given their </w:t>
      </w:r>
      <w:r w:rsidR="008B46EC">
        <w:rPr>
          <w:rFonts w:ascii="Arial" w:hAnsi="Arial" w:cs="Arial"/>
        </w:rPr>
        <w:t>concern</w:t>
      </w:r>
      <w:r w:rsidR="004F38C6">
        <w:rPr>
          <w:rFonts w:ascii="Arial" w:hAnsi="Arial" w:cs="Arial"/>
        </w:rPr>
        <w:t>s</w:t>
      </w:r>
      <w:r w:rsidR="008B46EC">
        <w:rPr>
          <w:rFonts w:ascii="Arial" w:hAnsi="Arial" w:cs="Arial"/>
        </w:rPr>
        <w:t xml:space="preserve"> about inefficiency in Tanzania’s HIV program: </w:t>
      </w:r>
      <w:r w:rsidR="004B144C">
        <w:rPr>
          <w:rFonts w:ascii="Arial" w:hAnsi="Arial" w:cs="Arial"/>
        </w:rPr>
        <w:t>e</w:t>
      </w:r>
      <w:r w:rsidR="00CD3475">
        <w:rPr>
          <w:rFonts w:ascii="Arial" w:hAnsi="Arial" w:cs="Arial"/>
        </w:rPr>
        <w:t>ven with</w:t>
      </w:r>
      <w:r w:rsidR="004B144C">
        <w:rPr>
          <w:rFonts w:ascii="Arial" w:hAnsi="Arial" w:cs="Arial"/>
        </w:rPr>
        <w:t xml:space="preserve"> additional </w:t>
      </w:r>
      <w:r w:rsidR="00CD3475">
        <w:rPr>
          <w:rFonts w:ascii="Arial" w:hAnsi="Arial" w:cs="Arial"/>
        </w:rPr>
        <w:t>resources in recent years, programmatic gains have been less than expecte</w:t>
      </w:r>
      <w:r w:rsidR="004B144C">
        <w:rPr>
          <w:rFonts w:ascii="Arial" w:hAnsi="Arial" w:cs="Arial"/>
        </w:rPr>
        <w:t xml:space="preserve">d as the </w:t>
      </w:r>
      <w:r w:rsidR="00CD3475">
        <w:rPr>
          <w:rFonts w:ascii="Arial" w:hAnsi="Arial" w:cs="Arial"/>
        </w:rPr>
        <w:t xml:space="preserve">number of new PLHIV initiated on ART </w:t>
      </w:r>
      <w:r w:rsidR="004B144C">
        <w:rPr>
          <w:rFonts w:ascii="Arial" w:hAnsi="Arial" w:cs="Arial"/>
        </w:rPr>
        <w:t xml:space="preserve">has </w:t>
      </w:r>
      <w:r w:rsidR="00CD3475">
        <w:rPr>
          <w:rFonts w:ascii="Arial" w:hAnsi="Arial" w:cs="Arial"/>
        </w:rPr>
        <w:t xml:space="preserve">remained </w:t>
      </w:r>
      <w:r w:rsidR="004B144C">
        <w:rPr>
          <w:rFonts w:ascii="Arial" w:hAnsi="Arial" w:cs="Arial"/>
        </w:rPr>
        <w:t xml:space="preserve">relatively </w:t>
      </w:r>
      <w:r w:rsidR="00CD3475">
        <w:rPr>
          <w:rFonts w:ascii="Arial" w:hAnsi="Arial" w:cs="Arial"/>
        </w:rPr>
        <w:t>constant (PEPFAR 2019</w:t>
      </w:r>
      <w:r w:rsidR="002F7FD7">
        <w:rPr>
          <w:rFonts w:ascii="Arial" w:hAnsi="Arial" w:cs="Arial"/>
        </w:rPr>
        <w:t>a</w:t>
      </w:r>
      <w:r w:rsidR="00CD3475">
        <w:rPr>
          <w:rFonts w:ascii="Arial" w:hAnsi="Arial" w:cs="Arial"/>
        </w:rPr>
        <w:t xml:space="preserve">). </w:t>
      </w:r>
    </w:p>
    <w:p w14:paraId="5F14DF51" w14:textId="3EC81C10" w:rsidR="00831C9D" w:rsidRDefault="00831C9D" w:rsidP="00C759BF">
      <w:pPr>
        <w:spacing w:after="0"/>
        <w:rPr>
          <w:rFonts w:ascii="Arial" w:hAnsi="Arial" w:cs="Arial"/>
        </w:rPr>
      </w:pPr>
    </w:p>
    <w:p w14:paraId="1DE97266" w14:textId="776353E7" w:rsidR="00831C9D" w:rsidRDefault="00831C9D" w:rsidP="00C759BF">
      <w:pPr>
        <w:spacing w:after="0"/>
        <w:rPr>
          <w:rFonts w:ascii="Arial" w:hAnsi="Arial" w:cs="Arial"/>
        </w:rPr>
      </w:pPr>
      <w:r w:rsidRPr="00580078">
        <w:rPr>
          <w:rFonts w:ascii="Arial" w:eastAsia="Times New Roman" w:hAnsi="Arial" w:cs="Arial"/>
          <w:i/>
          <w:iCs/>
          <w:color w:val="222222"/>
          <w:sz w:val="18"/>
          <w:szCs w:val="18"/>
        </w:rPr>
        <w:t xml:space="preserve">Figure </w:t>
      </w:r>
      <w:r>
        <w:rPr>
          <w:rFonts w:ascii="Arial" w:eastAsia="Times New Roman" w:hAnsi="Arial" w:cs="Arial"/>
          <w:i/>
          <w:iCs/>
          <w:color w:val="222222"/>
          <w:sz w:val="18"/>
          <w:szCs w:val="18"/>
        </w:rPr>
        <w:t>1</w:t>
      </w:r>
      <w:r w:rsidRPr="00580078">
        <w:rPr>
          <w:rFonts w:ascii="Arial" w:eastAsia="Times New Roman" w:hAnsi="Arial" w:cs="Arial"/>
          <w:i/>
          <w:iCs/>
          <w:color w:val="222222"/>
          <w:sz w:val="18"/>
          <w:szCs w:val="18"/>
        </w:rPr>
        <w:t>-1. HIV expenditure 2015-201</w:t>
      </w:r>
      <w:r w:rsidR="00F401A3">
        <w:rPr>
          <w:rFonts w:ascii="Arial" w:eastAsia="Times New Roman" w:hAnsi="Arial" w:cs="Arial"/>
          <w:i/>
          <w:iCs/>
          <w:color w:val="222222"/>
          <w:sz w:val="18"/>
          <w:szCs w:val="18"/>
        </w:rPr>
        <w:t>7</w:t>
      </w:r>
      <w:r w:rsidRPr="00580078">
        <w:rPr>
          <w:rFonts w:ascii="Arial" w:eastAsia="Times New Roman" w:hAnsi="Arial" w:cs="Arial"/>
          <w:i/>
          <w:iCs/>
          <w:color w:val="222222"/>
          <w:sz w:val="18"/>
          <w:szCs w:val="18"/>
        </w:rPr>
        <w:t xml:space="preserve"> and </w:t>
      </w:r>
      <w:r w:rsidR="00F401A3">
        <w:rPr>
          <w:rFonts w:ascii="Arial" w:eastAsia="Times New Roman" w:hAnsi="Arial" w:cs="Arial"/>
          <w:i/>
          <w:iCs/>
          <w:color w:val="222222"/>
          <w:sz w:val="18"/>
          <w:szCs w:val="18"/>
        </w:rPr>
        <w:t>2018-</w:t>
      </w:r>
      <w:r w:rsidRPr="00580078">
        <w:rPr>
          <w:rFonts w:ascii="Arial" w:eastAsia="Times New Roman" w:hAnsi="Arial" w:cs="Arial"/>
          <w:i/>
          <w:iCs/>
          <w:color w:val="222222"/>
          <w:sz w:val="18"/>
          <w:szCs w:val="18"/>
        </w:rPr>
        <w:t>2020 available funding</w:t>
      </w:r>
    </w:p>
    <w:p w14:paraId="5EBEC67A" w14:textId="57D124D7" w:rsidR="00831C9D" w:rsidRDefault="00831C9D" w:rsidP="00C759BF">
      <w:pPr>
        <w:spacing w:after="0"/>
        <w:rPr>
          <w:rFonts w:ascii="Arial" w:hAnsi="Arial" w:cs="Arial"/>
        </w:rPr>
      </w:pPr>
    </w:p>
    <w:p w14:paraId="0D7F22E0" w14:textId="6169ABE3" w:rsidR="00831C9D" w:rsidRDefault="00831C9D" w:rsidP="00C759BF">
      <w:pPr>
        <w:spacing w:after="0"/>
        <w:rPr>
          <w:rFonts w:ascii="Arial" w:hAnsi="Arial" w:cs="Arial"/>
        </w:rPr>
      </w:pPr>
      <w:r w:rsidRPr="000B2682">
        <w:rPr>
          <w:rFonts w:ascii="Arial" w:eastAsia="Times New Roman" w:hAnsi="Arial" w:cs="Arial"/>
          <w:noProof/>
          <w:color w:val="222222"/>
        </w:rPr>
        <w:drawing>
          <wp:inline distT="0" distB="0" distL="0" distR="0" wp14:anchorId="2DF40C5E" wp14:editId="068B3104">
            <wp:extent cx="5577840" cy="2241550"/>
            <wp:effectExtent l="0" t="0" r="3810" b="6350"/>
            <wp:docPr id="64" name="Chart 64">
              <a:extLst xmlns:a="http://schemas.openxmlformats.org/drawingml/2006/main">
                <a:ext uri="{FF2B5EF4-FFF2-40B4-BE49-F238E27FC236}">
                  <a16:creationId xmlns:a16="http://schemas.microsoft.com/office/drawing/2014/main" id="{50893113-C63F-400A-A68A-93381F4A8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2A5852" w14:textId="77777777" w:rsidR="00C759BF" w:rsidRDefault="00C759BF" w:rsidP="00C759BF">
      <w:pPr>
        <w:spacing w:after="0"/>
        <w:rPr>
          <w:rFonts w:ascii="Arial" w:hAnsi="Arial" w:cs="Arial"/>
        </w:rPr>
      </w:pPr>
    </w:p>
    <w:p w14:paraId="573F606A" w14:textId="5798460E" w:rsidR="003870DE" w:rsidRDefault="00AD74AA" w:rsidP="00C759BF">
      <w:pPr>
        <w:spacing w:after="0"/>
        <w:rPr>
          <w:rFonts w:ascii="Arial" w:hAnsi="Arial" w:cs="Arial"/>
        </w:rPr>
      </w:pPr>
      <w:r>
        <w:rPr>
          <w:rFonts w:ascii="Arial" w:hAnsi="Arial" w:cs="Arial"/>
          <w:b/>
        </w:rPr>
        <w:t>Key p</w:t>
      </w:r>
      <w:r w:rsidR="003870DE" w:rsidRPr="003870DE">
        <w:rPr>
          <w:rFonts w:ascii="Arial" w:hAnsi="Arial" w:cs="Arial"/>
          <w:b/>
        </w:rPr>
        <w:t xml:space="preserve">rogram challenges. </w:t>
      </w:r>
      <w:r w:rsidR="003870DE">
        <w:rPr>
          <w:rFonts w:ascii="Arial" w:hAnsi="Arial" w:cs="Arial"/>
        </w:rPr>
        <w:t xml:space="preserve">Despite the substantial achievements in ART scale-up and prevention efforts to date and strong national leadership, Tanzania is currently </w:t>
      </w:r>
      <w:r w:rsidR="00E46860">
        <w:rPr>
          <w:rFonts w:ascii="Arial" w:hAnsi="Arial" w:cs="Arial"/>
        </w:rPr>
        <w:t xml:space="preserve">still </w:t>
      </w:r>
      <w:r w:rsidR="003870DE">
        <w:rPr>
          <w:rFonts w:ascii="Arial" w:hAnsi="Arial" w:cs="Arial"/>
        </w:rPr>
        <w:t>not on track to meeting 2030 global goals</w:t>
      </w:r>
      <w:r w:rsidR="00E46860">
        <w:rPr>
          <w:rFonts w:ascii="Arial" w:hAnsi="Arial" w:cs="Arial"/>
        </w:rPr>
        <w:t xml:space="preserve"> for testing, treatment, prevention, or stigma reduction. Closing the testing gap poses one of the greatest challenges and is a bottleneck to meeting the others as well</w:t>
      </w:r>
      <w:r w:rsidR="003870DE">
        <w:rPr>
          <w:rFonts w:ascii="Arial" w:hAnsi="Arial" w:cs="Arial"/>
        </w:rPr>
        <w:t xml:space="preserve">. Currently, only </w:t>
      </w:r>
      <w:r w:rsidR="00C81E35">
        <w:rPr>
          <w:rFonts w:ascii="Arial" w:hAnsi="Arial" w:cs="Arial"/>
        </w:rPr>
        <w:t>61</w:t>
      </w:r>
      <w:r w:rsidR="003870DE">
        <w:rPr>
          <w:rFonts w:ascii="Arial" w:hAnsi="Arial" w:cs="Arial"/>
        </w:rPr>
        <w:t>% of people living with HIV are aware of their status, significantly short of the 2020 goal of 90% and the 2025 goal of 95%. Among the PLHIV who are aware of the status, 9</w:t>
      </w:r>
      <w:r w:rsidR="00C81E35">
        <w:rPr>
          <w:rFonts w:ascii="Arial" w:hAnsi="Arial" w:cs="Arial"/>
        </w:rPr>
        <w:t>4</w:t>
      </w:r>
      <w:r w:rsidR="003870DE">
        <w:rPr>
          <w:rFonts w:ascii="Arial" w:hAnsi="Arial" w:cs="Arial"/>
        </w:rPr>
        <w:t>% are on ART and 8</w:t>
      </w:r>
      <w:r w:rsidR="00C81E35">
        <w:rPr>
          <w:rFonts w:ascii="Arial" w:hAnsi="Arial" w:cs="Arial"/>
        </w:rPr>
        <w:t>7</w:t>
      </w:r>
      <w:r w:rsidR="003870DE">
        <w:rPr>
          <w:rFonts w:ascii="Arial" w:hAnsi="Arial" w:cs="Arial"/>
        </w:rPr>
        <w:t xml:space="preserve">% of them are virally suppressed. But because of low testing coverage, only </w:t>
      </w:r>
      <w:r w:rsidR="00C81E35">
        <w:rPr>
          <w:rFonts w:ascii="Arial" w:hAnsi="Arial" w:cs="Arial"/>
        </w:rPr>
        <w:t>57</w:t>
      </w:r>
      <w:r w:rsidR="003870DE">
        <w:rPr>
          <w:rFonts w:ascii="Arial" w:hAnsi="Arial" w:cs="Arial"/>
        </w:rPr>
        <w:t>% of all PLHIV</w:t>
      </w:r>
      <w:r w:rsidR="00E27B9F">
        <w:rPr>
          <w:rFonts w:ascii="Arial" w:hAnsi="Arial" w:cs="Arial"/>
        </w:rPr>
        <w:t xml:space="preserve"> (including</w:t>
      </w:r>
      <w:r w:rsidR="003870DE">
        <w:rPr>
          <w:rFonts w:ascii="Arial" w:hAnsi="Arial" w:cs="Arial"/>
        </w:rPr>
        <w:t xml:space="preserve"> those aware and unaware of their status</w:t>
      </w:r>
      <w:r w:rsidR="00E27B9F">
        <w:rPr>
          <w:rFonts w:ascii="Arial" w:hAnsi="Arial" w:cs="Arial"/>
        </w:rPr>
        <w:t>)</w:t>
      </w:r>
      <w:r w:rsidR="003870DE">
        <w:rPr>
          <w:rFonts w:ascii="Arial" w:hAnsi="Arial" w:cs="Arial"/>
        </w:rPr>
        <w:t xml:space="preserve"> are on ART and only </w:t>
      </w:r>
      <w:r w:rsidR="00C81E35">
        <w:rPr>
          <w:rFonts w:ascii="Arial" w:hAnsi="Arial" w:cs="Arial"/>
        </w:rPr>
        <w:t>50</w:t>
      </w:r>
      <w:r w:rsidR="003870DE">
        <w:rPr>
          <w:rFonts w:ascii="Arial" w:hAnsi="Arial" w:cs="Arial"/>
        </w:rPr>
        <w:t>% of all PLHIV are virally suppressed (UNAIDS 2018</w:t>
      </w:r>
      <w:r w:rsidR="00992E00">
        <w:rPr>
          <w:rFonts w:ascii="Arial" w:hAnsi="Arial" w:cs="Arial"/>
        </w:rPr>
        <w:t>; TACAIDS and ZAC 2018</w:t>
      </w:r>
      <w:r w:rsidR="003870DE">
        <w:rPr>
          <w:rFonts w:ascii="Arial" w:hAnsi="Arial" w:cs="Arial"/>
        </w:rPr>
        <w:t xml:space="preserve">). </w:t>
      </w:r>
      <w:r w:rsidR="00C071CC">
        <w:rPr>
          <w:rFonts w:ascii="Arial" w:hAnsi="Arial" w:cs="Arial"/>
        </w:rPr>
        <w:t>I</w:t>
      </w:r>
      <w:r w:rsidR="003870DE">
        <w:rPr>
          <w:rFonts w:ascii="Arial" w:hAnsi="Arial" w:cs="Arial"/>
        </w:rPr>
        <w:t xml:space="preserve">ncreasing the number of PLHIV diagnosed will also require significant increases in PLHIV on ART to sustain progress towards 95-95-95. </w:t>
      </w:r>
      <w:r w:rsidR="006D3B08">
        <w:rPr>
          <w:rFonts w:ascii="Arial" w:hAnsi="Arial" w:cs="Arial"/>
        </w:rPr>
        <w:t xml:space="preserve">As coverage on the first 90 increases, </w:t>
      </w:r>
      <w:r w:rsidR="003870DE">
        <w:rPr>
          <w:rFonts w:ascii="Arial" w:hAnsi="Arial" w:cs="Arial"/>
        </w:rPr>
        <w:t xml:space="preserve">the number of PLHIV on ART and </w:t>
      </w:r>
      <w:r w:rsidR="006D3B08">
        <w:rPr>
          <w:rFonts w:ascii="Arial" w:hAnsi="Arial" w:cs="Arial"/>
        </w:rPr>
        <w:t xml:space="preserve">who are </w:t>
      </w:r>
      <w:r w:rsidR="003870DE">
        <w:rPr>
          <w:rFonts w:ascii="Arial" w:hAnsi="Arial" w:cs="Arial"/>
        </w:rPr>
        <w:t xml:space="preserve">virally suppressed will have to </w:t>
      </w:r>
      <w:r w:rsidR="006D3B08">
        <w:rPr>
          <w:rFonts w:ascii="Arial" w:hAnsi="Arial" w:cs="Arial"/>
        </w:rPr>
        <w:t xml:space="preserve">keep pace to stay at high levels. Assuming the current size of the adult PLHIV 15 years and older (based on 2017 values), an </w:t>
      </w:r>
      <w:r w:rsidR="003870DE">
        <w:rPr>
          <w:rFonts w:ascii="Arial" w:hAnsi="Arial" w:cs="Arial"/>
        </w:rPr>
        <w:t xml:space="preserve">increase </w:t>
      </w:r>
      <w:r w:rsidR="006D3B08">
        <w:rPr>
          <w:rFonts w:ascii="Arial" w:hAnsi="Arial" w:cs="Arial"/>
        </w:rPr>
        <w:t>of</w:t>
      </w:r>
      <w:r w:rsidR="003870DE">
        <w:rPr>
          <w:rFonts w:ascii="Arial" w:hAnsi="Arial" w:cs="Arial"/>
        </w:rPr>
        <w:t xml:space="preserve"> </w:t>
      </w:r>
      <w:r w:rsidR="00CE6238">
        <w:rPr>
          <w:rFonts w:ascii="Arial" w:hAnsi="Arial" w:cs="Arial"/>
        </w:rPr>
        <w:t>37</w:t>
      </w:r>
      <w:r w:rsidR="003870DE">
        <w:rPr>
          <w:rFonts w:ascii="Arial" w:hAnsi="Arial" w:cs="Arial"/>
        </w:rPr>
        <w:t xml:space="preserve">% and </w:t>
      </w:r>
      <w:r w:rsidR="00CE6238">
        <w:rPr>
          <w:rFonts w:ascii="Arial" w:hAnsi="Arial" w:cs="Arial"/>
        </w:rPr>
        <w:t>4</w:t>
      </w:r>
      <w:r w:rsidR="006D3B08">
        <w:rPr>
          <w:rFonts w:ascii="Arial" w:hAnsi="Arial" w:cs="Arial"/>
        </w:rPr>
        <w:t>4</w:t>
      </w:r>
      <w:r w:rsidR="003870DE">
        <w:rPr>
          <w:rFonts w:ascii="Arial" w:hAnsi="Arial" w:cs="Arial"/>
        </w:rPr>
        <w:t>% respectivel</w:t>
      </w:r>
      <w:r w:rsidR="006D3B08">
        <w:rPr>
          <w:rFonts w:ascii="Arial" w:hAnsi="Arial" w:cs="Arial"/>
        </w:rPr>
        <w:t>y would be required</w:t>
      </w:r>
      <w:r w:rsidR="003870DE">
        <w:rPr>
          <w:rFonts w:ascii="Arial" w:hAnsi="Arial" w:cs="Arial"/>
        </w:rPr>
        <w:t xml:space="preserve">, see </w:t>
      </w:r>
      <w:r w:rsidR="003870DE">
        <w:rPr>
          <w:rFonts w:ascii="Arial" w:hAnsi="Arial" w:cs="Arial"/>
          <w:i/>
        </w:rPr>
        <w:t>Figure 1</w:t>
      </w:r>
      <w:r w:rsidR="00B61AA0">
        <w:rPr>
          <w:rFonts w:ascii="Arial" w:hAnsi="Arial" w:cs="Arial"/>
          <w:i/>
        </w:rPr>
        <w:t>-1</w:t>
      </w:r>
      <w:r w:rsidR="003870DE">
        <w:rPr>
          <w:rFonts w:ascii="Arial" w:hAnsi="Arial" w:cs="Arial"/>
        </w:rPr>
        <w:t xml:space="preserve"> below</w:t>
      </w:r>
      <w:r w:rsidR="004948E4">
        <w:rPr>
          <w:rFonts w:ascii="Arial" w:hAnsi="Arial" w:cs="Arial"/>
        </w:rPr>
        <w:t>. G</w:t>
      </w:r>
      <w:r w:rsidR="006D3B08">
        <w:rPr>
          <w:rFonts w:ascii="Arial" w:hAnsi="Arial" w:cs="Arial"/>
        </w:rPr>
        <w:t>iven population growth, the absolute number of</w:t>
      </w:r>
      <w:r w:rsidR="004948E4">
        <w:rPr>
          <w:rFonts w:ascii="Arial" w:hAnsi="Arial" w:cs="Arial"/>
        </w:rPr>
        <w:t xml:space="preserve"> </w:t>
      </w:r>
      <w:r w:rsidR="006D3B08">
        <w:rPr>
          <w:rFonts w:ascii="Arial" w:hAnsi="Arial" w:cs="Arial"/>
        </w:rPr>
        <w:t xml:space="preserve">people on ART </w:t>
      </w:r>
      <w:r w:rsidR="004948E4">
        <w:rPr>
          <w:rFonts w:ascii="Arial" w:hAnsi="Arial" w:cs="Arial"/>
        </w:rPr>
        <w:t xml:space="preserve">associated with 95%-95%-95% will increase over time.  </w:t>
      </w:r>
    </w:p>
    <w:p w14:paraId="48F917A7" w14:textId="77777777" w:rsidR="00C071CC" w:rsidRDefault="00C071CC" w:rsidP="00C81E35">
      <w:pPr>
        <w:spacing w:after="0"/>
        <w:rPr>
          <w:rFonts w:ascii="Arial" w:hAnsi="Arial" w:cs="Arial"/>
          <w:i/>
          <w:sz w:val="18"/>
        </w:rPr>
      </w:pPr>
    </w:p>
    <w:p w14:paraId="37D7D879" w14:textId="77777777" w:rsidR="003E1382" w:rsidRDefault="003E1382" w:rsidP="00C81E35">
      <w:pPr>
        <w:spacing w:after="0"/>
        <w:rPr>
          <w:rFonts w:ascii="Arial" w:hAnsi="Arial" w:cs="Arial"/>
          <w:i/>
          <w:sz w:val="18"/>
        </w:rPr>
      </w:pPr>
    </w:p>
    <w:p w14:paraId="69C768F8" w14:textId="77777777" w:rsidR="003E1382" w:rsidRDefault="003E1382" w:rsidP="00C81E35">
      <w:pPr>
        <w:spacing w:after="0"/>
        <w:rPr>
          <w:rFonts w:ascii="Arial" w:hAnsi="Arial" w:cs="Arial"/>
          <w:i/>
          <w:sz w:val="18"/>
        </w:rPr>
      </w:pPr>
    </w:p>
    <w:p w14:paraId="48EF416C" w14:textId="77777777" w:rsidR="003E1382" w:rsidRDefault="003E1382" w:rsidP="00C81E35">
      <w:pPr>
        <w:spacing w:after="0"/>
        <w:rPr>
          <w:rFonts w:ascii="Arial" w:hAnsi="Arial" w:cs="Arial"/>
          <w:i/>
          <w:sz w:val="18"/>
        </w:rPr>
      </w:pPr>
    </w:p>
    <w:p w14:paraId="2BC8A18E" w14:textId="77777777" w:rsidR="003E1382" w:rsidRDefault="003E1382" w:rsidP="00C81E35">
      <w:pPr>
        <w:spacing w:after="0"/>
        <w:rPr>
          <w:rFonts w:ascii="Arial" w:hAnsi="Arial" w:cs="Arial"/>
          <w:i/>
          <w:sz w:val="18"/>
        </w:rPr>
      </w:pPr>
    </w:p>
    <w:p w14:paraId="25091611" w14:textId="77777777" w:rsidR="003E1382" w:rsidRDefault="003E1382" w:rsidP="00C81E35">
      <w:pPr>
        <w:spacing w:after="0"/>
        <w:rPr>
          <w:rFonts w:ascii="Arial" w:hAnsi="Arial" w:cs="Arial"/>
          <w:i/>
          <w:sz w:val="18"/>
        </w:rPr>
      </w:pPr>
    </w:p>
    <w:p w14:paraId="68192DF0" w14:textId="77777777" w:rsidR="003E1382" w:rsidRDefault="003E1382" w:rsidP="00C81E35">
      <w:pPr>
        <w:spacing w:after="0"/>
        <w:rPr>
          <w:rFonts w:ascii="Arial" w:hAnsi="Arial" w:cs="Arial"/>
          <w:i/>
          <w:sz w:val="18"/>
        </w:rPr>
      </w:pPr>
    </w:p>
    <w:p w14:paraId="49E097EE" w14:textId="546D548A" w:rsidR="00C81E35" w:rsidRDefault="00C81E35" w:rsidP="00C81E35">
      <w:pPr>
        <w:spacing w:after="0"/>
        <w:rPr>
          <w:rFonts w:ascii="Arial" w:hAnsi="Arial" w:cs="Arial"/>
          <w:i/>
          <w:sz w:val="18"/>
        </w:rPr>
      </w:pPr>
      <w:r>
        <w:rPr>
          <w:rFonts w:ascii="Arial" w:hAnsi="Arial" w:cs="Arial"/>
          <w:i/>
          <w:sz w:val="18"/>
        </w:rPr>
        <w:lastRenderedPageBreak/>
        <w:t xml:space="preserve">Figure </w:t>
      </w:r>
      <w:r w:rsidR="00B61AA0">
        <w:rPr>
          <w:rFonts w:ascii="Arial" w:hAnsi="Arial" w:cs="Arial"/>
          <w:i/>
          <w:sz w:val="18"/>
        </w:rPr>
        <w:t>1-</w:t>
      </w:r>
      <w:r w:rsidR="00831C9D">
        <w:rPr>
          <w:rFonts w:ascii="Arial" w:hAnsi="Arial" w:cs="Arial"/>
          <w:i/>
          <w:sz w:val="18"/>
        </w:rPr>
        <w:t>2</w:t>
      </w:r>
      <w:r w:rsidR="00B61AA0">
        <w:rPr>
          <w:rFonts w:ascii="Arial" w:hAnsi="Arial" w:cs="Arial"/>
          <w:i/>
          <w:sz w:val="18"/>
        </w:rPr>
        <w:t xml:space="preserve">. </w:t>
      </w:r>
      <w:r>
        <w:rPr>
          <w:rFonts w:ascii="Arial" w:hAnsi="Arial" w:cs="Arial"/>
          <w:i/>
          <w:sz w:val="18"/>
        </w:rPr>
        <w:t xml:space="preserve">Progress towards </w:t>
      </w:r>
      <w:r w:rsidR="00A25CF6">
        <w:rPr>
          <w:rFonts w:ascii="Arial" w:hAnsi="Arial" w:cs="Arial"/>
          <w:i/>
          <w:sz w:val="18"/>
        </w:rPr>
        <w:t>95-95-95</w:t>
      </w:r>
    </w:p>
    <w:p w14:paraId="59DD5F86" w14:textId="1CA66B87" w:rsidR="00A25CF6" w:rsidRDefault="00A25CF6" w:rsidP="00C81E35">
      <w:pPr>
        <w:spacing w:after="0"/>
        <w:rPr>
          <w:rFonts w:ascii="Arial" w:hAnsi="Arial" w:cs="Arial"/>
          <w:i/>
          <w:sz w:val="18"/>
        </w:rPr>
      </w:pPr>
    </w:p>
    <w:p w14:paraId="3777D756" w14:textId="76627F23" w:rsidR="00A25CF6" w:rsidRDefault="00A25CF6" w:rsidP="00C81E35">
      <w:pPr>
        <w:spacing w:after="0"/>
        <w:rPr>
          <w:rFonts w:ascii="Arial" w:hAnsi="Arial" w:cs="Arial"/>
          <w:i/>
          <w:sz w:val="18"/>
        </w:rPr>
      </w:pPr>
      <w:r>
        <w:rPr>
          <w:rFonts w:ascii="Arial" w:hAnsi="Arial" w:cs="Arial"/>
          <w:i/>
          <w:noProof/>
          <w:sz w:val="18"/>
        </w:rPr>
        <w:drawing>
          <wp:inline distT="0" distB="0" distL="0" distR="0" wp14:anchorId="1D623508" wp14:editId="3C84020A">
            <wp:extent cx="3726873" cy="2876116"/>
            <wp:effectExtent l="0" t="0" r="698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8112" cy="2877072"/>
                    </a:xfrm>
                    <a:prstGeom prst="rect">
                      <a:avLst/>
                    </a:prstGeom>
                    <a:noFill/>
                  </pic:spPr>
                </pic:pic>
              </a:graphicData>
            </a:graphic>
          </wp:inline>
        </w:drawing>
      </w:r>
    </w:p>
    <w:p w14:paraId="483161EC" w14:textId="13A7F425" w:rsidR="00C81E35" w:rsidRDefault="00C81E35" w:rsidP="00C81E35">
      <w:pPr>
        <w:spacing w:after="0"/>
        <w:rPr>
          <w:rFonts w:ascii="Arial" w:hAnsi="Arial" w:cs="Arial"/>
        </w:rPr>
      </w:pPr>
    </w:p>
    <w:p w14:paraId="6A8D4D6F" w14:textId="426F2514" w:rsidR="00C81E35" w:rsidRDefault="00C81E35" w:rsidP="00C759BF">
      <w:pPr>
        <w:spacing w:after="0"/>
        <w:rPr>
          <w:rFonts w:ascii="Arial" w:hAnsi="Arial" w:cs="Arial"/>
        </w:rPr>
      </w:pPr>
      <w:r>
        <w:rPr>
          <w:rFonts w:ascii="Arial" w:hAnsi="Arial" w:cs="Arial"/>
          <w:sz w:val="16"/>
        </w:rPr>
        <w:t xml:space="preserve">Source: </w:t>
      </w:r>
      <w:r w:rsidR="006415B8">
        <w:rPr>
          <w:rFonts w:ascii="Arial" w:hAnsi="Arial" w:cs="Arial"/>
          <w:sz w:val="16"/>
          <w:szCs w:val="16"/>
          <w:lang w:val="en-GB"/>
        </w:rPr>
        <w:t xml:space="preserve">UNAIDS (2018). Aidsinfo data; </w:t>
      </w:r>
      <w:r w:rsidR="006415B8" w:rsidRPr="001B30E2">
        <w:rPr>
          <w:rFonts w:ascii="Arial" w:hAnsi="Arial" w:cs="Arial"/>
          <w:iCs/>
          <w:color w:val="000000" w:themeColor="text1"/>
          <w:sz w:val="16"/>
        </w:rPr>
        <w:t>TACAIDS and UNAIDS</w:t>
      </w:r>
      <w:r w:rsidR="006415B8">
        <w:rPr>
          <w:rFonts w:ascii="Arial" w:hAnsi="Arial" w:cs="Arial"/>
          <w:iCs/>
          <w:color w:val="000000" w:themeColor="text1"/>
          <w:sz w:val="16"/>
        </w:rPr>
        <w:t xml:space="preserve"> (2016)</w:t>
      </w:r>
      <w:r w:rsidR="006415B8" w:rsidRPr="001B30E2">
        <w:rPr>
          <w:rFonts w:ascii="Arial" w:hAnsi="Arial" w:cs="Arial"/>
          <w:iCs/>
          <w:color w:val="000000" w:themeColor="text1"/>
          <w:sz w:val="16"/>
        </w:rPr>
        <w:t>. Tanzania HIV Investment Case Reference Report</w:t>
      </w:r>
      <w:r w:rsidR="006415B8">
        <w:rPr>
          <w:rFonts w:ascii="Arial" w:hAnsi="Arial" w:cs="Arial"/>
          <w:iCs/>
          <w:color w:val="000000" w:themeColor="text1"/>
          <w:sz w:val="16"/>
        </w:rPr>
        <w:t xml:space="preserve">; </w:t>
      </w:r>
      <w:r w:rsidR="006415B8">
        <w:rPr>
          <w:rFonts w:ascii="Arial" w:hAnsi="Arial" w:cs="Arial"/>
          <w:color w:val="000000" w:themeColor="text1"/>
          <w:sz w:val="16"/>
          <w:szCs w:val="16"/>
        </w:rPr>
        <w:t>ICAP et al (2017). Tanzania Population-based HIV Impact Assessment 2016-</w:t>
      </w:r>
      <w:r w:rsidR="006415B8" w:rsidRPr="00B86B3B">
        <w:rPr>
          <w:rFonts w:ascii="Arial" w:hAnsi="Arial" w:cs="Arial"/>
          <w:color w:val="000000" w:themeColor="text1"/>
          <w:sz w:val="16"/>
          <w:szCs w:val="16"/>
        </w:rPr>
        <w:t>201</w:t>
      </w:r>
      <w:r w:rsidR="006415B8">
        <w:rPr>
          <w:rFonts w:ascii="Arial" w:hAnsi="Arial" w:cs="Arial"/>
          <w:color w:val="000000" w:themeColor="text1"/>
          <w:sz w:val="16"/>
          <w:szCs w:val="16"/>
        </w:rPr>
        <w:t>7 Summary Sheet: Preliminary findings.</w:t>
      </w:r>
    </w:p>
    <w:p w14:paraId="1B8B06BA" w14:textId="77777777" w:rsidR="00C759BF" w:rsidRPr="003870DE" w:rsidRDefault="00C759BF" w:rsidP="00C759BF">
      <w:pPr>
        <w:spacing w:after="0"/>
        <w:rPr>
          <w:rFonts w:ascii="Arial" w:hAnsi="Arial" w:cs="Arial"/>
        </w:rPr>
      </w:pPr>
    </w:p>
    <w:p w14:paraId="783BC425" w14:textId="2A00F226" w:rsidR="00C759BF" w:rsidRPr="00C36956" w:rsidRDefault="00C759BF" w:rsidP="00C759BF">
      <w:pPr>
        <w:pStyle w:val="Heading3"/>
        <w:rPr>
          <w:rFonts w:ascii="Arial" w:hAnsi="Arial" w:cs="Arial"/>
          <w:i/>
          <w:color w:val="000000" w:themeColor="text1"/>
        </w:rPr>
      </w:pPr>
      <w:bookmarkStart w:id="26" w:name="_Toc57035128"/>
      <w:r w:rsidRPr="00C36956">
        <w:rPr>
          <w:rFonts w:ascii="Arial" w:hAnsi="Arial" w:cs="Arial"/>
          <w:i/>
          <w:color w:val="000000" w:themeColor="text1"/>
        </w:rPr>
        <w:t xml:space="preserve">Objectives of Investment </w:t>
      </w:r>
      <w:r w:rsidR="004548B5" w:rsidRPr="00C36956">
        <w:rPr>
          <w:rFonts w:ascii="Arial" w:hAnsi="Arial" w:cs="Arial"/>
          <w:i/>
          <w:color w:val="000000" w:themeColor="text1"/>
        </w:rPr>
        <w:t>C</w:t>
      </w:r>
      <w:r w:rsidRPr="00C36956">
        <w:rPr>
          <w:rFonts w:ascii="Arial" w:hAnsi="Arial" w:cs="Arial"/>
          <w:i/>
          <w:color w:val="000000" w:themeColor="text1"/>
        </w:rPr>
        <w:t>ase 2.0</w:t>
      </w:r>
      <w:bookmarkEnd w:id="26"/>
    </w:p>
    <w:p w14:paraId="492EB7EB" w14:textId="77777777" w:rsidR="00C759BF" w:rsidRDefault="00C759BF" w:rsidP="00C759BF">
      <w:pPr>
        <w:spacing w:after="0"/>
        <w:rPr>
          <w:rFonts w:ascii="Arial" w:hAnsi="Arial" w:cs="Arial"/>
          <w:color w:val="4472C4" w:themeColor="accent1"/>
        </w:rPr>
      </w:pPr>
    </w:p>
    <w:p w14:paraId="789AB4A9" w14:textId="73203B91" w:rsidR="00A60309" w:rsidRDefault="00CD3475" w:rsidP="00A60309">
      <w:pPr>
        <w:spacing w:after="0"/>
        <w:rPr>
          <w:rFonts w:ascii="Arial" w:hAnsi="Arial" w:cs="Arial"/>
        </w:rPr>
      </w:pPr>
      <w:r>
        <w:rPr>
          <w:rFonts w:ascii="Arial" w:hAnsi="Arial" w:cs="Arial"/>
        </w:rPr>
        <w:t>The objective of Investment case 2.0 is to put forward a framework for</w:t>
      </w:r>
      <w:r w:rsidR="003937AC">
        <w:rPr>
          <w:rFonts w:ascii="Arial" w:hAnsi="Arial" w:cs="Arial"/>
        </w:rPr>
        <w:t xml:space="preserve"> supporting the</w:t>
      </w:r>
      <w:r>
        <w:rPr>
          <w:rFonts w:ascii="Arial" w:hAnsi="Arial" w:cs="Arial"/>
        </w:rPr>
        <w:t xml:space="preserve"> accelerat</w:t>
      </w:r>
      <w:r w:rsidR="003937AC">
        <w:rPr>
          <w:rFonts w:ascii="Arial" w:hAnsi="Arial" w:cs="Arial"/>
        </w:rPr>
        <w:t>ion of</w:t>
      </w:r>
      <w:r>
        <w:rPr>
          <w:rFonts w:ascii="Arial" w:hAnsi="Arial" w:cs="Arial"/>
        </w:rPr>
        <w:t xml:space="preserve"> the HIV response with a focus on program financial sustainability and implementation efficiency, given funding uncertainty and program challenges. The Investment Case 2.0 aims to build on the </w:t>
      </w:r>
      <w:r w:rsidR="000049BB">
        <w:rPr>
          <w:rFonts w:ascii="Arial" w:hAnsi="Arial" w:cs="Arial"/>
        </w:rPr>
        <w:t>IC 1.0</w:t>
      </w:r>
      <w:r>
        <w:rPr>
          <w:rFonts w:ascii="Arial" w:hAnsi="Arial" w:cs="Arial"/>
        </w:rPr>
        <w:t xml:space="preserve"> by taking into account </w:t>
      </w:r>
      <w:r w:rsidR="00E40EB0">
        <w:rPr>
          <w:rFonts w:ascii="Arial" w:hAnsi="Arial" w:cs="Arial"/>
        </w:rPr>
        <w:t xml:space="preserve">already realized efforts to achieve allocative efficiency but accounting for the latest epidemiological, programmatic, and </w:t>
      </w:r>
      <w:r w:rsidR="002905C3">
        <w:rPr>
          <w:rFonts w:ascii="Arial" w:hAnsi="Arial" w:cs="Arial"/>
        </w:rPr>
        <w:t>financing context</w:t>
      </w:r>
      <w:r>
        <w:rPr>
          <w:rFonts w:ascii="Arial" w:hAnsi="Arial" w:cs="Arial"/>
        </w:rPr>
        <w:t xml:space="preserve">. </w:t>
      </w:r>
    </w:p>
    <w:p w14:paraId="21D54459" w14:textId="0DABCF58" w:rsidR="00D8180A" w:rsidRDefault="00D8180A" w:rsidP="00A60309">
      <w:pPr>
        <w:spacing w:after="0"/>
        <w:rPr>
          <w:rFonts w:ascii="Arial" w:hAnsi="Arial" w:cs="Arial"/>
        </w:rPr>
      </w:pPr>
    </w:p>
    <w:p w14:paraId="519C31D1" w14:textId="77777777" w:rsidR="00D8180A" w:rsidRDefault="00D8180A" w:rsidP="00D8180A">
      <w:pPr>
        <w:spacing w:after="0"/>
        <w:rPr>
          <w:rFonts w:ascii="Arial" w:hAnsi="Arial" w:cs="Arial"/>
        </w:rPr>
      </w:pPr>
      <w:r>
        <w:rPr>
          <w:rFonts w:ascii="Arial" w:hAnsi="Arial" w:cs="Arial"/>
        </w:rPr>
        <w:t xml:space="preserve">This report is divided as follows:  </w:t>
      </w:r>
    </w:p>
    <w:p w14:paraId="702FF816" w14:textId="77777777" w:rsidR="00D8180A" w:rsidRDefault="00D8180A" w:rsidP="00D8180A">
      <w:pPr>
        <w:spacing w:after="0"/>
        <w:rPr>
          <w:rFonts w:ascii="Arial" w:hAnsi="Arial" w:cs="Arial"/>
        </w:rPr>
      </w:pPr>
    </w:p>
    <w:p w14:paraId="7B4D6A09" w14:textId="45811E85" w:rsidR="00D8180A" w:rsidRDefault="00D8180A" w:rsidP="0058354C">
      <w:pPr>
        <w:pStyle w:val="ListParagraph"/>
        <w:numPr>
          <w:ilvl w:val="0"/>
          <w:numId w:val="44"/>
        </w:numPr>
        <w:spacing w:after="0"/>
        <w:rPr>
          <w:rFonts w:ascii="Arial" w:hAnsi="Arial" w:cs="Arial"/>
        </w:rPr>
      </w:pPr>
      <w:r>
        <w:rPr>
          <w:rFonts w:ascii="Arial" w:hAnsi="Arial" w:cs="Arial"/>
        </w:rPr>
        <w:t>Chapter 1 sets the scene for the IC, providing definitions</w:t>
      </w:r>
      <w:r w:rsidR="006415B8">
        <w:rPr>
          <w:rFonts w:ascii="Arial" w:hAnsi="Arial" w:cs="Arial"/>
        </w:rPr>
        <w:t xml:space="preserve"> and context</w:t>
      </w:r>
    </w:p>
    <w:p w14:paraId="63E9D9D2" w14:textId="77777777" w:rsidR="00D8180A" w:rsidRDefault="00D8180A" w:rsidP="0058354C">
      <w:pPr>
        <w:pStyle w:val="ListParagraph"/>
        <w:numPr>
          <w:ilvl w:val="0"/>
          <w:numId w:val="44"/>
        </w:numPr>
        <w:spacing w:after="0"/>
        <w:rPr>
          <w:rFonts w:ascii="Arial" w:hAnsi="Arial" w:cs="Arial"/>
        </w:rPr>
      </w:pPr>
      <w:r>
        <w:rPr>
          <w:rFonts w:ascii="Arial" w:hAnsi="Arial" w:cs="Arial"/>
        </w:rPr>
        <w:t>Chapter 2 summarizes the epidemiological and programmatic background</w:t>
      </w:r>
    </w:p>
    <w:p w14:paraId="1D56458D" w14:textId="77777777" w:rsidR="00D8180A" w:rsidRDefault="00D8180A" w:rsidP="0058354C">
      <w:pPr>
        <w:pStyle w:val="ListParagraph"/>
        <w:numPr>
          <w:ilvl w:val="0"/>
          <w:numId w:val="44"/>
        </w:numPr>
        <w:spacing w:after="0"/>
        <w:rPr>
          <w:rFonts w:ascii="Arial" w:hAnsi="Arial" w:cs="Arial"/>
        </w:rPr>
      </w:pPr>
      <w:r>
        <w:rPr>
          <w:rFonts w:ascii="Arial" w:hAnsi="Arial" w:cs="Arial"/>
        </w:rPr>
        <w:t>Chapter 3 provides a framework for the IC, including methods and data and a definition of the key scenarios being explored</w:t>
      </w:r>
    </w:p>
    <w:p w14:paraId="11B6FA28" w14:textId="2E002086" w:rsidR="00D8180A" w:rsidRDefault="00D8180A" w:rsidP="0058354C">
      <w:pPr>
        <w:pStyle w:val="ListParagraph"/>
        <w:numPr>
          <w:ilvl w:val="0"/>
          <w:numId w:val="44"/>
        </w:numPr>
        <w:spacing w:after="0"/>
        <w:rPr>
          <w:rFonts w:ascii="Arial" w:hAnsi="Arial" w:cs="Arial"/>
        </w:rPr>
      </w:pPr>
      <w:r>
        <w:rPr>
          <w:rFonts w:ascii="Arial" w:hAnsi="Arial" w:cs="Arial"/>
        </w:rPr>
        <w:t xml:space="preserve">Chapter 4 models the </w:t>
      </w:r>
      <w:r w:rsidR="00A87DFC">
        <w:rPr>
          <w:rFonts w:ascii="Arial" w:hAnsi="Arial" w:cs="Arial"/>
        </w:rPr>
        <w:t>Constant Coverage</w:t>
      </w:r>
      <w:r>
        <w:rPr>
          <w:rFonts w:ascii="Arial" w:hAnsi="Arial" w:cs="Arial"/>
        </w:rPr>
        <w:t xml:space="preserve"> and National </w:t>
      </w:r>
      <w:r w:rsidR="006415B8">
        <w:rPr>
          <w:rFonts w:ascii="Arial" w:hAnsi="Arial" w:cs="Arial"/>
        </w:rPr>
        <w:t>Strategy</w:t>
      </w:r>
      <w:r>
        <w:rPr>
          <w:rFonts w:ascii="Arial" w:hAnsi="Arial" w:cs="Arial"/>
        </w:rPr>
        <w:t xml:space="preserve"> </w:t>
      </w:r>
      <w:r w:rsidR="00534FF7">
        <w:rPr>
          <w:rFonts w:ascii="Arial" w:hAnsi="Arial" w:cs="Arial"/>
        </w:rPr>
        <w:t>S</w:t>
      </w:r>
      <w:r>
        <w:rPr>
          <w:rFonts w:ascii="Arial" w:hAnsi="Arial" w:cs="Arial"/>
        </w:rPr>
        <w:t>cenarios</w:t>
      </w:r>
    </w:p>
    <w:p w14:paraId="4D1E1773" w14:textId="7C607A6F" w:rsidR="00D8180A" w:rsidRDefault="00D8180A" w:rsidP="0058354C">
      <w:pPr>
        <w:pStyle w:val="ListParagraph"/>
        <w:numPr>
          <w:ilvl w:val="0"/>
          <w:numId w:val="44"/>
        </w:numPr>
        <w:spacing w:after="0"/>
        <w:rPr>
          <w:rFonts w:ascii="Arial" w:hAnsi="Arial" w:cs="Arial"/>
        </w:rPr>
      </w:pPr>
      <w:r>
        <w:rPr>
          <w:rFonts w:ascii="Arial" w:hAnsi="Arial" w:cs="Arial"/>
        </w:rPr>
        <w:t xml:space="preserve">Chapter 5 looks at whether </w:t>
      </w:r>
      <w:r w:rsidR="006415B8">
        <w:rPr>
          <w:rFonts w:ascii="Arial" w:hAnsi="Arial" w:cs="Arial"/>
        </w:rPr>
        <w:t>national</w:t>
      </w:r>
      <w:r>
        <w:rPr>
          <w:rFonts w:ascii="Arial" w:hAnsi="Arial" w:cs="Arial"/>
        </w:rPr>
        <w:t xml:space="preserve"> goals could be achieved at lower cost through optimization</w:t>
      </w:r>
    </w:p>
    <w:p w14:paraId="16768693" w14:textId="522BBB28" w:rsidR="00D8180A" w:rsidRDefault="00D8180A" w:rsidP="0058354C">
      <w:pPr>
        <w:pStyle w:val="ListParagraph"/>
        <w:numPr>
          <w:ilvl w:val="0"/>
          <w:numId w:val="44"/>
        </w:numPr>
        <w:spacing w:after="0"/>
        <w:rPr>
          <w:rFonts w:ascii="Arial" w:hAnsi="Arial" w:cs="Arial"/>
        </w:rPr>
      </w:pPr>
      <w:r>
        <w:rPr>
          <w:rFonts w:ascii="Arial" w:hAnsi="Arial" w:cs="Arial"/>
        </w:rPr>
        <w:t xml:space="preserve">Chapter 6 examines optimizing impact under tight funding </w:t>
      </w:r>
      <w:r w:rsidR="000049BB">
        <w:rPr>
          <w:rFonts w:ascii="Arial" w:hAnsi="Arial" w:cs="Arial"/>
        </w:rPr>
        <w:t>i</w:t>
      </w:r>
      <w:r>
        <w:rPr>
          <w:rFonts w:ascii="Arial" w:hAnsi="Arial" w:cs="Arial"/>
        </w:rPr>
        <w:t>n the event of declining donor financing</w:t>
      </w:r>
    </w:p>
    <w:p w14:paraId="5C15692D" w14:textId="77777777" w:rsidR="00D8180A" w:rsidRDefault="00D8180A" w:rsidP="0058354C">
      <w:pPr>
        <w:pStyle w:val="ListParagraph"/>
        <w:numPr>
          <w:ilvl w:val="0"/>
          <w:numId w:val="44"/>
        </w:numPr>
        <w:spacing w:after="0"/>
        <w:rPr>
          <w:rFonts w:ascii="Arial" w:hAnsi="Arial" w:cs="Arial"/>
        </w:rPr>
      </w:pPr>
      <w:r>
        <w:rPr>
          <w:rFonts w:ascii="Arial" w:hAnsi="Arial" w:cs="Arial"/>
        </w:rPr>
        <w:t>Chapter 7 analyzes options for mobilizing increased domestic financial resources to fill the gap in declining donor funding</w:t>
      </w:r>
    </w:p>
    <w:p w14:paraId="7D6E449E" w14:textId="136A8B04" w:rsidR="000049BB" w:rsidRDefault="00D8180A" w:rsidP="0058354C">
      <w:pPr>
        <w:pStyle w:val="ListParagraph"/>
        <w:numPr>
          <w:ilvl w:val="0"/>
          <w:numId w:val="44"/>
        </w:numPr>
        <w:spacing w:after="0"/>
        <w:rPr>
          <w:rFonts w:ascii="Arial" w:hAnsi="Arial" w:cs="Arial"/>
        </w:rPr>
      </w:pPr>
      <w:r w:rsidRPr="00AD74AA">
        <w:rPr>
          <w:rFonts w:ascii="Arial" w:hAnsi="Arial" w:cs="Arial"/>
        </w:rPr>
        <w:t>Chapter 8 explores the costs and impacts of targeting key gaps in the national response</w:t>
      </w:r>
    </w:p>
    <w:p w14:paraId="133E219D" w14:textId="14BBA3E2" w:rsidR="00D8180A" w:rsidRPr="00650F2B" w:rsidRDefault="00D8180A" w:rsidP="00650F2B">
      <w:pPr>
        <w:pStyle w:val="ListParagraph"/>
        <w:numPr>
          <w:ilvl w:val="0"/>
          <w:numId w:val="44"/>
        </w:numPr>
        <w:spacing w:after="0"/>
        <w:rPr>
          <w:rFonts w:ascii="Arial" w:hAnsi="Arial" w:cs="Arial"/>
        </w:rPr>
      </w:pPr>
      <w:r w:rsidRPr="00650F2B">
        <w:rPr>
          <w:rFonts w:ascii="Arial" w:hAnsi="Arial" w:cs="Arial"/>
        </w:rPr>
        <w:t>Chapter 9 presents the main takeaways for the national response under the Investment Case</w:t>
      </w:r>
    </w:p>
    <w:p w14:paraId="35016BB6" w14:textId="77777777" w:rsidR="003E1382" w:rsidRPr="00A178D1" w:rsidRDefault="003E1382" w:rsidP="00A178D1"/>
    <w:p w14:paraId="24D4E647" w14:textId="77777777" w:rsidR="003E1382" w:rsidRDefault="003E1382" w:rsidP="00715760">
      <w:pPr>
        <w:pStyle w:val="Heading3"/>
        <w:rPr>
          <w:rFonts w:ascii="Arial" w:hAnsi="Arial" w:cs="Arial"/>
          <w:i/>
          <w:color w:val="000000" w:themeColor="text1"/>
        </w:rPr>
      </w:pPr>
    </w:p>
    <w:p w14:paraId="06D020DF" w14:textId="0334FD0B" w:rsidR="003E1382" w:rsidRDefault="003E1382" w:rsidP="00715760">
      <w:pPr>
        <w:pStyle w:val="Heading3"/>
        <w:rPr>
          <w:rFonts w:ascii="Arial" w:hAnsi="Arial" w:cs="Arial"/>
          <w:i/>
          <w:color w:val="000000" w:themeColor="text1"/>
        </w:rPr>
      </w:pPr>
    </w:p>
    <w:p w14:paraId="22DC4BFB" w14:textId="77777777" w:rsidR="003E1382" w:rsidRPr="00A178D1" w:rsidRDefault="003E1382" w:rsidP="00A178D1"/>
    <w:p w14:paraId="097B7FFD" w14:textId="358D3FAA" w:rsidR="00715760" w:rsidRPr="00C36956" w:rsidRDefault="00715760" w:rsidP="00715760">
      <w:pPr>
        <w:pStyle w:val="Heading3"/>
        <w:rPr>
          <w:rFonts w:ascii="Arial" w:hAnsi="Arial" w:cs="Arial"/>
          <w:i/>
          <w:color w:val="000000" w:themeColor="text1"/>
        </w:rPr>
      </w:pPr>
      <w:bookmarkStart w:id="27" w:name="_Toc57035129"/>
      <w:r w:rsidRPr="00C36956">
        <w:rPr>
          <w:rFonts w:ascii="Arial" w:hAnsi="Arial" w:cs="Arial"/>
          <w:i/>
          <w:color w:val="000000" w:themeColor="text1"/>
        </w:rPr>
        <w:lastRenderedPageBreak/>
        <w:t xml:space="preserve">Key Questions of </w:t>
      </w:r>
      <w:r w:rsidR="004F38C6">
        <w:rPr>
          <w:rFonts w:ascii="Arial" w:hAnsi="Arial" w:cs="Arial"/>
          <w:i/>
          <w:color w:val="000000" w:themeColor="text1"/>
        </w:rPr>
        <w:t xml:space="preserve">Tanzania’s </w:t>
      </w:r>
      <w:r w:rsidRPr="00C36956">
        <w:rPr>
          <w:rFonts w:ascii="Arial" w:hAnsi="Arial" w:cs="Arial"/>
          <w:i/>
          <w:color w:val="000000" w:themeColor="text1"/>
        </w:rPr>
        <w:t xml:space="preserve">Investment </w:t>
      </w:r>
      <w:r w:rsidR="004548B5" w:rsidRPr="00C36956">
        <w:rPr>
          <w:rFonts w:ascii="Arial" w:hAnsi="Arial" w:cs="Arial"/>
          <w:i/>
          <w:color w:val="000000" w:themeColor="text1"/>
        </w:rPr>
        <w:t>C</w:t>
      </w:r>
      <w:r w:rsidRPr="00C36956">
        <w:rPr>
          <w:rFonts w:ascii="Arial" w:hAnsi="Arial" w:cs="Arial"/>
          <w:i/>
          <w:color w:val="000000" w:themeColor="text1"/>
        </w:rPr>
        <w:t>ase 2.0</w:t>
      </w:r>
      <w:bookmarkEnd w:id="27"/>
      <w:r w:rsidRPr="00C36956">
        <w:rPr>
          <w:rFonts w:ascii="Arial" w:hAnsi="Arial" w:cs="Arial"/>
          <w:i/>
          <w:color w:val="000000" w:themeColor="text1"/>
        </w:rPr>
        <w:t xml:space="preserve"> </w:t>
      </w:r>
    </w:p>
    <w:p w14:paraId="46C394E8" w14:textId="77777777" w:rsidR="00715760" w:rsidRPr="00715760" w:rsidRDefault="00715760" w:rsidP="00715760">
      <w:pPr>
        <w:spacing w:after="0"/>
      </w:pPr>
    </w:p>
    <w:p w14:paraId="61F64291" w14:textId="533EC482" w:rsidR="00715760" w:rsidRDefault="00715760" w:rsidP="00715760">
      <w:pPr>
        <w:spacing w:after="0"/>
        <w:rPr>
          <w:rFonts w:ascii="Arial" w:hAnsi="Arial" w:cs="Arial"/>
        </w:rPr>
      </w:pPr>
      <w:r>
        <w:rPr>
          <w:rFonts w:ascii="Arial" w:hAnsi="Arial" w:cs="Arial"/>
        </w:rPr>
        <w:t>Key questions that the investment case</w:t>
      </w:r>
      <w:r w:rsidR="00A43462">
        <w:rPr>
          <w:rFonts w:ascii="Arial" w:hAnsi="Arial" w:cs="Arial"/>
        </w:rPr>
        <w:t xml:space="preserve"> </w:t>
      </w:r>
      <w:r>
        <w:rPr>
          <w:rFonts w:ascii="Arial" w:hAnsi="Arial" w:cs="Arial"/>
        </w:rPr>
        <w:t>seek</w:t>
      </w:r>
      <w:r w:rsidR="00A43462">
        <w:rPr>
          <w:rFonts w:ascii="Arial" w:hAnsi="Arial" w:cs="Arial"/>
        </w:rPr>
        <w:t>s</w:t>
      </w:r>
      <w:r>
        <w:rPr>
          <w:rFonts w:ascii="Arial" w:hAnsi="Arial" w:cs="Arial"/>
        </w:rPr>
        <w:t xml:space="preserve"> to answer include:</w:t>
      </w:r>
    </w:p>
    <w:p w14:paraId="06675C24" w14:textId="77777777" w:rsidR="00715760" w:rsidRDefault="00715760" w:rsidP="00715760">
      <w:pPr>
        <w:spacing w:after="0"/>
        <w:rPr>
          <w:rFonts w:ascii="Arial" w:hAnsi="Arial" w:cs="Arial"/>
        </w:rPr>
      </w:pPr>
    </w:p>
    <w:p w14:paraId="419B0780" w14:textId="2FCA3579" w:rsidR="00715760" w:rsidRPr="00505F88" w:rsidRDefault="00715760" w:rsidP="0058354C">
      <w:pPr>
        <w:pStyle w:val="ListParagraph"/>
        <w:numPr>
          <w:ilvl w:val="0"/>
          <w:numId w:val="36"/>
        </w:numPr>
        <w:rPr>
          <w:rFonts w:ascii="Arial" w:hAnsi="Arial" w:cs="Arial"/>
        </w:rPr>
      </w:pPr>
      <w:r w:rsidRPr="00715760">
        <w:rPr>
          <w:rFonts w:ascii="Arial" w:hAnsi="Arial" w:cs="Arial"/>
        </w:rPr>
        <w:t xml:space="preserve">What </w:t>
      </w:r>
      <w:r w:rsidRPr="00715760">
        <w:rPr>
          <w:rFonts w:ascii="Arial" w:hAnsi="Arial" w:cs="Arial"/>
          <w:b/>
          <w:bCs/>
        </w:rPr>
        <w:t xml:space="preserve">amount of resources </w:t>
      </w:r>
      <w:r w:rsidRPr="00715760">
        <w:rPr>
          <w:rFonts w:ascii="Arial" w:hAnsi="Arial" w:cs="Arial"/>
        </w:rPr>
        <w:t xml:space="preserve">will be required to achieve and sustain goals of HIV response articulated in the </w:t>
      </w:r>
      <w:r w:rsidR="00044CD6" w:rsidRPr="00505F88">
        <w:rPr>
          <w:rFonts w:ascii="Arial" w:hAnsi="Arial" w:cs="Arial"/>
          <w:b/>
        </w:rPr>
        <w:t>N</w:t>
      </w:r>
      <w:r w:rsidRPr="00505F88">
        <w:rPr>
          <w:rFonts w:ascii="Arial" w:hAnsi="Arial" w:cs="Arial"/>
          <w:b/>
        </w:rPr>
        <w:t xml:space="preserve">ational </w:t>
      </w:r>
      <w:r w:rsidR="00044CD6" w:rsidRPr="00505F88">
        <w:rPr>
          <w:rFonts w:ascii="Arial" w:hAnsi="Arial" w:cs="Arial"/>
          <w:b/>
        </w:rPr>
        <w:t>S</w:t>
      </w:r>
      <w:r w:rsidRPr="00505F88">
        <w:rPr>
          <w:rFonts w:ascii="Arial" w:hAnsi="Arial" w:cs="Arial"/>
          <w:b/>
        </w:rPr>
        <w:t>trategy</w:t>
      </w:r>
      <w:r w:rsidRPr="00505F88">
        <w:rPr>
          <w:rFonts w:ascii="Arial" w:hAnsi="Arial" w:cs="Arial"/>
        </w:rPr>
        <w:t>?</w:t>
      </w:r>
    </w:p>
    <w:p w14:paraId="737BA3E5" w14:textId="7B7227F6" w:rsidR="00715760" w:rsidRPr="00715760" w:rsidRDefault="00506966" w:rsidP="0058354C">
      <w:pPr>
        <w:pStyle w:val="ListParagraph"/>
        <w:numPr>
          <w:ilvl w:val="0"/>
          <w:numId w:val="36"/>
        </w:numPr>
        <w:rPr>
          <w:rFonts w:ascii="Arial" w:hAnsi="Arial" w:cs="Arial"/>
        </w:rPr>
      </w:pPr>
      <w:r>
        <w:rPr>
          <w:rFonts w:ascii="Arial" w:hAnsi="Arial" w:cs="Arial"/>
        </w:rPr>
        <w:t>What impact will the National Strategy have on the future of the HIV response?</w:t>
      </w:r>
    </w:p>
    <w:p w14:paraId="1154E119" w14:textId="50E13120" w:rsidR="00715760" w:rsidRDefault="00715760" w:rsidP="0058354C">
      <w:pPr>
        <w:pStyle w:val="ListParagraph"/>
        <w:numPr>
          <w:ilvl w:val="0"/>
          <w:numId w:val="36"/>
        </w:numPr>
        <w:rPr>
          <w:rFonts w:ascii="Arial" w:hAnsi="Arial" w:cs="Arial"/>
        </w:rPr>
      </w:pPr>
      <w:r w:rsidRPr="00715760">
        <w:rPr>
          <w:rFonts w:ascii="Arial" w:hAnsi="Arial" w:cs="Arial"/>
        </w:rPr>
        <w:t xml:space="preserve">What is </w:t>
      </w:r>
      <w:r w:rsidRPr="00715760">
        <w:rPr>
          <w:rFonts w:ascii="Arial" w:hAnsi="Arial" w:cs="Arial"/>
          <w:b/>
          <w:bCs/>
        </w:rPr>
        <w:t xml:space="preserve">the gap </w:t>
      </w:r>
      <w:r w:rsidRPr="00715760">
        <w:rPr>
          <w:rFonts w:ascii="Arial" w:hAnsi="Arial" w:cs="Arial"/>
        </w:rPr>
        <w:t>between the available resource envelope and expected resource needs to achieve the national strategy?</w:t>
      </w:r>
    </w:p>
    <w:p w14:paraId="6A2674B6" w14:textId="6526266B" w:rsidR="00506966" w:rsidRDefault="00506966" w:rsidP="0058354C">
      <w:pPr>
        <w:pStyle w:val="ListParagraph"/>
        <w:numPr>
          <w:ilvl w:val="0"/>
          <w:numId w:val="36"/>
        </w:numPr>
        <w:rPr>
          <w:rFonts w:ascii="Arial" w:hAnsi="Arial" w:cs="Arial"/>
        </w:rPr>
      </w:pPr>
      <w:r>
        <w:rPr>
          <w:rFonts w:ascii="Arial" w:hAnsi="Arial" w:cs="Arial"/>
        </w:rPr>
        <w:t xml:space="preserve">Can available resources be </w:t>
      </w:r>
      <w:r w:rsidRPr="00505F88">
        <w:rPr>
          <w:rFonts w:ascii="Arial" w:hAnsi="Arial" w:cs="Arial"/>
          <w:b/>
        </w:rPr>
        <w:t>optimized</w:t>
      </w:r>
      <w:r w:rsidR="00044CD6">
        <w:rPr>
          <w:rFonts w:ascii="Arial" w:hAnsi="Arial" w:cs="Arial"/>
        </w:rPr>
        <w:t xml:space="preserve"> through </w:t>
      </w:r>
      <w:r>
        <w:rPr>
          <w:rFonts w:ascii="Arial" w:hAnsi="Arial" w:cs="Arial"/>
        </w:rPr>
        <w:t>achieving greater allocative and technical efficiency</w:t>
      </w:r>
      <w:r w:rsidR="00044CD6">
        <w:rPr>
          <w:rFonts w:ascii="Arial" w:hAnsi="Arial" w:cs="Arial"/>
        </w:rPr>
        <w:t xml:space="preserve"> to better maximize the impact of available resources?</w:t>
      </w:r>
    </w:p>
    <w:p w14:paraId="039CD5F4" w14:textId="2BD42155" w:rsidR="00044CD6" w:rsidRPr="00715760" w:rsidRDefault="00044CD6" w:rsidP="0058354C">
      <w:pPr>
        <w:pStyle w:val="ListParagraph"/>
        <w:numPr>
          <w:ilvl w:val="0"/>
          <w:numId w:val="36"/>
        </w:numPr>
        <w:rPr>
          <w:rFonts w:ascii="Arial" w:hAnsi="Arial" w:cs="Arial"/>
        </w:rPr>
      </w:pPr>
      <w:bookmarkStart w:id="28" w:name="_Hlk15385797"/>
      <w:r>
        <w:rPr>
          <w:rFonts w:ascii="Arial" w:hAnsi="Arial" w:cs="Arial"/>
        </w:rPr>
        <w:t xml:space="preserve">What if there is even </w:t>
      </w:r>
      <w:r w:rsidRPr="00505F88">
        <w:rPr>
          <w:rFonts w:ascii="Arial" w:hAnsi="Arial" w:cs="Arial"/>
          <w:b/>
        </w:rPr>
        <w:t>less funds</w:t>
      </w:r>
      <w:r>
        <w:rPr>
          <w:rFonts w:ascii="Arial" w:hAnsi="Arial" w:cs="Arial"/>
        </w:rPr>
        <w:t xml:space="preserve"> than what is currently available- due to donor funding declines—what impact would this have on the future of the response?</w:t>
      </w:r>
    </w:p>
    <w:bookmarkEnd w:id="28"/>
    <w:p w14:paraId="6BADD029" w14:textId="33D63A99" w:rsidR="00715760" w:rsidRPr="00715760" w:rsidRDefault="00715760" w:rsidP="0058354C">
      <w:pPr>
        <w:pStyle w:val="ListParagraph"/>
        <w:numPr>
          <w:ilvl w:val="0"/>
          <w:numId w:val="36"/>
        </w:numPr>
        <w:rPr>
          <w:rFonts w:ascii="Arial" w:hAnsi="Arial" w:cs="Arial"/>
        </w:rPr>
      </w:pPr>
      <w:r w:rsidRPr="00715760">
        <w:rPr>
          <w:rFonts w:ascii="Arial" w:hAnsi="Arial" w:cs="Arial"/>
        </w:rPr>
        <w:t xml:space="preserve">Could </w:t>
      </w:r>
      <w:r w:rsidRPr="00715760">
        <w:rPr>
          <w:rFonts w:ascii="Arial" w:hAnsi="Arial" w:cs="Arial"/>
          <w:b/>
          <w:bCs/>
        </w:rPr>
        <w:t>new, additional commitments of domestic resources</w:t>
      </w:r>
      <w:r w:rsidR="00044CD6">
        <w:rPr>
          <w:rFonts w:ascii="Arial" w:hAnsi="Arial" w:cs="Arial"/>
          <w:b/>
          <w:bCs/>
        </w:rPr>
        <w:t xml:space="preserve"> </w:t>
      </w:r>
      <w:r w:rsidR="00044CD6">
        <w:rPr>
          <w:rFonts w:ascii="Arial" w:hAnsi="Arial" w:cs="Arial"/>
          <w:bCs/>
        </w:rPr>
        <w:t>fill the gap of declining donor funds</w:t>
      </w:r>
      <w:r w:rsidRPr="00715760">
        <w:rPr>
          <w:rFonts w:ascii="Arial" w:hAnsi="Arial" w:cs="Arial"/>
        </w:rPr>
        <w:t>?  Where can these resources come from?</w:t>
      </w:r>
    </w:p>
    <w:p w14:paraId="0DDB89F4" w14:textId="0EF4AB1C" w:rsidR="00715760" w:rsidRPr="00715760" w:rsidRDefault="00715760" w:rsidP="00505F88">
      <w:pPr>
        <w:pStyle w:val="ListParagraph"/>
        <w:rPr>
          <w:rFonts w:ascii="Arial" w:hAnsi="Arial" w:cs="Arial"/>
        </w:rPr>
      </w:pPr>
    </w:p>
    <w:p w14:paraId="33110813" w14:textId="209559E4" w:rsidR="004548B5" w:rsidRPr="00C36956" w:rsidRDefault="004548B5" w:rsidP="004548B5">
      <w:pPr>
        <w:pStyle w:val="Heading3"/>
        <w:rPr>
          <w:rFonts w:ascii="Arial" w:hAnsi="Arial" w:cs="Arial"/>
          <w:i/>
          <w:color w:val="000000" w:themeColor="text1"/>
        </w:rPr>
      </w:pPr>
      <w:bookmarkStart w:id="29" w:name="_Toc57035130"/>
      <w:r w:rsidRPr="00C36956">
        <w:rPr>
          <w:rFonts w:ascii="Arial" w:hAnsi="Arial" w:cs="Arial"/>
          <w:i/>
          <w:color w:val="000000" w:themeColor="text1"/>
        </w:rPr>
        <w:t xml:space="preserve">Relationship with other </w:t>
      </w:r>
      <w:r w:rsidR="004B144C">
        <w:rPr>
          <w:rFonts w:ascii="Arial" w:hAnsi="Arial" w:cs="Arial"/>
          <w:i/>
          <w:color w:val="000000" w:themeColor="text1"/>
        </w:rPr>
        <w:t xml:space="preserve">national </w:t>
      </w:r>
      <w:r w:rsidRPr="00C36956">
        <w:rPr>
          <w:rFonts w:ascii="Arial" w:hAnsi="Arial" w:cs="Arial"/>
          <w:i/>
          <w:color w:val="000000" w:themeColor="text1"/>
        </w:rPr>
        <w:t>documents</w:t>
      </w:r>
      <w:bookmarkEnd w:id="29"/>
    </w:p>
    <w:p w14:paraId="0F3BF432" w14:textId="77777777" w:rsidR="00722AE5" w:rsidRDefault="00722AE5" w:rsidP="00715760">
      <w:pPr>
        <w:spacing w:after="0"/>
        <w:rPr>
          <w:rFonts w:ascii="Arial" w:hAnsi="Arial" w:cs="Arial"/>
        </w:rPr>
      </w:pPr>
    </w:p>
    <w:p w14:paraId="0A042E5C" w14:textId="72417FB6" w:rsidR="00044CD6" w:rsidRDefault="00044CD6" w:rsidP="00044CD6">
      <w:pPr>
        <w:spacing w:after="0"/>
        <w:rPr>
          <w:rFonts w:ascii="Arial" w:hAnsi="Arial" w:cs="Arial"/>
        </w:rPr>
      </w:pPr>
      <w:r w:rsidRPr="009903F8">
        <w:rPr>
          <w:rFonts w:ascii="Arial" w:hAnsi="Arial" w:cs="Arial"/>
        </w:rPr>
        <w:t>The Investment Case 2.0 not only draws on the analysis in the first Investment Case but also is the key document</w:t>
      </w:r>
      <w:r w:rsidR="000F5E56">
        <w:rPr>
          <w:rFonts w:ascii="Arial" w:hAnsi="Arial" w:cs="Arial"/>
        </w:rPr>
        <w:t xml:space="preserve"> connecting the </w:t>
      </w:r>
      <w:r w:rsidRPr="009903F8">
        <w:rPr>
          <w:rFonts w:ascii="Arial" w:hAnsi="Arial" w:cs="Arial"/>
        </w:rPr>
        <w:t>other key national strategic documents</w:t>
      </w:r>
      <w:r>
        <w:rPr>
          <w:rFonts w:ascii="Arial" w:hAnsi="Arial" w:cs="Arial"/>
        </w:rPr>
        <w:t xml:space="preserve">, updates to national guidelines, latest epidemiological information, the </w:t>
      </w:r>
      <w:r w:rsidR="00992E00">
        <w:rPr>
          <w:rFonts w:ascii="Arial" w:hAnsi="Arial" w:cs="Arial"/>
        </w:rPr>
        <w:t xml:space="preserve">2018 </w:t>
      </w:r>
      <w:r>
        <w:rPr>
          <w:rFonts w:ascii="Arial" w:hAnsi="Arial" w:cs="Arial"/>
        </w:rPr>
        <w:t>PEPFAR country operational plan and Global Fund funding request</w:t>
      </w:r>
      <w:r w:rsidR="00992E00">
        <w:rPr>
          <w:rFonts w:ascii="Arial" w:hAnsi="Arial" w:cs="Arial"/>
        </w:rPr>
        <w:t xml:space="preserve"> 2018-2020</w:t>
      </w:r>
      <w:r>
        <w:rPr>
          <w:rFonts w:ascii="Arial" w:hAnsi="Arial" w:cs="Arial"/>
        </w:rPr>
        <w:t>, and targeted cost and efficiency studies</w:t>
      </w:r>
      <w:r w:rsidRPr="009903F8">
        <w:rPr>
          <w:rFonts w:ascii="Arial" w:hAnsi="Arial" w:cs="Arial"/>
        </w:rPr>
        <w:t xml:space="preserve">. </w:t>
      </w:r>
      <w:r>
        <w:rPr>
          <w:rFonts w:ascii="Arial" w:hAnsi="Arial" w:cs="Arial"/>
        </w:rPr>
        <w:t>Key strategic documents include the National AIDS Control Program’s (NACP) Health Sector HIV Strategic Plan IV and the Tanzania AIDS Commission’s (TACAIDS) National Multisectoral Strategic Framework IV. Important updates to testing and treatment guidelines from the National Control Program have been accounted for here.</w:t>
      </w:r>
    </w:p>
    <w:p w14:paraId="5D7337C4" w14:textId="77777777" w:rsidR="00044CD6" w:rsidRDefault="00044CD6" w:rsidP="00044CD6">
      <w:pPr>
        <w:spacing w:after="0"/>
        <w:rPr>
          <w:rFonts w:ascii="Arial" w:hAnsi="Arial" w:cs="Arial"/>
        </w:rPr>
      </w:pPr>
    </w:p>
    <w:p w14:paraId="282F4AD2" w14:textId="24C74C84" w:rsidR="00044CD6" w:rsidRPr="007067DC" w:rsidRDefault="00044CD6" w:rsidP="00044CD6">
      <w:pPr>
        <w:spacing w:after="0" w:line="256" w:lineRule="auto"/>
        <w:rPr>
          <w:rFonts w:ascii="Arial" w:hAnsi="Arial" w:cs="Arial"/>
        </w:rPr>
      </w:pPr>
      <w:r w:rsidRPr="007067DC">
        <w:rPr>
          <w:rFonts w:ascii="Arial" w:hAnsi="Arial" w:cs="Arial"/>
          <w:b/>
        </w:rPr>
        <w:t>Health Sector HIV Strategic Plan 2017-2022.</w:t>
      </w:r>
      <w:r>
        <w:rPr>
          <w:rFonts w:ascii="Arial" w:hAnsi="Arial" w:cs="Arial"/>
        </w:rPr>
        <w:t xml:space="preserve"> The HSHSP</w:t>
      </w:r>
      <w:r w:rsidR="002F7FD7">
        <w:rPr>
          <w:rFonts w:ascii="Arial" w:hAnsi="Arial" w:cs="Arial"/>
        </w:rPr>
        <w:t xml:space="preserve"> IV</w:t>
      </w:r>
      <w:r>
        <w:rPr>
          <w:rFonts w:ascii="Arial" w:hAnsi="Arial" w:cs="Arial"/>
        </w:rPr>
        <w:t xml:space="preserve"> </w:t>
      </w:r>
      <w:r w:rsidRPr="00925A18">
        <w:rPr>
          <w:rFonts w:ascii="Arial" w:hAnsi="Arial" w:cs="Arial"/>
        </w:rPr>
        <w:t xml:space="preserve">focuses on sustaining previous progress and addressing outstanding barriers to </w:t>
      </w:r>
      <w:r w:rsidR="00E03CD5">
        <w:rPr>
          <w:rFonts w:ascii="Arial" w:hAnsi="Arial" w:cs="Arial"/>
        </w:rPr>
        <w:t>F</w:t>
      </w:r>
      <w:r w:rsidRPr="00925A18">
        <w:rPr>
          <w:rFonts w:ascii="Arial" w:hAnsi="Arial" w:cs="Arial"/>
        </w:rPr>
        <w:t>ast-</w:t>
      </w:r>
      <w:r w:rsidR="00E03CD5">
        <w:rPr>
          <w:rFonts w:ascii="Arial" w:hAnsi="Arial" w:cs="Arial"/>
        </w:rPr>
        <w:t>T</w:t>
      </w:r>
      <w:r w:rsidRPr="00925A18">
        <w:rPr>
          <w:rFonts w:ascii="Arial" w:hAnsi="Arial" w:cs="Arial"/>
        </w:rPr>
        <w:t xml:space="preserve">rack 2030 goals, including targeted prevention interventions, increasing ART coverage, and investing in health system strengthening. Specific strategy examples include: </w:t>
      </w:r>
    </w:p>
    <w:p w14:paraId="3956345B" w14:textId="77777777" w:rsidR="00044CD6" w:rsidRDefault="00044CD6" w:rsidP="00044CD6">
      <w:pPr>
        <w:spacing w:after="0" w:line="256" w:lineRule="auto"/>
        <w:rPr>
          <w:rFonts w:ascii="Arial" w:hAnsi="Arial" w:cs="Arial"/>
          <w:i/>
        </w:rPr>
      </w:pPr>
    </w:p>
    <w:tbl>
      <w:tblPr>
        <w:tblW w:w="0" w:type="auto"/>
        <w:tblLook w:val="04A0" w:firstRow="1" w:lastRow="0" w:firstColumn="1" w:lastColumn="0" w:noHBand="0" w:noVBand="1"/>
      </w:tblPr>
      <w:tblGrid>
        <w:gridCol w:w="3116"/>
        <w:gridCol w:w="3117"/>
        <w:gridCol w:w="3117"/>
      </w:tblGrid>
      <w:tr w:rsidR="00044CD6" w14:paraId="5F30AABF" w14:textId="77777777" w:rsidTr="00B4222D">
        <w:tc>
          <w:tcPr>
            <w:tcW w:w="3116" w:type="dxa"/>
          </w:tcPr>
          <w:p w14:paraId="3B234746" w14:textId="77777777" w:rsidR="00044CD6" w:rsidRDefault="00044CD6" w:rsidP="00B4222D">
            <w:pPr>
              <w:spacing w:line="256" w:lineRule="auto"/>
              <w:rPr>
                <w:rFonts w:ascii="Arial" w:hAnsi="Arial" w:cs="Arial"/>
                <w:i/>
              </w:rPr>
            </w:pPr>
            <w:r>
              <w:rPr>
                <w:rFonts w:ascii="Arial" w:hAnsi="Arial" w:cs="Arial"/>
                <w:i/>
              </w:rPr>
              <w:t>Prevention</w:t>
            </w:r>
          </w:p>
        </w:tc>
        <w:tc>
          <w:tcPr>
            <w:tcW w:w="3117" w:type="dxa"/>
          </w:tcPr>
          <w:p w14:paraId="53721575" w14:textId="77777777" w:rsidR="00044CD6" w:rsidRDefault="00044CD6" w:rsidP="00B4222D">
            <w:pPr>
              <w:spacing w:line="256" w:lineRule="auto"/>
              <w:rPr>
                <w:rFonts w:ascii="Arial" w:hAnsi="Arial" w:cs="Arial"/>
                <w:i/>
              </w:rPr>
            </w:pPr>
            <w:r>
              <w:rPr>
                <w:rFonts w:ascii="Arial" w:hAnsi="Arial" w:cs="Arial"/>
                <w:i/>
              </w:rPr>
              <w:t>Treatment</w:t>
            </w:r>
          </w:p>
        </w:tc>
        <w:tc>
          <w:tcPr>
            <w:tcW w:w="3117" w:type="dxa"/>
          </w:tcPr>
          <w:p w14:paraId="5AADF8DA" w14:textId="77777777" w:rsidR="00044CD6" w:rsidRDefault="00044CD6" w:rsidP="00B4222D">
            <w:pPr>
              <w:spacing w:line="256" w:lineRule="auto"/>
              <w:rPr>
                <w:rFonts w:ascii="Arial" w:hAnsi="Arial" w:cs="Arial"/>
                <w:i/>
              </w:rPr>
            </w:pPr>
            <w:r>
              <w:rPr>
                <w:rFonts w:ascii="Arial" w:hAnsi="Arial" w:cs="Arial"/>
                <w:i/>
              </w:rPr>
              <w:t>Health systems strengthening</w:t>
            </w:r>
          </w:p>
        </w:tc>
      </w:tr>
      <w:tr w:rsidR="00044CD6" w14:paraId="510468FF" w14:textId="77777777" w:rsidTr="00B4222D">
        <w:tc>
          <w:tcPr>
            <w:tcW w:w="3116" w:type="dxa"/>
          </w:tcPr>
          <w:p w14:paraId="69133C46" w14:textId="77777777" w:rsidR="00044CD6" w:rsidRPr="00925A18" w:rsidRDefault="00044CD6" w:rsidP="0058354C">
            <w:pPr>
              <w:pStyle w:val="ListParagraph"/>
              <w:numPr>
                <w:ilvl w:val="0"/>
                <w:numId w:val="13"/>
              </w:numPr>
              <w:spacing w:line="256" w:lineRule="auto"/>
              <w:ind w:left="360"/>
              <w:rPr>
                <w:rFonts w:ascii="Arial" w:hAnsi="Arial" w:cs="Arial"/>
              </w:rPr>
            </w:pPr>
            <w:r w:rsidRPr="00925A18">
              <w:rPr>
                <w:rFonts w:ascii="Arial" w:hAnsi="Arial" w:cs="Arial"/>
              </w:rPr>
              <w:t>Integration of HTC and STI screening</w:t>
            </w:r>
          </w:p>
          <w:p w14:paraId="21FC2FEF" w14:textId="77777777" w:rsidR="00044CD6" w:rsidRDefault="00044CD6" w:rsidP="0058354C">
            <w:pPr>
              <w:pStyle w:val="ListParagraph"/>
              <w:numPr>
                <w:ilvl w:val="0"/>
                <w:numId w:val="13"/>
              </w:numPr>
              <w:spacing w:line="256" w:lineRule="auto"/>
              <w:ind w:left="360"/>
              <w:rPr>
                <w:rFonts w:ascii="Arial" w:hAnsi="Arial" w:cs="Arial"/>
              </w:rPr>
            </w:pPr>
            <w:r w:rsidRPr="00925A18">
              <w:rPr>
                <w:rFonts w:ascii="Arial" w:hAnsi="Arial" w:cs="Arial"/>
              </w:rPr>
              <w:t xml:space="preserve">Sustaining gains in condom distribution </w:t>
            </w:r>
          </w:p>
          <w:p w14:paraId="62C7A9E1" w14:textId="77777777" w:rsidR="00044CD6" w:rsidRPr="003A7E77" w:rsidRDefault="00044CD6" w:rsidP="0058354C">
            <w:pPr>
              <w:pStyle w:val="ListParagraph"/>
              <w:numPr>
                <w:ilvl w:val="0"/>
                <w:numId w:val="13"/>
              </w:numPr>
              <w:spacing w:line="256" w:lineRule="auto"/>
              <w:ind w:left="360"/>
              <w:rPr>
                <w:rFonts w:ascii="Arial" w:hAnsi="Arial" w:cs="Arial"/>
              </w:rPr>
            </w:pPr>
            <w:r w:rsidRPr="003A7E77">
              <w:rPr>
                <w:rFonts w:ascii="Arial" w:hAnsi="Arial" w:cs="Arial"/>
              </w:rPr>
              <w:t>Behavior change campaigns aimed at men</w:t>
            </w:r>
          </w:p>
          <w:p w14:paraId="20CD1693" w14:textId="77777777" w:rsidR="00044CD6" w:rsidRDefault="00044CD6" w:rsidP="00B4222D">
            <w:pPr>
              <w:spacing w:line="256" w:lineRule="auto"/>
              <w:rPr>
                <w:rFonts w:ascii="Arial" w:hAnsi="Arial" w:cs="Arial"/>
                <w:i/>
              </w:rPr>
            </w:pPr>
          </w:p>
        </w:tc>
        <w:tc>
          <w:tcPr>
            <w:tcW w:w="3117" w:type="dxa"/>
          </w:tcPr>
          <w:p w14:paraId="76E7C636" w14:textId="77777777" w:rsidR="00044CD6" w:rsidRPr="007067DC" w:rsidRDefault="00044CD6" w:rsidP="0058354C">
            <w:pPr>
              <w:pStyle w:val="ListParagraph"/>
              <w:numPr>
                <w:ilvl w:val="0"/>
                <w:numId w:val="27"/>
              </w:numPr>
              <w:spacing w:line="256" w:lineRule="auto"/>
              <w:rPr>
                <w:rFonts w:ascii="Arial" w:hAnsi="Arial" w:cs="Arial"/>
              </w:rPr>
            </w:pPr>
            <w:r w:rsidRPr="007067DC">
              <w:rPr>
                <w:rFonts w:ascii="Arial" w:hAnsi="Arial" w:cs="Arial"/>
              </w:rPr>
              <w:t>Strengthening linkage to care</w:t>
            </w:r>
          </w:p>
          <w:p w14:paraId="34AC0A64" w14:textId="77777777" w:rsidR="00044CD6" w:rsidRPr="007067DC" w:rsidRDefault="00044CD6" w:rsidP="0058354C">
            <w:pPr>
              <w:pStyle w:val="ListParagraph"/>
              <w:numPr>
                <w:ilvl w:val="0"/>
                <w:numId w:val="27"/>
              </w:numPr>
              <w:spacing w:line="256" w:lineRule="auto"/>
              <w:rPr>
                <w:rFonts w:ascii="Arial" w:hAnsi="Arial" w:cs="Arial"/>
              </w:rPr>
            </w:pPr>
            <w:r w:rsidRPr="007067DC">
              <w:rPr>
                <w:rFonts w:ascii="Arial" w:hAnsi="Arial" w:cs="Arial"/>
              </w:rPr>
              <w:t>Strengthening community-level follow-up and treatment support</w:t>
            </w:r>
          </w:p>
          <w:p w14:paraId="47177312" w14:textId="77777777" w:rsidR="00044CD6" w:rsidRPr="007067DC" w:rsidRDefault="00044CD6" w:rsidP="0058354C">
            <w:pPr>
              <w:pStyle w:val="ListParagraph"/>
              <w:numPr>
                <w:ilvl w:val="0"/>
                <w:numId w:val="27"/>
              </w:numPr>
              <w:spacing w:line="256" w:lineRule="auto"/>
              <w:rPr>
                <w:rFonts w:ascii="Arial" w:hAnsi="Arial" w:cs="Arial"/>
              </w:rPr>
            </w:pPr>
            <w:r w:rsidRPr="007067DC">
              <w:rPr>
                <w:rFonts w:ascii="Arial" w:hAnsi="Arial" w:cs="Arial"/>
              </w:rPr>
              <w:t>Enhancing early initiation to ART and adherence support</w:t>
            </w:r>
          </w:p>
          <w:p w14:paraId="69A66416" w14:textId="77777777" w:rsidR="00044CD6" w:rsidRPr="007067DC" w:rsidRDefault="00044CD6" w:rsidP="0058354C">
            <w:pPr>
              <w:pStyle w:val="ListParagraph"/>
              <w:numPr>
                <w:ilvl w:val="0"/>
                <w:numId w:val="27"/>
              </w:numPr>
              <w:spacing w:line="256" w:lineRule="auto"/>
              <w:rPr>
                <w:rFonts w:ascii="Arial" w:hAnsi="Arial" w:cs="Arial"/>
              </w:rPr>
            </w:pPr>
            <w:r w:rsidRPr="007067DC">
              <w:rPr>
                <w:rFonts w:ascii="Arial" w:hAnsi="Arial" w:cs="Arial"/>
              </w:rPr>
              <w:t>Intensified action for EID</w:t>
            </w:r>
          </w:p>
          <w:p w14:paraId="2F5A8512" w14:textId="77777777" w:rsidR="00044CD6" w:rsidRPr="007067DC" w:rsidRDefault="00044CD6" w:rsidP="0058354C">
            <w:pPr>
              <w:pStyle w:val="ListParagraph"/>
              <w:numPr>
                <w:ilvl w:val="0"/>
                <w:numId w:val="27"/>
              </w:numPr>
              <w:spacing w:line="256" w:lineRule="auto"/>
              <w:rPr>
                <w:rFonts w:ascii="Arial" w:hAnsi="Arial" w:cs="Arial"/>
                <w:i/>
              </w:rPr>
            </w:pPr>
            <w:r w:rsidRPr="007067DC">
              <w:rPr>
                <w:rFonts w:ascii="Arial" w:hAnsi="Arial" w:cs="Arial"/>
              </w:rPr>
              <w:t>Reduced barriers for key populations</w:t>
            </w:r>
          </w:p>
        </w:tc>
        <w:tc>
          <w:tcPr>
            <w:tcW w:w="3117" w:type="dxa"/>
          </w:tcPr>
          <w:p w14:paraId="3EAFDEA7" w14:textId="77777777" w:rsidR="00044CD6" w:rsidRPr="00925A18" w:rsidRDefault="00044CD6" w:rsidP="0058354C">
            <w:pPr>
              <w:pStyle w:val="ListParagraph"/>
              <w:numPr>
                <w:ilvl w:val="0"/>
                <w:numId w:val="16"/>
              </w:numPr>
              <w:spacing w:line="256" w:lineRule="auto"/>
              <w:ind w:left="360" w:hanging="270"/>
              <w:rPr>
                <w:rFonts w:ascii="Arial" w:hAnsi="Arial" w:cs="Arial"/>
              </w:rPr>
            </w:pPr>
            <w:r w:rsidRPr="00925A18">
              <w:rPr>
                <w:rFonts w:ascii="Arial" w:hAnsi="Arial" w:cs="Arial"/>
              </w:rPr>
              <w:t>Address weaknesses in health care delivery systems</w:t>
            </w:r>
          </w:p>
          <w:p w14:paraId="7BFD81B5" w14:textId="77777777" w:rsidR="00044CD6" w:rsidRDefault="00044CD6" w:rsidP="0058354C">
            <w:pPr>
              <w:pStyle w:val="ListParagraph"/>
              <w:numPr>
                <w:ilvl w:val="0"/>
                <w:numId w:val="16"/>
              </w:numPr>
              <w:spacing w:line="256" w:lineRule="auto"/>
              <w:ind w:left="360" w:hanging="270"/>
              <w:rPr>
                <w:rFonts w:ascii="Arial" w:hAnsi="Arial" w:cs="Arial"/>
              </w:rPr>
            </w:pPr>
            <w:r w:rsidRPr="00925A18">
              <w:rPr>
                <w:rFonts w:ascii="Arial" w:hAnsi="Arial" w:cs="Arial"/>
              </w:rPr>
              <w:t>Mobilize resources to support universal access</w:t>
            </w:r>
          </w:p>
          <w:p w14:paraId="4766032D" w14:textId="77777777" w:rsidR="00044CD6" w:rsidRPr="00925A18" w:rsidRDefault="00044CD6" w:rsidP="0058354C">
            <w:pPr>
              <w:pStyle w:val="ListParagraph"/>
              <w:numPr>
                <w:ilvl w:val="0"/>
                <w:numId w:val="16"/>
              </w:numPr>
              <w:spacing w:line="256" w:lineRule="auto"/>
              <w:ind w:left="360" w:hanging="270"/>
              <w:rPr>
                <w:rFonts w:ascii="Arial" w:hAnsi="Arial" w:cs="Arial"/>
              </w:rPr>
            </w:pPr>
            <w:r w:rsidRPr="00925A18">
              <w:rPr>
                <w:rFonts w:ascii="Arial" w:hAnsi="Arial" w:cs="Arial"/>
              </w:rPr>
              <w:t>Provide community-based care and support</w:t>
            </w:r>
          </w:p>
          <w:p w14:paraId="2F94AA18" w14:textId="77777777" w:rsidR="00044CD6" w:rsidRPr="00925A18" w:rsidRDefault="00044CD6" w:rsidP="0058354C">
            <w:pPr>
              <w:pStyle w:val="ListParagraph"/>
              <w:numPr>
                <w:ilvl w:val="0"/>
                <w:numId w:val="16"/>
              </w:numPr>
              <w:spacing w:line="256" w:lineRule="auto"/>
              <w:ind w:left="360" w:hanging="270"/>
              <w:rPr>
                <w:rFonts w:ascii="Arial" w:hAnsi="Arial" w:cs="Arial"/>
              </w:rPr>
            </w:pPr>
            <w:r>
              <w:rPr>
                <w:rFonts w:ascii="Arial" w:hAnsi="Arial" w:cs="Arial"/>
              </w:rPr>
              <w:t>M&amp;E to ensure evidence-informed decision-making</w:t>
            </w:r>
          </w:p>
          <w:p w14:paraId="754E1EE7" w14:textId="77777777" w:rsidR="00044CD6" w:rsidRDefault="00044CD6" w:rsidP="00B4222D">
            <w:pPr>
              <w:spacing w:line="256" w:lineRule="auto"/>
              <w:rPr>
                <w:rFonts w:ascii="Arial" w:hAnsi="Arial" w:cs="Arial"/>
                <w:i/>
              </w:rPr>
            </w:pPr>
          </w:p>
        </w:tc>
      </w:tr>
    </w:tbl>
    <w:p w14:paraId="35995D57" w14:textId="77777777" w:rsidR="00044CD6" w:rsidRPr="008544A5" w:rsidRDefault="00044CD6" w:rsidP="008544A5">
      <w:pPr>
        <w:spacing w:after="0" w:line="256" w:lineRule="auto"/>
        <w:rPr>
          <w:rFonts w:ascii="Arial" w:hAnsi="Arial" w:cs="Arial"/>
        </w:rPr>
      </w:pPr>
    </w:p>
    <w:p w14:paraId="579E9F42" w14:textId="05F72E7E" w:rsidR="00044CD6" w:rsidRDefault="00044CD6" w:rsidP="00044CD6">
      <w:pPr>
        <w:spacing w:after="0" w:line="256" w:lineRule="auto"/>
        <w:rPr>
          <w:rFonts w:ascii="Arial" w:hAnsi="Arial" w:cs="Arial"/>
        </w:rPr>
      </w:pPr>
      <w:r w:rsidRPr="007067DC">
        <w:rPr>
          <w:rFonts w:ascii="Arial" w:hAnsi="Arial" w:cs="Arial"/>
          <w:b/>
        </w:rPr>
        <w:t>National Multisectoral Strategic Framework 2017/18-2022/23.</w:t>
      </w:r>
      <w:r>
        <w:rPr>
          <w:rFonts w:ascii="Arial" w:hAnsi="Arial" w:cs="Arial"/>
        </w:rPr>
        <w:t xml:space="preserve"> </w:t>
      </w:r>
      <w:r w:rsidRPr="00925A18">
        <w:rPr>
          <w:rFonts w:ascii="Arial" w:hAnsi="Arial" w:cs="Arial"/>
        </w:rPr>
        <w:t>The National Multisectoral Strategic Framework 2017</w:t>
      </w:r>
      <w:r>
        <w:rPr>
          <w:rFonts w:ascii="Arial" w:hAnsi="Arial" w:cs="Arial"/>
        </w:rPr>
        <w:t>/18</w:t>
      </w:r>
      <w:r w:rsidRPr="00925A18">
        <w:rPr>
          <w:rFonts w:ascii="Arial" w:hAnsi="Arial" w:cs="Arial"/>
        </w:rPr>
        <w:t>-2022</w:t>
      </w:r>
      <w:r>
        <w:rPr>
          <w:rFonts w:ascii="Arial" w:hAnsi="Arial" w:cs="Arial"/>
        </w:rPr>
        <w:t>/23</w:t>
      </w:r>
      <w:r w:rsidR="008D33E4">
        <w:rPr>
          <w:rFonts w:ascii="Arial" w:hAnsi="Arial" w:cs="Arial"/>
        </w:rPr>
        <w:t xml:space="preserve"> (NMSF IV)</w:t>
      </w:r>
      <w:r w:rsidRPr="00925A18">
        <w:rPr>
          <w:rFonts w:ascii="Arial" w:hAnsi="Arial" w:cs="Arial"/>
        </w:rPr>
        <w:t xml:space="preserve"> adopted the investment case approach as advised by the Investment Case 1.0 and thus aimed to support acceleration of high impact interventions for prevention and reducing deaths, to improve efficiency and effectiveness </w:t>
      </w:r>
      <w:r>
        <w:rPr>
          <w:rFonts w:ascii="Arial" w:hAnsi="Arial" w:cs="Arial"/>
        </w:rPr>
        <w:t>of the national program.</w:t>
      </w:r>
    </w:p>
    <w:p w14:paraId="7B5079D8" w14:textId="77777777" w:rsidR="00044CD6" w:rsidRPr="00925A18" w:rsidRDefault="00044CD6" w:rsidP="00044CD6">
      <w:pPr>
        <w:spacing w:after="0" w:line="256" w:lineRule="auto"/>
        <w:rPr>
          <w:rFonts w:ascii="Arial" w:hAnsi="Arial" w:cs="Arial"/>
        </w:rPr>
      </w:pPr>
    </w:p>
    <w:p w14:paraId="347FAEAF" w14:textId="5C746F47" w:rsidR="00044CD6" w:rsidRDefault="00044CD6" w:rsidP="00505F88">
      <w:pPr>
        <w:spacing w:after="0"/>
        <w:rPr>
          <w:rFonts w:ascii="Arial" w:hAnsi="Arial" w:cs="Arial"/>
        </w:rPr>
      </w:pPr>
      <w:r w:rsidRPr="00925A18">
        <w:rPr>
          <w:rFonts w:ascii="Arial" w:hAnsi="Arial" w:cs="Arial"/>
        </w:rPr>
        <w:lastRenderedPageBreak/>
        <w:t xml:space="preserve">The NMSF IV aims to achieve the following results </w:t>
      </w:r>
      <w:r>
        <w:rPr>
          <w:rFonts w:ascii="Arial" w:hAnsi="Arial" w:cs="Arial"/>
        </w:rPr>
        <w:t>to</w:t>
      </w:r>
      <w:r w:rsidRPr="00925A18">
        <w:rPr>
          <w:rFonts w:ascii="Arial" w:hAnsi="Arial" w:cs="Arial"/>
        </w:rPr>
        <w:t xml:space="preserve"> reach</w:t>
      </w:r>
      <w:r>
        <w:rPr>
          <w:rFonts w:ascii="Arial" w:hAnsi="Arial" w:cs="Arial"/>
        </w:rPr>
        <w:t xml:space="preserve"> </w:t>
      </w:r>
      <w:r w:rsidRPr="00925A18">
        <w:rPr>
          <w:rFonts w:ascii="Arial" w:hAnsi="Arial" w:cs="Arial"/>
        </w:rPr>
        <w:t>Fast Track and 95-95-95 targets</w:t>
      </w:r>
      <w:r w:rsidR="008D33E4">
        <w:rPr>
          <w:rFonts w:ascii="Arial" w:hAnsi="Arial" w:cs="Arial"/>
        </w:rPr>
        <w:t xml:space="preserve">. </w:t>
      </w:r>
      <w:r>
        <w:rPr>
          <w:rFonts w:ascii="Arial" w:hAnsi="Arial" w:cs="Arial"/>
        </w:rPr>
        <w:t>K</w:t>
      </w:r>
      <w:r w:rsidRPr="00E65594">
        <w:rPr>
          <w:rFonts w:ascii="Arial" w:hAnsi="Arial" w:cs="Arial"/>
        </w:rPr>
        <w:t xml:space="preserve">ey strategies for epidemic control in the NMSF are divided into behavioral, biomedical, and structural interventions. </w:t>
      </w:r>
    </w:p>
    <w:p w14:paraId="215D44B2" w14:textId="77777777" w:rsidR="00044CD6" w:rsidRDefault="00044CD6" w:rsidP="00044CD6">
      <w:pPr>
        <w:spacing w:after="0" w:line="240" w:lineRule="auto"/>
        <w:contextualSpacing/>
        <w:rPr>
          <w:rFonts w:ascii="Arial" w:hAnsi="Arial" w:cs="Arial"/>
        </w:rPr>
      </w:pPr>
    </w:p>
    <w:tbl>
      <w:tblPr>
        <w:tblW w:w="9516" w:type="dxa"/>
        <w:tblLook w:val="04A0" w:firstRow="1" w:lastRow="0" w:firstColumn="1" w:lastColumn="0" w:noHBand="0" w:noVBand="1"/>
      </w:tblPr>
      <w:tblGrid>
        <w:gridCol w:w="2605"/>
        <w:gridCol w:w="6911"/>
      </w:tblGrid>
      <w:tr w:rsidR="00044CD6" w14:paraId="16635AF3" w14:textId="77777777" w:rsidTr="00B4222D">
        <w:trPr>
          <w:trHeight w:val="534"/>
        </w:trPr>
        <w:tc>
          <w:tcPr>
            <w:tcW w:w="2605" w:type="dxa"/>
          </w:tcPr>
          <w:p w14:paraId="12212155" w14:textId="77777777" w:rsidR="00044CD6" w:rsidRDefault="00044CD6" w:rsidP="00B4222D">
            <w:pPr>
              <w:spacing w:line="256" w:lineRule="auto"/>
              <w:rPr>
                <w:rFonts w:ascii="Arial" w:hAnsi="Arial" w:cs="Arial"/>
                <w:i/>
              </w:rPr>
            </w:pPr>
            <w:r>
              <w:rPr>
                <w:rFonts w:ascii="Arial" w:hAnsi="Arial" w:cs="Arial"/>
                <w:i/>
              </w:rPr>
              <w:t>Behavioral interventions</w:t>
            </w:r>
          </w:p>
        </w:tc>
        <w:tc>
          <w:tcPr>
            <w:tcW w:w="6911" w:type="dxa"/>
          </w:tcPr>
          <w:p w14:paraId="1C0863FE" w14:textId="77777777" w:rsidR="00044CD6" w:rsidRPr="00925A18" w:rsidRDefault="00044CD6" w:rsidP="0058354C">
            <w:pPr>
              <w:pStyle w:val="ListParagraph"/>
              <w:numPr>
                <w:ilvl w:val="0"/>
                <w:numId w:val="17"/>
              </w:numPr>
              <w:ind w:left="360"/>
              <w:rPr>
                <w:rFonts w:ascii="Arial" w:hAnsi="Arial" w:cs="Arial"/>
              </w:rPr>
            </w:pPr>
            <w:r w:rsidRPr="00925A18">
              <w:rPr>
                <w:rFonts w:ascii="Arial" w:hAnsi="Arial" w:cs="Arial"/>
              </w:rPr>
              <w:t xml:space="preserve">Scaling up programs addressing risk perception and risk reduction </w:t>
            </w:r>
          </w:p>
          <w:p w14:paraId="08F0BDE6" w14:textId="77777777" w:rsidR="00044CD6" w:rsidRPr="00925A18" w:rsidRDefault="00044CD6" w:rsidP="0058354C">
            <w:pPr>
              <w:pStyle w:val="ListParagraph"/>
              <w:numPr>
                <w:ilvl w:val="0"/>
                <w:numId w:val="17"/>
              </w:numPr>
              <w:ind w:left="360"/>
              <w:rPr>
                <w:rFonts w:ascii="Arial" w:hAnsi="Arial" w:cs="Arial"/>
              </w:rPr>
            </w:pPr>
            <w:r w:rsidRPr="00925A18">
              <w:rPr>
                <w:rFonts w:ascii="Arial" w:hAnsi="Arial" w:cs="Arial"/>
              </w:rPr>
              <w:t>Community mobilization campaigns</w:t>
            </w:r>
          </w:p>
          <w:p w14:paraId="16B1E3FE" w14:textId="77777777" w:rsidR="00044CD6" w:rsidRPr="00925A18" w:rsidRDefault="00044CD6" w:rsidP="0058354C">
            <w:pPr>
              <w:pStyle w:val="ListParagraph"/>
              <w:numPr>
                <w:ilvl w:val="0"/>
                <w:numId w:val="17"/>
              </w:numPr>
              <w:ind w:left="360"/>
              <w:rPr>
                <w:rFonts w:ascii="Arial" w:hAnsi="Arial" w:cs="Arial"/>
              </w:rPr>
            </w:pPr>
            <w:r w:rsidRPr="00925A18">
              <w:rPr>
                <w:rFonts w:ascii="Arial" w:hAnsi="Arial" w:cs="Arial"/>
              </w:rPr>
              <w:t>Empowerment workshops</w:t>
            </w:r>
          </w:p>
          <w:p w14:paraId="0B8C09DF" w14:textId="1617CDA5" w:rsidR="00044CD6" w:rsidRPr="00AD74AA" w:rsidRDefault="00044CD6" w:rsidP="0058354C">
            <w:pPr>
              <w:pStyle w:val="ListParagraph"/>
              <w:numPr>
                <w:ilvl w:val="0"/>
                <w:numId w:val="17"/>
              </w:numPr>
              <w:ind w:left="360"/>
              <w:rPr>
                <w:rFonts w:ascii="Arial" w:hAnsi="Arial" w:cs="Arial"/>
              </w:rPr>
            </w:pPr>
            <w:r w:rsidRPr="00925A18">
              <w:rPr>
                <w:rFonts w:ascii="Arial" w:hAnsi="Arial" w:cs="Arial"/>
              </w:rPr>
              <w:t>Increasing empowerment of PLHIV clusters and networks</w:t>
            </w:r>
          </w:p>
        </w:tc>
      </w:tr>
      <w:tr w:rsidR="00044CD6" w14:paraId="5C0AD2AB" w14:textId="77777777" w:rsidTr="00B4222D">
        <w:trPr>
          <w:trHeight w:val="1286"/>
        </w:trPr>
        <w:tc>
          <w:tcPr>
            <w:tcW w:w="2605" w:type="dxa"/>
          </w:tcPr>
          <w:p w14:paraId="7CA4D2D2" w14:textId="77777777" w:rsidR="00044CD6" w:rsidRPr="007067DC" w:rsidRDefault="00044CD6" w:rsidP="00B4222D">
            <w:pPr>
              <w:spacing w:line="256" w:lineRule="auto"/>
              <w:rPr>
                <w:rFonts w:ascii="Arial" w:hAnsi="Arial" w:cs="Arial"/>
              </w:rPr>
            </w:pPr>
            <w:r w:rsidRPr="007067DC">
              <w:rPr>
                <w:rFonts w:ascii="Arial" w:hAnsi="Arial" w:cs="Arial"/>
              </w:rPr>
              <w:t>Biomedical interventions</w:t>
            </w:r>
          </w:p>
          <w:p w14:paraId="5A38CB7B" w14:textId="77777777" w:rsidR="00044CD6" w:rsidRDefault="00044CD6" w:rsidP="00B4222D">
            <w:pPr>
              <w:spacing w:line="256" w:lineRule="auto"/>
              <w:rPr>
                <w:rFonts w:ascii="Arial" w:hAnsi="Arial" w:cs="Arial"/>
                <w:i/>
              </w:rPr>
            </w:pPr>
          </w:p>
        </w:tc>
        <w:tc>
          <w:tcPr>
            <w:tcW w:w="6911" w:type="dxa"/>
          </w:tcPr>
          <w:p w14:paraId="4FE31E00"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Scale-up differentiated HTS models</w:t>
            </w:r>
          </w:p>
          <w:p w14:paraId="5702CA8D"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 xml:space="preserve">Enhance retention </w:t>
            </w:r>
          </w:p>
          <w:p w14:paraId="21217A49"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Mobilize and create demand for VMMC</w:t>
            </w:r>
          </w:p>
          <w:p w14:paraId="1C5D0E0D"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Scale-up condom programs</w:t>
            </w:r>
          </w:p>
          <w:p w14:paraId="38F0BFCC"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Increase integration of HIV services</w:t>
            </w:r>
          </w:p>
          <w:p w14:paraId="06FABBFF" w14:textId="77777777" w:rsidR="00044CD6" w:rsidRPr="007067DC" w:rsidRDefault="00044CD6" w:rsidP="0058354C">
            <w:pPr>
              <w:pStyle w:val="ListParagraph"/>
              <w:numPr>
                <w:ilvl w:val="0"/>
                <w:numId w:val="27"/>
              </w:numPr>
              <w:rPr>
                <w:rFonts w:ascii="Arial" w:hAnsi="Arial" w:cs="Arial"/>
              </w:rPr>
            </w:pPr>
            <w:r w:rsidRPr="00925A18">
              <w:rPr>
                <w:rFonts w:ascii="Arial" w:hAnsi="Arial" w:cs="Arial"/>
              </w:rPr>
              <w:t xml:space="preserve">Scale-up </w:t>
            </w:r>
            <w:r>
              <w:rPr>
                <w:rFonts w:ascii="Arial" w:hAnsi="Arial" w:cs="Arial"/>
              </w:rPr>
              <w:t>PrE</w:t>
            </w:r>
            <w:r w:rsidRPr="00925A18">
              <w:rPr>
                <w:rFonts w:ascii="Arial" w:hAnsi="Arial" w:cs="Arial"/>
              </w:rPr>
              <w:t>P to priority populations</w:t>
            </w:r>
          </w:p>
        </w:tc>
      </w:tr>
      <w:tr w:rsidR="00044CD6" w14:paraId="08623ECC" w14:textId="77777777" w:rsidTr="00B4222D">
        <w:trPr>
          <w:trHeight w:val="1079"/>
        </w:trPr>
        <w:tc>
          <w:tcPr>
            <w:tcW w:w="2605" w:type="dxa"/>
          </w:tcPr>
          <w:p w14:paraId="2640CA55" w14:textId="77777777" w:rsidR="00044CD6" w:rsidRPr="007067DC" w:rsidRDefault="00044CD6" w:rsidP="00B4222D">
            <w:pPr>
              <w:spacing w:line="256" w:lineRule="auto"/>
              <w:rPr>
                <w:rFonts w:ascii="Arial" w:hAnsi="Arial" w:cs="Arial"/>
              </w:rPr>
            </w:pPr>
            <w:r>
              <w:rPr>
                <w:rFonts w:ascii="Arial" w:hAnsi="Arial" w:cs="Arial"/>
              </w:rPr>
              <w:t>Structural interventions</w:t>
            </w:r>
          </w:p>
        </w:tc>
        <w:tc>
          <w:tcPr>
            <w:tcW w:w="6911" w:type="dxa"/>
          </w:tcPr>
          <w:p w14:paraId="1E9EDB0C"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Enhance political will and resources to support stigma reduction</w:t>
            </w:r>
            <w:r w:rsidRPr="00CD3475">
              <w:rPr>
                <w:rFonts w:ascii="Arial" w:hAnsi="Arial" w:cs="Arial"/>
              </w:rPr>
              <w:t xml:space="preserve"> </w:t>
            </w:r>
            <w:r w:rsidRPr="00925A18">
              <w:rPr>
                <w:rFonts w:ascii="Arial" w:hAnsi="Arial" w:cs="Arial"/>
              </w:rPr>
              <w:t>Increase advocacy to address gender inequalities</w:t>
            </w:r>
          </w:p>
          <w:p w14:paraId="4F462FBA" w14:textId="77777777" w:rsidR="00044CD6" w:rsidRPr="00925A18" w:rsidRDefault="00044CD6" w:rsidP="0058354C">
            <w:pPr>
              <w:pStyle w:val="ListParagraph"/>
              <w:numPr>
                <w:ilvl w:val="0"/>
                <w:numId w:val="27"/>
              </w:numPr>
              <w:rPr>
                <w:rFonts w:ascii="Arial" w:hAnsi="Arial" w:cs="Arial"/>
              </w:rPr>
            </w:pPr>
            <w:r w:rsidRPr="00925A18">
              <w:rPr>
                <w:rFonts w:ascii="Arial" w:hAnsi="Arial" w:cs="Arial"/>
              </w:rPr>
              <w:t>Increase capacity for protection and treatment of GBV</w:t>
            </w:r>
          </w:p>
          <w:p w14:paraId="52A1E0A4" w14:textId="2E5EC694" w:rsidR="00044CD6" w:rsidRPr="00925A18" w:rsidRDefault="00A22479" w:rsidP="0058354C">
            <w:pPr>
              <w:pStyle w:val="ListParagraph"/>
              <w:numPr>
                <w:ilvl w:val="0"/>
                <w:numId w:val="27"/>
              </w:numPr>
              <w:rPr>
                <w:rFonts w:ascii="Arial" w:hAnsi="Arial" w:cs="Arial"/>
              </w:rPr>
            </w:pPr>
            <w:r>
              <w:rPr>
                <w:rFonts w:ascii="Arial" w:hAnsi="Arial" w:cs="Arial"/>
              </w:rPr>
              <w:t>A</w:t>
            </w:r>
            <w:r w:rsidR="00044CD6" w:rsidRPr="00925A18">
              <w:rPr>
                <w:rFonts w:ascii="Arial" w:hAnsi="Arial" w:cs="Arial"/>
              </w:rPr>
              <w:t xml:space="preserve">ddress legal and policy barriers </w:t>
            </w:r>
          </w:p>
          <w:p w14:paraId="2733C6E6" w14:textId="77777777" w:rsidR="00044CD6" w:rsidRPr="007067DC" w:rsidRDefault="00044CD6" w:rsidP="0058354C">
            <w:pPr>
              <w:pStyle w:val="ListParagraph"/>
              <w:numPr>
                <w:ilvl w:val="0"/>
                <w:numId w:val="27"/>
              </w:numPr>
              <w:rPr>
                <w:rFonts w:ascii="Arial" w:hAnsi="Arial" w:cs="Arial"/>
              </w:rPr>
            </w:pPr>
            <w:r w:rsidRPr="00925A18">
              <w:rPr>
                <w:rFonts w:ascii="Arial" w:hAnsi="Arial" w:cs="Arial"/>
              </w:rPr>
              <w:t>Strengthen legal and psychosocial support system</w:t>
            </w:r>
            <w:r>
              <w:rPr>
                <w:rFonts w:ascii="Arial" w:hAnsi="Arial" w:cs="Arial"/>
              </w:rPr>
              <w:t>s</w:t>
            </w:r>
          </w:p>
        </w:tc>
      </w:tr>
    </w:tbl>
    <w:p w14:paraId="3C0FD866" w14:textId="77777777" w:rsidR="00044CD6" w:rsidRDefault="00044CD6" w:rsidP="00044CD6">
      <w:pPr>
        <w:spacing w:after="0"/>
        <w:rPr>
          <w:rFonts w:ascii="Arial" w:hAnsi="Arial" w:cs="Arial"/>
        </w:rPr>
      </w:pPr>
    </w:p>
    <w:p w14:paraId="237BDEF4" w14:textId="0212CDFF" w:rsidR="00044CD6" w:rsidRDefault="00044CD6" w:rsidP="00044CD6">
      <w:pPr>
        <w:spacing w:after="0"/>
        <w:rPr>
          <w:rFonts w:ascii="Arial" w:hAnsi="Arial" w:cs="Arial"/>
        </w:rPr>
      </w:pPr>
      <w:r w:rsidRPr="003E62FC">
        <w:rPr>
          <w:rFonts w:ascii="Arial" w:hAnsi="Arial" w:cs="Arial"/>
          <w:b/>
        </w:rPr>
        <w:t>Other documents</w:t>
      </w:r>
      <w:r w:rsidR="00634A90">
        <w:rPr>
          <w:rFonts w:ascii="Arial" w:hAnsi="Arial" w:cs="Arial"/>
        </w:rPr>
        <w:t>.</w:t>
      </w:r>
      <w:r>
        <w:rPr>
          <w:rFonts w:ascii="Arial" w:hAnsi="Arial" w:cs="Arial"/>
        </w:rPr>
        <w:t xml:space="preserve"> Since PEPFAR’s 2019 Country Operational Plan (COP) was not completed by the time of writing the Investment Case 2.0, the analysis relies on the 2018 COP </w:t>
      </w:r>
      <w:r w:rsidR="004F38C6">
        <w:rPr>
          <w:rFonts w:ascii="Arial" w:hAnsi="Arial" w:cs="Arial"/>
        </w:rPr>
        <w:t>and the</w:t>
      </w:r>
      <w:r>
        <w:rPr>
          <w:rFonts w:ascii="Arial" w:hAnsi="Arial" w:cs="Arial"/>
        </w:rPr>
        <w:t xml:space="preserve"> 2019 PEPFAR Planning Letter when relevant. The Global Fund Funding Request for 2017-2020 was also a key input. The Investment Case analysis uses the latest epidemiology data from the Spectrum estimates 2019 and the Population HIV Impact Assessment (PHIA) 2016-2017 results. Key studies from Health Policy Plus were also used as inputs to the analysis, especially around the technical efficiencies.</w:t>
      </w:r>
    </w:p>
    <w:p w14:paraId="76F139B5" w14:textId="77777777" w:rsidR="00A60309" w:rsidRPr="009903F8" w:rsidRDefault="00A60309" w:rsidP="00715760">
      <w:pPr>
        <w:spacing w:after="0"/>
        <w:rPr>
          <w:rFonts w:ascii="Arial" w:hAnsi="Arial" w:cs="Arial"/>
        </w:rPr>
      </w:pPr>
    </w:p>
    <w:p w14:paraId="243C2457" w14:textId="1CED4752" w:rsidR="00AD369E" w:rsidRPr="00C36956" w:rsidRDefault="00AD369E" w:rsidP="00C759BF">
      <w:pPr>
        <w:pStyle w:val="Heading3"/>
        <w:rPr>
          <w:rFonts w:ascii="Arial" w:hAnsi="Arial" w:cs="Arial"/>
          <w:i/>
          <w:color w:val="000000" w:themeColor="text1"/>
        </w:rPr>
      </w:pPr>
      <w:bookmarkStart w:id="30" w:name="_Toc57035131"/>
      <w:r w:rsidRPr="00C36956">
        <w:rPr>
          <w:rFonts w:ascii="Arial" w:hAnsi="Arial" w:cs="Arial"/>
          <w:i/>
          <w:color w:val="000000" w:themeColor="text1"/>
        </w:rPr>
        <w:t xml:space="preserve">Investment </w:t>
      </w:r>
      <w:r w:rsidR="004548B5" w:rsidRPr="00C36956">
        <w:rPr>
          <w:rFonts w:ascii="Arial" w:hAnsi="Arial" w:cs="Arial"/>
          <w:i/>
          <w:color w:val="000000" w:themeColor="text1"/>
        </w:rPr>
        <w:t>C</w:t>
      </w:r>
      <w:r w:rsidRPr="00C36956">
        <w:rPr>
          <w:rFonts w:ascii="Arial" w:hAnsi="Arial" w:cs="Arial"/>
          <w:i/>
          <w:color w:val="000000" w:themeColor="text1"/>
        </w:rPr>
        <w:t>ase</w:t>
      </w:r>
      <w:r w:rsidR="004548B5" w:rsidRPr="00C36956">
        <w:rPr>
          <w:rFonts w:ascii="Arial" w:hAnsi="Arial" w:cs="Arial"/>
          <w:i/>
          <w:color w:val="000000" w:themeColor="text1"/>
        </w:rPr>
        <w:t xml:space="preserve"> 2.0</w:t>
      </w:r>
      <w:r w:rsidRPr="00C36956">
        <w:rPr>
          <w:rFonts w:ascii="Arial" w:hAnsi="Arial" w:cs="Arial"/>
          <w:i/>
          <w:color w:val="000000" w:themeColor="text1"/>
        </w:rPr>
        <w:t xml:space="preserve"> development process</w:t>
      </w:r>
      <w:bookmarkEnd w:id="30"/>
    </w:p>
    <w:p w14:paraId="1C1CA09F" w14:textId="77777777" w:rsidR="00C759BF" w:rsidRPr="00AD369E" w:rsidRDefault="00C759BF" w:rsidP="00C759BF">
      <w:pPr>
        <w:spacing w:after="0"/>
        <w:rPr>
          <w:rFonts w:ascii="Arial" w:hAnsi="Arial" w:cs="Arial"/>
          <w:i/>
          <w:color w:val="4472C4" w:themeColor="accent1"/>
        </w:rPr>
      </w:pPr>
    </w:p>
    <w:p w14:paraId="57D0DF92" w14:textId="75435F2D" w:rsidR="00C919B3" w:rsidRDefault="00CD3475" w:rsidP="00C759BF">
      <w:pPr>
        <w:spacing w:after="0" w:line="254" w:lineRule="auto"/>
        <w:rPr>
          <w:rFonts w:ascii="Arial" w:hAnsi="Arial" w:cs="Arial"/>
        </w:rPr>
      </w:pPr>
      <w:r>
        <w:rPr>
          <w:rFonts w:ascii="Arial" w:hAnsi="Arial" w:cs="Arial"/>
        </w:rPr>
        <w:t>This updated investment case, like the first version, remains a count</w:t>
      </w:r>
      <w:r w:rsidR="004F38C6">
        <w:rPr>
          <w:rFonts w:ascii="Arial" w:hAnsi="Arial" w:cs="Arial"/>
        </w:rPr>
        <w:t>r</w:t>
      </w:r>
      <w:r>
        <w:rPr>
          <w:rFonts w:ascii="Arial" w:hAnsi="Arial" w:cs="Arial"/>
        </w:rPr>
        <w:t xml:space="preserve">y-led process. TACAIDS and NACP chaired the Investment Case 2.0 Steering Committee, formally requesting the undertaking and directing the process. </w:t>
      </w:r>
      <w:r w:rsidR="00C919B3">
        <w:rPr>
          <w:rFonts w:ascii="Arial" w:hAnsi="Arial" w:cs="Arial"/>
        </w:rPr>
        <w:t>The investment case development was divided into 3 phases: 1) The Project Kick-off phase: November 2018, 2) The Modeling phase: December-May 2019, and 3) The Finalization phase: May-July 2019. The goals of each phase are described below</w:t>
      </w:r>
      <w:r w:rsidR="00CE52D0">
        <w:rPr>
          <w:rFonts w:ascii="Arial" w:hAnsi="Arial" w:cs="Arial"/>
        </w:rPr>
        <w:t>.</w:t>
      </w:r>
    </w:p>
    <w:p w14:paraId="22051EC4" w14:textId="397A0258" w:rsidR="00AF7AC6" w:rsidRDefault="00AF7AC6" w:rsidP="00C759BF">
      <w:pPr>
        <w:spacing w:after="0" w:line="254" w:lineRule="auto"/>
        <w:rPr>
          <w:rFonts w:ascii="Arial" w:hAnsi="Arial" w:cs="Arial"/>
        </w:rPr>
      </w:pPr>
    </w:p>
    <w:p w14:paraId="18B8CC34" w14:textId="09D4DEBF" w:rsidR="00AF7AC6" w:rsidRPr="00AF7AC6" w:rsidRDefault="00AF7AC6" w:rsidP="0058354C">
      <w:pPr>
        <w:pStyle w:val="ListParagraph"/>
        <w:numPr>
          <w:ilvl w:val="0"/>
          <w:numId w:val="33"/>
        </w:numPr>
        <w:spacing w:after="0" w:line="254" w:lineRule="auto"/>
        <w:rPr>
          <w:rFonts w:ascii="Arial" w:hAnsi="Arial" w:cs="Arial"/>
        </w:rPr>
      </w:pPr>
      <w:r>
        <w:rPr>
          <w:rFonts w:ascii="Arial" w:hAnsi="Arial" w:cs="Arial"/>
        </w:rPr>
        <w:t>Project Kick-off</w:t>
      </w:r>
    </w:p>
    <w:p w14:paraId="4547714A" w14:textId="77777777" w:rsidR="00AF7AC6" w:rsidRPr="00C919B3" w:rsidRDefault="00AF7AC6" w:rsidP="0058354C">
      <w:pPr>
        <w:pStyle w:val="ListParagraph"/>
        <w:numPr>
          <w:ilvl w:val="0"/>
          <w:numId w:val="40"/>
        </w:numPr>
        <w:spacing w:after="0" w:line="254" w:lineRule="auto"/>
        <w:rPr>
          <w:rFonts w:ascii="Arial" w:hAnsi="Arial" w:cs="Arial"/>
        </w:rPr>
      </w:pPr>
      <w:r w:rsidRPr="00C919B3">
        <w:rPr>
          <w:rFonts w:ascii="Arial" w:hAnsi="Arial" w:cs="Arial"/>
        </w:rPr>
        <w:t>Consult all major stakeholders</w:t>
      </w:r>
    </w:p>
    <w:p w14:paraId="60D208E2" w14:textId="77777777" w:rsidR="00AF7AC6" w:rsidRPr="00C919B3" w:rsidRDefault="00AF7AC6" w:rsidP="0058354C">
      <w:pPr>
        <w:pStyle w:val="ListParagraph"/>
        <w:numPr>
          <w:ilvl w:val="0"/>
          <w:numId w:val="40"/>
        </w:numPr>
        <w:spacing w:after="0" w:line="254" w:lineRule="auto"/>
        <w:rPr>
          <w:rFonts w:ascii="Arial" w:hAnsi="Arial" w:cs="Arial"/>
        </w:rPr>
      </w:pPr>
      <w:r w:rsidRPr="00C919B3">
        <w:rPr>
          <w:rFonts w:ascii="Arial" w:hAnsi="Arial" w:cs="Arial"/>
        </w:rPr>
        <w:t>Determine best arrangements for country sponsorship and technical input into the IC 2.0</w:t>
      </w:r>
    </w:p>
    <w:p w14:paraId="74ABC09B" w14:textId="77777777" w:rsidR="00AF7AC6" w:rsidRPr="00C919B3" w:rsidRDefault="00AF7AC6" w:rsidP="0058354C">
      <w:pPr>
        <w:pStyle w:val="ListParagraph"/>
        <w:numPr>
          <w:ilvl w:val="0"/>
          <w:numId w:val="40"/>
        </w:numPr>
        <w:spacing w:after="0" w:line="254" w:lineRule="auto"/>
        <w:rPr>
          <w:rFonts w:ascii="Arial" w:hAnsi="Arial" w:cs="Arial"/>
        </w:rPr>
      </w:pPr>
      <w:r w:rsidRPr="00C919B3">
        <w:rPr>
          <w:rFonts w:ascii="Arial" w:hAnsi="Arial" w:cs="Arial"/>
        </w:rPr>
        <w:t>Ascertain which key questions IC 2.0 should aim to answer</w:t>
      </w:r>
    </w:p>
    <w:p w14:paraId="7C08F9D5" w14:textId="77777777" w:rsidR="00AF7AC6" w:rsidRPr="00C919B3" w:rsidRDefault="00AF7AC6" w:rsidP="0058354C">
      <w:pPr>
        <w:pStyle w:val="ListParagraph"/>
        <w:numPr>
          <w:ilvl w:val="0"/>
          <w:numId w:val="40"/>
        </w:numPr>
        <w:spacing w:after="0" w:line="254" w:lineRule="auto"/>
        <w:rPr>
          <w:rFonts w:ascii="Arial" w:hAnsi="Arial" w:cs="Arial"/>
        </w:rPr>
      </w:pPr>
      <w:r w:rsidRPr="00C919B3">
        <w:rPr>
          <w:rFonts w:ascii="Arial" w:hAnsi="Arial" w:cs="Arial"/>
        </w:rPr>
        <w:t xml:space="preserve">Probe and test with stakeholders early scenarios </w:t>
      </w:r>
    </w:p>
    <w:p w14:paraId="74E510F9" w14:textId="437DF735" w:rsidR="00C919B3" w:rsidRDefault="00AF7AC6" w:rsidP="0058354C">
      <w:pPr>
        <w:pStyle w:val="ListParagraph"/>
        <w:numPr>
          <w:ilvl w:val="0"/>
          <w:numId w:val="40"/>
        </w:numPr>
        <w:spacing w:after="0" w:line="254" w:lineRule="auto"/>
        <w:rPr>
          <w:rFonts w:ascii="Arial" w:hAnsi="Arial" w:cs="Arial"/>
        </w:rPr>
      </w:pPr>
      <w:r w:rsidRPr="00AF7AC6">
        <w:rPr>
          <w:rFonts w:ascii="Arial" w:hAnsi="Arial" w:cs="Arial"/>
        </w:rPr>
        <w:t>Collect information and data on recent policy and program changes in the national HIV response, epidemiological</w:t>
      </w:r>
      <w:r w:rsidR="00DF764D">
        <w:rPr>
          <w:rFonts w:ascii="Arial" w:hAnsi="Arial" w:cs="Arial"/>
        </w:rPr>
        <w:t xml:space="preserve">, </w:t>
      </w:r>
      <w:r w:rsidRPr="00AF7AC6">
        <w:rPr>
          <w:rFonts w:ascii="Arial" w:hAnsi="Arial" w:cs="Arial"/>
        </w:rPr>
        <w:t>and financial parameters</w:t>
      </w:r>
    </w:p>
    <w:p w14:paraId="52817BFA" w14:textId="77777777" w:rsidR="00DF764D" w:rsidRDefault="00DF764D" w:rsidP="00DF764D">
      <w:pPr>
        <w:pStyle w:val="ListParagraph"/>
        <w:spacing w:after="0" w:line="254" w:lineRule="auto"/>
        <w:rPr>
          <w:rFonts w:ascii="Arial" w:hAnsi="Arial" w:cs="Arial"/>
        </w:rPr>
      </w:pPr>
    </w:p>
    <w:p w14:paraId="00EB5B65" w14:textId="54E1A42E" w:rsidR="00AF7AC6" w:rsidRPr="00505F88" w:rsidRDefault="00AF7AC6" w:rsidP="0058354C">
      <w:pPr>
        <w:pStyle w:val="ListParagraph"/>
        <w:numPr>
          <w:ilvl w:val="0"/>
          <w:numId w:val="33"/>
        </w:numPr>
        <w:spacing w:after="0" w:line="254" w:lineRule="auto"/>
        <w:rPr>
          <w:rFonts w:ascii="Arial" w:hAnsi="Arial" w:cs="Arial"/>
        </w:rPr>
      </w:pPr>
      <w:r>
        <w:rPr>
          <w:rFonts w:ascii="Arial" w:hAnsi="Arial" w:cs="Arial"/>
        </w:rPr>
        <w:t>Modeling</w:t>
      </w:r>
    </w:p>
    <w:p w14:paraId="021B2FF8" w14:textId="77777777" w:rsidR="00AF7AC6" w:rsidRPr="00C919B3" w:rsidRDefault="00AF7AC6" w:rsidP="0058354C">
      <w:pPr>
        <w:numPr>
          <w:ilvl w:val="0"/>
          <w:numId w:val="34"/>
        </w:numPr>
        <w:spacing w:after="0" w:line="254" w:lineRule="auto"/>
        <w:rPr>
          <w:rFonts w:ascii="Arial" w:hAnsi="Arial" w:cs="Arial"/>
        </w:rPr>
      </w:pPr>
      <w:r w:rsidRPr="00C919B3">
        <w:rPr>
          <w:rFonts w:ascii="Arial" w:hAnsi="Arial" w:cs="Arial"/>
        </w:rPr>
        <w:t>Design scenarios, including technical efficiency assumptions</w:t>
      </w:r>
    </w:p>
    <w:p w14:paraId="680BE03C" w14:textId="77777777" w:rsidR="00AF7AC6" w:rsidRPr="00C919B3" w:rsidRDefault="00AF7AC6" w:rsidP="0058354C">
      <w:pPr>
        <w:numPr>
          <w:ilvl w:val="0"/>
          <w:numId w:val="34"/>
        </w:numPr>
        <w:spacing w:after="0" w:line="254" w:lineRule="auto"/>
        <w:rPr>
          <w:rFonts w:ascii="Arial" w:hAnsi="Arial" w:cs="Arial"/>
        </w:rPr>
      </w:pPr>
      <w:r w:rsidRPr="00C919B3">
        <w:rPr>
          <w:rFonts w:ascii="Arial" w:hAnsi="Arial" w:cs="Arial"/>
        </w:rPr>
        <w:t>Conduct scenario workshop with stakeholders</w:t>
      </w:r>
    </w:p>
    <w:p w14:paraId="2AA63EE8" w14:textId="0C0C981E" w:rsidR="00AF7AC6" w:rsidRDefault="00AF7AC6" w:rsidP="0058354C">
      <w:pPr>
        <w:numPr>
          <w:ilvl w:val="0"/>
          <w:numId w:val="34"/>
        </w:numPr>
        <w:spacing w:after="0" w:line="254" w:lineRule="auto"/>
        <w:rPr>
          <w:rFonts w:ascii="Arial" w:hAnsi="Arial" w:cs="Arial"/>
        </w:rPr>
      </w:pPr>
      <w:r w:rsidRPr="00C919B3">
        <w:rPr>
          <w:rFonts w:ascii="Arial" w:hAnsi="Arial" w:cs="Arial"/>
        </w:rPr>
        <w:t>Iterate scenarios</w:t>
      </w:r>
    </w:p>
    <w:p w14:paraId="5A347995" w14:textId="027EA6AD" w:rsidR="00A22479" w:rsidRPr="00A22479" w:rsidRDefault="00A22479" w:rsidP="00A22479">
      <w:pPr>
        <w:numPr>
          <w:ilvl w:val="0"/>
          <w:numId w:val="34"/>
        </w:numPr>
        <w:spacing w:after="0" w:line="254" w:lineRule="auto"/>
        <w:rPr>
          <w:rFonts w:ascii="Arial" w:hAnsi="Arial" w:cs="Arial"/>
        </w:rPr>
      </w:pPr>
      <w:r w:rsidRPr="00C919B3">
        <w:rPr>
          <w:rFonts w:ascii="Arial" w:hAnsi="Arial" w:cs="Arial"/>
        </w:rPr>
        <w:t>Calibrate Goals cost projections with T</w:t>
      </w:r>
      <w:r>
        <w:rPr>
          <w:rFonts w:ascii="Arial" w:hAnsi="Arial" w:cs="Arial"/>
        </w:rPr>
        <w:t>anzania’s</w:t>
      </w:r>
      <w:r w:rsidRPr="00C919B3">
        <w:rPr>
          <w:rFonts w:ascii="Arial" w:hAnsi="Arial" w:cs="Arial"/>
        </w:rPr>
        <w:t xml:space="preserve"> cost data</w:t>
      </w:r>
    </w:p>
    <w:p w14:paraId="46C82458" w14:textId="77777777" w:rsidR="00AF7AC6" w:rsidRPr="00C919B3" w:rsidRDefault="00AF7AC6" w:rsidP="0058354C">
      <w:pPr>
        <w:numPr>
          <w:ilvl w:val="0"/>
          <w:numId w:val="34"/>
        </w:numPr>
        <w:spacing w:after="0" w:line="254" w:lineRule="auto"/>
        <w:rPr>
          <w:rFonts w:ascii="Arial" w:hAnsi="Arial" w:cs="Arial"/>
        </w:rPr>
      </w:pPr>
      <w:r w:rsidRPr="00C919B3">
        <w:rPr>
          <w:rFonts w:ascii="Arial" w:hAnsi="Arial" w:cs="Arial"/>
        </w:rPr>
        <w:t>Use Goals model to estimate disease impact and costs of scenarios</w:t>
      </w:r>
    </w:p>
    <w:p w14:paraId="049809E4" w14:textId="0C014EB3" w:rsidR="00AF7AC6" w:rsidRDefault="00AF7AC6" w:rsidP="0058354C">
      <w:pPr>
        <w:numPr>
          <w:ilvl w:val="0"/>
          <w:numId w:val="34"/>
        </w:numPr>
        <w:spacing w:after="0" w:line="254" w:lineRule="auto"/>
        <w:rPr>
          <w:rFonts w:ascii="Arial" w:hAnsi="Arial" w:cs="Arial"/>
        </w:rPr>
      </w:pPr>
      <w:r w:rsidRPr="00C919B3">
        <w:rPr>
          <w:rFonts w:ascii="Arial" w:hAnsi="Arial" w:cs="Arial"/>
        </w:rPr>
        <w:lastRenderedPageBreak/>
        <w:t>Analyze financing implications of scenario</w:t>
      </w:r>
      <w:r w:rsidR="00DF764D">
        <w:rPr>
          <w:rFonts w:ascii="Arial" w:hAnsi="Arial" w:cs="Arial"/>
        </w:rPr>
        <w:t>s</w:t>
      </w:r>
    </w:p>
    <w:p w14:paraId="2934DD7B" w14:textId="77777777" w:rsidR="00DF764D" w:rsidRDefault="00DF764D" w:rsidP="00DF764D">
      <w:pPr>
        <w:spacing w:after="0" w:line="254" w:lineRule="auto"/>
        <w:ind w:left="720"/>
        <w:rPr>
          <w:rFonts w:ascii="Arial" w:hAnsi="Arial" w:cs="Arial"/>
        </w:rPr>
      </w:pPr>
    </w:p>
    <w:p w14:paraId="7F6F31E2" w14:textId="6F646E59" w:rsidR="00C655FB" w:rsidRPr="00505F88" w:rsidRDefault="00AF7AC6" w:rsidP="0058354C">
      <w:pPr>
        <w:pStyle w:val="ListParagraph"/>
        <w:numPr>
          <w:ilvl w:val="0"/>
          <w:numId w:val="33"/>
        </w:numPr>
        <w:spacing w:after="0" w:line="254" w:lineRule="auto"/>
        <w:rPr>
          <w:rFonts w:ascii="Arial" w:hAnsi="Arial" w:cs="Arial"/>
        </w:rPr>
      </w:pPr>
      <w:r>
        <w:rPr>
          <w:rFonts w:ascii="Arial" w:hAnsi="Arial" w:cs="Arial"/>
        </w:rPr>
        <w:t>Finalization</w:t>
      </w:r>
    </w:p>
    <w:p w14:paraId="7A0309BB" w14:textId="77777777" w:rsidR="00AF7AC6" w:rsidRPr="00C919B3" w:rsidRDefault="00AF7AC6" w:rsidP="0058354C">
      <w:pPr>
        <w:numPr>
          <w:ilvl w:val="0"/>
          <w:numId w:val="41"/>
        </w:numPr>
        <w:spacing w:after="0" w:line="254" w:lineRule="auto"/>
        <w:rPr>
          <w:rFonts w:ascii="Arial" w:hAnsi="Arial" w:cs="Arial"/>
        </w:rPr>
      </w:pPr>
      <w:r w:rsidRPr="00C919B3">
        <w:rPr>
          <w:rFonts w:ascii="Arial" w:hAnsi="Arial" w:cs="Arial"/>
        </w:rPr>
        <w:t>Draft final products, including written brief and presentation</w:t>
      </w:r>
    </w:p>
    <w:p w14:paraId="4689E113" w14:textId="2AEE6FCB" w:rsidR="00C919B3" w:rsidRPr="00AF7AC6" w:rsidRDefault="00AF7AC6" w:rsidP="0058354C">
      <w:pPr>
        <w:pStyle w:val="ListParagraph"/>
        <w:numPr>
          <w:ilvl w:val="0"/>
          <w:numId w:val="41"/>
        </w:numPr>
        <w:spacing w:after="0" w:line="254" w:lineRule="auto"/>
        <w:rPr>
          <w:rFonts w:ascii="Arial" w:hAnsi="Arial" w:cs="Arial"/>
        </w:rPr>
      </w:pPr>
      <w:r w:rsidRPr="00C919B3">
        <w:rPr>
          <w:rFonts w:ascii="Arial" w:hAnsi="Arial" w:cs="Arial"/>
        </w:rPr>
        <w:t>Present final IC to stakeholders</w:t>
      </w:r>
    </w:p>
    <w:p w14:paraId="0B3C6BD4" w14:textId="77777777" w:rsidR="00C919B3" w:rsidRDefault="00C919B3" w:rsidP="00C759BF">
      <w:pPr>
        <w:spacing w:after="0" w:line="254" w:lineRule="auto"/>
        <w:rPr>
          <w:rFonts w:ascii="Arial" w:hAnsi="Arial" w:cs="Arial"/>
        </w:rPr>
      </w:pPr>
    </w:p>
    <w:p w14:paraId="227D444D" w14:textId="7F992A84" w:rsidR="00CD3475" w:rsidRDefault="00CD3475" w:rsidP="00C759BF">
      <w:pPr>
        <w:spacing w:after="0" w:line="254" w:lineRule="auto"/>
        <w:rPr>
          <w:rFonts w:ascii="Arial" w:hAnsi="Arial" w:cs="Arial"/>
        </w:rPr>
      </w:pPr>
      <w:r>
        <w:rPr>
          <w:rFonts w:ascii="Arial" w:hAnsi="Arial" w:cs="Arial"/>
        </w:rPr>
        <w:t xml:space="preserve">In the first phase of the Investment Case 2.0, 20 stakeholders were consulted to inform the guiding questions for the investment case to address and frame the most relevant policy issues at hand. </w:t>
      </w:r>
      <w:r w:rsidR="00861A47">
        <w:rPr>
          <w:rFonts w:ascii="Arial" w:hAnsi="Arial" w:cs="Arial"/>
        </w:rPr>
        <w:t xml:space="preserve">The full list of stakeholders is in Annex </w:t>
      </w:r>
      <w:r w:rsidR="00D8180A">
        <w:rPr>
          <w:rFonts w:ascii="Arial" w:hAnsi="Arial" w:cs="Arial"/>
        </w:rPr>
        <w:t>1</w:t>
      </w:r>
      <w:r w:rsidR="00861A47">
        <w:rPr>
          <w:rFonts w:ascii="Arial" w:hAnsi="Arial" w:cs="Arial"/>
        </w:rPr>
        <w:t xml:space="preserve">. </w:t>
      </w:r>
      <w:r>
        <w:rPr>
          <w:rFonts w:ascii="Arial" w:hAnsi="Arial" w:cs="Arial"/>
        </w:rPr>
        <w:t xml:space="preserve">Preliminary scenarios and analyses were presented by the technical team to the Steering Committee and Technical Working Group in February 2019. </w:t>
      </w:r>
      <w:r w:rsidR="00153AFB">
        <w:rPr>
          <w:rFonts w:ascii="Arial" w:hAnsi="Arial" w:cs="Arial"/>
        </w:rPr>
        <w:t xml:space="preserve">The agenda of the Technical Working Group Meeting is in Annex </w:t>
      </w:r>
      <w:r w:rsidR="00D8180A">
        <w:rPr>
          <w:rFonts w:ascii="Arial" w:hAnsi="Arial" w:cs="Arial"/>
        </w:rPr>
        <w:t>2</w:t>
      </w:r>
      <w:r w:rsidR="00153AFB">
        <w:rPr>
          <w:rFonts w:ascii="Arial" w:hAnsi="Arial" w:cs="Arial"/>
        </w:rPr>
        <w:t xml:space="preserve">. </w:t>
      </w:r>
    </w:p>
    <w:p w14:paraId="6C896764" w14:textId="6E504CA1" w:rsidR="00A60309" w:rsidRDefault="00A60309" w:rsidP="00C759BF">
      <w:pPr>
        <w:spacing w:after="0" w:line="254" w:lineRule="auto"/>
        <w:rPr>
          <w:rFonts w:ascii="Arial" w:hAnsi="Arial" w:cs="Arial"/>
        </w:rPr>
      </w:pPr>
    </w:p>
    <w:p w14:paraId="1998AC82" w14:textId="14FD1A5E" w:rsidR="00A60309" w:rsidRPr="00C36956" w:rsidRDefault="00C655FB" w:rsidP="00A60309">
      <w:pPr>
        <w:pStyle w:val="Heading3"/>
        <w:rPr>
          <w:rFonts w:ascii="Arial" w:hAnsi="Arial" w:cs="Arial"/>
          <w:i/>
        </w:rPr>
      </w:pPr>
      <w:bookmarkStart w:id="31" w:name="_Toc57035132"/>
      <w:r w:rsidRPr="00C36956">
        <w:rPr>
          <w:rFonts w:ascii="Arial" w:hAnsi="Arial" w:cs="Arial"/>
          <w:i/>
          <w:color w:val="000000" w:themeColor="text1"/>
        </w:rPr>
        <w:t>Designed u</w:t>
      </w:r>
      <w:r w:rsidR="00A60309" w:rsidRPr="00C36956">
        <w:rPr>
          <w:rFonts w:ascii="Arial" w:hAnsi="Arial" w:cs="Arial"/>
          <w:i/>
          <w:color w:val="000000" w:themeColor="text1"/>
        </w:rPr>
        <w:t>ses of Investment Case 2.0</w:t>
      </w:r>
      <w:bookmarkEnd w:id="31"/>
    </w:p>
    <w:p w14:paraId="21B7BA04" w14:textId="01041A4B" w:rsidR="00C759BF" w:rsidRDefault="00C759BF" w:rsidP="00C759BF">
      <w:pPr>
        <w:spacing w:after="0" w:line="254" w:lineRule="auto"/>
        <w:rPr>
          <w:rFonts w:ascii="Arial" w:hAnsi="Arial" w:cs="Arial"/>
        </w:rPr>
      </w:pPr>
    </w:p>
    <w:p w14:paraId="2A3B9670" w14:textId="1A129809" w:rsidR="00F85FA0" w:rsidRDefault="00A60309" w:rsidP="008544A5">
      <w:pPr>
        <w:spacing w:after="0" w:line="254" w:lineRule="auto"/>
        <w:rPr>
          <w:rFonts w:ascii="Arial" w:hAnsi="Arial" w:cs="Arial"/>
        </w:rPr>
      </w:pPr>
      <w:r>
        <w:rPr>
          <w:rFonts w:ascii="Arial" w:hAnsi="Arial" w:cs="Arial"/>
        </w:rPr>
        <w:t xml:space="preserve">The Investment Case 2.0’s main goal is to set a common vision to align stakeholders on the national HIV program’s priorities and greatest risks. The Investment Case 2.0 will inform future iterations of the national </w:t>
      </w:r>
      <w:r w:rsidR="00992E00">
        <w:rPr>
          <w:rFonts w:ascii="Arial" w:hAnsi="Arial" w:cs="Arial"/>
        </w:rPr>
        <w:t xml:space="preserve">and thematic HIV </w:t>
      </w:r>
      <w:r>
        <w:rPr>
          <w:rFonts w:ascii="Arial" w:hAnsi="Arial" w:cs="Arial"/>
        </w:rPr>
        <w:t xml:space="preserve">strategies. </w:t>
      </w:r>
      <w:r w:rsidR="00A43462">
        <w:rPr>
          <w:rFonts w:ascii="Arial" w:hAnsi="Arial" w:cs="Arial"/>
        </w:rPr>
        <w:t>It is meant to help shape and reinforce Tanzania government policies on a range of HIV matters including coverage targets, allocation of resources, adoption of optimal approaches to key interventions such as ART, testing, key population preventing, and A</w:t>
      </w:r>
      <w:r w:rsidR="004F38C6">
        <w:rPr>
          <w:rFonts w:ascii="Arial" w:hAnsi="Arial" w:cs="Arial"/>
        </w:rPr>
        <w:t>GYW</w:t>
      </w:r>
      <w:r w:rsidR="00A43462">
        <w:rPr>
          <w:rFonts w:ascii="Arial" w:hAnsi="Arial" w:cs="Arial"/>
        </w:rPr>
        <w:t xml:space="preserve">, and mobilization of domestic budgets and other funding. </w:t>
      </w:r>
      <w:r>
        <w:rPr>
          <w:rFonts w:ascii="Arial" w:hAnsi="Arial" w:cs="Arial"/>
        </w:rPr>
        <w:t xml:space="preserve">It will also be used to inform the </w:t>
      </w:r>
      <w:r w:rsidR="00A43462">
        <w:rPr>
          <w:rFonts w:ascii="Arial" w:hAnsi="Arial" w:cs="Arial"/>
        </w:rPr>
        <w:t xml:space="preserve">next </w:t>
      </w:r>
      <w:r>
        <w:rPr>
          <w:rFonts w:ascii="Arial" w:hAnsi="Arial" w:cs="Arial"/>
        </w:rPr>
        <w:t>Global Fund Funding Request</w:t>
      </w:r>
      <w:r w:rsidR="00A43462">
        <w:rPr>
          <w:rFonts w:ascii="Arial" w:hAnsi="Arial" w:cs="Arial"/>
        </w:rPr>
        <w:t xml:space="preserve"> and could be a useful input to the upcoming PEPFAR SID exercise and analysis of ways to sustain program areas backed by PEPFAR such as human resources.</w:t>
      </w:r>
    </w:p>
    <w:p w14:paraId="72865045" w14:textId="77777777" w:rsidR="00501EA7" w:rsidRDefault="00501EA7" w:rsidP="00501EA7">
      <w:pPr>
        <w:spacing w:after="0" w:line="254" w:lineRule="auto"/>
        <w:rPr>
          <w:rFonts w:ascii="Arial" w:hAnsi="Arial" w:cs="Arial"/>
          <w:i/>
          <w:sz w:val="18"/>
        </w:rPr>
      </w:pPr>
    </w:p>
    <w:p w14:paraId="25C25118" w14:textId="080AAC03" w:rsidR="00501EA7" w:rsidRDefault="00501EA7" w:rsidP="00501EA7">
      <w:pPr>
        <w:spacing w:after="0" w:line="254" w:lineRule="auto"/>
        <w:rPr>
          <w:rFonts w:ascii="Arial" w:hAnsi="Arial" w:cs="Arial"/>
        </w:rPr>
      </w:pPr>
      <w:r>
        <w:rPr>
          <w:rFonts w:ascii="Arial" w:hAnsi="Arial" w:cs="Arial"/>
        </w:rPr>
        <w:t>The analyses and conclusions are not meant to be prescriptive.  Since the Investment Case 2.0 is a collaborative exercise with major national ownership, the IC results will be used as part of a policy dialogue during the second half of 2019 involving the government, civil society, and the key international partners, leading to decisions on HIV program scope and financing for the next 3-5 years.</w:t>
      </w:r>
    </w:p>
    <w:p w14:paraId="550366E0" w14:textId="15E969F1" w:rsidR="00D8180A" w:rsidRDefault="00D8180A" w:rsidP="008544A5">
      <w:pPr>
        <w:spacing w:after="0" w:line="254" w:lineRule="auto"/>
        <w:rPr>
          <w:rFonts w:ascii="Arial" w:hAnsi="Arial" w:cs="Arial"/>
        </w:rPr>
      </w:pPr>
    </w:p>
    <w:p w14:paraId="6E44E4C4" w14:textId="77777777" w:rsidR="003E1382" w:rsidRDefault="003E1382">
      <w:pPr>
        <w:rPr>
          <w:rFonts w:ascii="Arial" w:eastAsiaTheme="majorEastAsia" w:hAnsi="Arial" w:cs="Arial"/>
          <w:b/>
          <w:color w:val="C00000"/>
          <w:sz w:val="32"/>
          <w:szCs w:val="32"/>
        </w:rPr>
      </w:pPr>
      <w:r>
        <w:rPr>
          <w:rFonts w:ascii="Arial" w:hAnsi="Arial" w:cs="Arial"/>
          <w:b/>
          <w:color w:val="C00000"/>
        </w:rPr>
        <w:br w:type="page"/>
      </w:r>
    </w:p>
    <w:p w14:paraId="1B83FBDA" w14:textId="785BA138" w:rsidR="00C759BF" w:rsidRPr="00B55A50" w:rsidRDefault="00280F5F" w:rsidP="00650F2B">
      <w:pPr>
        <w:pStyle w:val="Heading1"/>
        <w:rPr>
          <w:rFonts w:ascii="Arial" w:hAnsi="Arial" w:cs="Arial"/>
          <w:b/>
          <w:color w:val="C00000"/>
        </w:rPr>
      </w:pPr>
      <w:bookmarkStart w:id="32" w:name="_Toc57035133"/>
      <w:r w:rsidRPr="009F4EEC">
        <w:rPr>
          <w:rFonts w:ascii="Arial" w:hAnsi="Arial" w:cs="Arial"/>
          <w:b/>
          <w:color w:val="C00000"/>
        </w:rPr>
        <w:lastRenderedPageBreak/>
        <w:t>C</w:t>
      </w:r>
      <w:r>
        <w:rPr>
          <w:rFonts w:ascii="Arial" w:hAnsi="Arial" w:cs="Arial"/>
          <w:b/>
          <w:color w:val="C00000"/>
        </w:rPr>
        <w:t>HAPT</w:t>
      </w:r>
      <w:r w:rsidR="00F07840">
        <w:rPr>
          <w:rFonts w:ascii="Arial" w:hAnsi="Arial" w:cs="Arial"/>
          <w:b/>
          <w:color w:val="C00000"/>
        </w:rPr>
        <w:t>E</w:t>
      </w:r>
      <w:r>
        <w:rPr>
          <w:rFonts w:ascii="Arial" w:hAnsi="Arial" w:cs="Arial"/>
          <w:b/>
          <w:color w:val="C00000"/>
        </w:rPr>
        <w:t>R</w:t>
      </w:r>
      <w:r w:rsidRPr="009F4EEC">
        <w:rPr>
          <w:rFonts w:ascii="Arial" w:hAnsi="Arial" w:cs="Arial"/>
          <w:b/>
          <w:color w:val="C00000"/>
        </w:rPr>
        <w:t xml:space="preserve"> </w:t>
      </w:r>
      <w:r>
        <w:rPr>
          <w:rFonts w:ascii="Arial" w:hAnsi="Arial" w:cs="Arial"/>
          <w:b/>
          <w:color w:val="C00000"/>
        </w:rPr>
        <w:t xml:space="preserve">2: </w:t>
      </w:r>
      <w:r w:rsidR="008A6991">
        <w:rPr>
          <w:rFonts w:ascii="Arial" w:hAnsi="Arial" w:cs="Arial"/>
          <w:b/>
          <w:color w:val="C00000"/>
        </w:rPr>
        <w:t>STATE OF THE HIV EPIDEMIC AND NATIONAL RESPONSE</w:t>
      </w:r>
      <w:bookmarkEnd w:id="32"/>
      <w:r w:rsidR="008A6991">
        <w:rPr>
          <w:rFonts w:ascii="Arial" w:hAnsi="Arial" w:cs="Arial"/>
          <w:b/>
          <w:color w:val="C00000"/>
        </w:rPr>
        <w:t xml:space="preserve"> </w:t>
      </w:r>
    </w:p>
    <w:p w14:paraId="3FFC76BA" w14:textId="77777777" w:rsidR="00D869BE" w:rsidRPr="00650F2B" w:rsidRDefault="00D869BE" w:rsidP="00260C9C">
      <w:pPr>
        <w:spacing w:after="0"/>
        <w:rPr>
          <w:sz w:val="28"/>
          <w:szCs w:val="28"/>
        </w:rPr>
      </w:pPr>
    </w:p>
    <w:p w14:paraId="09BB7770" w14:textId="0FF3C8BA" w:rsidR="00CD3475" w:rsidRDefault="0029655E" w:rsidP="00C759BF">
      <w:pPr>
        <w:pStyle w:val="Heading2"/>
        <w:rPr>
          <w:rFonts w:ascii="Arial" w:hAnsi="Arial" w:cs="Arial"/>
          <w:b/>
          <w:color w:val="000000" w:themeColor="text1"/>
        </w:rPr>
      </w:pPr>
      <w:bookmarkStart w:id="33" w:name="_Toc57035134"/>
      <w:r>
        <w:rPr>
          <w:rFonts w:ascii="Arial" w:hAnsi="Arial" w:cs="Arial"/>
          <w:b/>
          <w:color w:val="000000" w:themeColor="text1"/>
        </w:rPr>
        <w:t>State of the HIV epidemic</w:t>
      </w:r>
      <w:bookmarkEnd w:id="33"/>
    </w:p>
    <w:p w14:paraId="1713D006" w14:textId="77777777" w:rsidR="009F4EEC" w:rsidRPr="009F4EEC" w:rsidRDefault="009F4EEC" w:rsidP="009F4EEC"/>
    <w:p w14:paraId="77E1AC98" w14:textId="57CFE29D" w:rsidR="00CD3475" w:rsidRDefault="00CD3475" w:rsidP="00C759BF">
      <w:pPr>
        <w:spacing w:after="0"/>
        <w:rPr>
          <w:rFonts w:ascii="Arial" w:hAnsi="Arial" w:cs="Arial"/>
        </w:rPr>
      </w:pPr>
      <w:r>
        <w:rPr>
          <w:rFonts w:ascii="Arial" w:hAnsi="Arial" w:cs="Arial"/>
        </w:rPr>
        <w:t xml:space="preserve">The investment case is only useful if it is rooted in the local epidemiological context and focuses on maximizing impact for the most affected populations. The following section gives an overview of the current epidemiological trends and highlights where intervention efforts should be focused. </w:t>
      </w:r>
    </w:p>
    <w:p w14:paraId="59467BEE" w14:textId="77777777" w:rsidR="009F4EEC" w:rsidRPr="009A44A6" w:rsidRDefault="009F4EEC" w:rsidP="008544A5">
      <w:pPr>
        <w:spacing w:after="0"/>
        <w:rPr>
          <w:rFonts w:ascii="Arial" w:hAnsi="Arial" w:cs="Arial"/>
        </w:rPr>
      </w:pPr>
    </w:p>
    <w:p w14:paraId="27A74A2B" w14:textId="066D061E" w:rsidR="00CD3475" w:rsidRDefault="00CD3475" w:rsidP="008544A5">
      <w:pPr>
        <w:pStyle w:val="Heading3"/>
        <w:rPr>
          <w:rFonts w:ascii="Arial" w:hAnsi="Arial" w:cs="Arial"/>
          <w:i/>
          <w:color w:val="000000" w:themeColor="text1"/>
        </w:rPr>
      </w:pPr>
      <w:bookmarkStart w:id="34" w:name="_Toc57035135"/>
      <w:r w:rsidRPr="009F4EEC">
        <w:rPr>
          <w:rFonts w:ascii="Arial" w:hAnsi="Arial" w:cs="Arial"/>
          <w:i/>
          <w:color w:val="000000" w:themeColor="text1"/>
        </w:rPr>
        <w:t>Overview of epidemiological profile</w:t>
      </w:r>
      <w:bookmarkEnd w:id="34"/>
    </w:p>
    <w:p w14:paraId="1F905BE1" w14:textId="77777777" w:rsidR="009F4EEC" w:rsidRPr="009F4EEC" w:rsidRDefault="009F4EEC" w:rsidP="008544A5">
      <w:pPr>
        <w:spacing w:after="0"/>
      </w:pPr>
    </w:p>
    <w:p w14:paraId="57D50C57" w14:textId="5618C940" w:rsidR="00CD3475" w:rsidRDefault="00CD3475" w:rsidP="00C759BF">
      <w:pPr>
        <w:spacing w:after="0"/>
        <w:rPr>
          <w:rFonts w:ascii="Arial" w:hAnsi="Arial" w:cs="Arial"/>
        </w:rPr>
      </w:pPr>
      <w:r>
        <w:rPr>
          <w:rFonts w:ascii="Arial" w:hAnsi="Arial" w:cs="Arial"/>
          <w:noProof/>
        </w:rPr>
        <mc:AlternateContent>
          <mc:Choice Requires="wps">
            <w:drawing>
              <wp:anchor distT="0" distB="0" distL="114300" distR="114300" simplePos="0" relativeHeight="251657216" behindDoc="1" locked="0" layoutInCell="1" allowOverlap="1" wp14:anchorId="466A405A" wp14:editId="1F2790AB">
                <wp:simplePos x="0" y="0"/>
                <wp:positionH relativeFrom="column">
                  <wp:posOffset>2602230</wp:posOffset>
                </wp:positionH>
                <wp:positionV relativeFrom="paragraph">
                  <wp:posOffset>100965</wp:posOffset>
                </wp:positionV>
                <wp:extent cx="3341370" cy="1535430"/>
                <wp:effectExtent l="19050" t="19050" r="11430" b="26670"/>
                <wp:wrapTight wrapText="bothSides">
                  <wp:wrapPolygon edited="0">
                    <wp:start x="-123" y="-268"/>
                    <wp:lineTo x="-123" y="21707"/>
                    <wp:lineTo x="21551" y="21707"/>
                    <wp:lineTo x="21551" y="-268"/>
                    <wp:lineTo x="-123" y="-268"/>
                  </wp:wrapPolygon>
                </wp:wrapTight>
                <wp:docPr id="8" name="Rectangle 8"/>
                <wp:cNvGraphicFramePr/>
                <a:graphic xmlns:a="http://schemas.openxmlformats.org/drawingml/2006/main">
                  <a:graphicData uri="http://schemas.microsoft.com/office/word/2010/wordprocessingShape">
                    <wps:wsp>
                      <wps:cNvSpPr/>
                      <wps:spPr>
                        <a:xfrm>
                          <a:off x="0" y="0"/>
                          <a:ext cx="3341370" cy="1535430"/>
                        </a:xfrm>
                        <a:prstGeom prst="rect">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DE549" w14:textId="77777777" w:rsidR="00426F25" w:rsidRPr="009F4EEC" w:rsidRDefault="00426F25" w:rsidP="00CD3475">
                            <w:pPr>
                              <w:rPr>
                                <w:rFonts w:ascii="Arial" w:hAnsi="Arial" w:cs="Arial"/>
                                <w:b/>
                                <w:color w:val="000000" w:themeColor="text1"/>
                              </w:rPr>
                            </w:pPr>
                            <w:r w:rsidRPr="009F4EEC">
                              <w:rPr>
                                <w:rFonts w:ascii="Arial" w:hAnsi="Arial" w:cs="Arial"/>
                                <w:b/>
                                <w:color w:val="000000" w:themeColor="text1"/>
                              </w:rPr>
                              <w:t>Key HIV facts in Tanzania:</w:t>
                            </w:r>
                          </w:p>
                          <w:p w14:paraId="30E227F1" w14:textId="36177490" w:rsidR="00426F25" w:rsidRDefault="00426F25" w:rsidP="0058354C">
                            <w:pPr>
                              <w:pStyle w:val="ListParagraph"/>
                              <w:numPr>
                                <w:ilvl w:val="0"/>
                                <w:numId w:val="21"/>
                              </w:numPr>
                              <w:rPr>
                                <w:rFonts w:ascii="Arial" w:hAnsi="Arial" w:cs="Arial"/>
                                <w:color w:val="000000" w:themeColor="text1"/>
                              </w:rPr>
                            </w:pPr>
                            <w:r w:rsidRPr="009F4EEC">
                              <w:rPr>
                                <w:rFonts w:ascii="Arial" w:hAnsi="Arial" w:cs="Arial"/>
                                <w:color w:val="000000" w:themeColor="text1"/>
                              </w:rPr>
                              <w:t xml:space="preserve">National prevalence is </w:t>
                            </w:r>
                            <w:r w:rsidRPr="009F4EEC">
                              <w:rPr>
                                <w:rFonts w:ascii="Arial" w:hAnsi="Arial" w:cs="Arial"/>
                                <w:b/>
                                <w:color w:val="000000" w:themeColor="text1"/>
                                <w:u w:val="single"/>
                              </w:rPr>
                              <w:t>5.0%</w:t>
                            </w:r>
                            <w:r w:rsidRPr="009F4EEC">
                              <w:rPr>
                                <w:rFonts w:ascii="Arial" w:hAnsi="Arial" w:cs="Arial"/>
                                <w:color w:val="000000" w:themeColor="text1"/>
                              </w:rPr>
                              <w:t xml:space="preserve"> with </w:t>
                            </w:r>
                            <w:r w:rsidRPr="009F4EEC">
                              <w:rPr>
                                <w:rFonts w:ascii="Arial" w:hAnsi="Arial" w:cs="Arial"/>
                                <w:b/>
                                <w:color w:val="000000" w:themeColor="text1"/>
                                <w:u w:val="single"/>
                              </w:rPr>
                              <w:t>1.4 million</w:t>
                            </w:r>
                            <w:r w:rsidRPr="009F4EEC">
                              <w:rPr>
                                <w:rFonts w:ascii="Arial" w:hAnsi="Arial" w:cs="Arial"/>
                                <w:color w:val="000000" w:themeColor="text1"/>
                              </w:rPr>
                              <w:t xml:space="preserve"> people living with HIV ages 15-64</w:t>
                            </w:r>
                          </w:p>
                          <w:p w14:paraId="3CDF8890" w14:textId="046A8C12" w:rsidR="00426F25" w:rsidRPr="009F4EEC" w:rsidRDefault="00426F25" w:rsidP="0058354C">
                            <w:pPr>
                              <w:pStyle w:val="ListParagraph"/>
                              <w:numPr>
                                <w:ilvl w:val="0"/>
                                <w:numId w:val="21"/>
                              </w:numPr>
                              <w:rPr>
                                <w:rFonts w:ascii="Arial" w:hAnsi="Arial" w:cs="Arial"/>
                                <w:color w:val="000000" w:themeColor="text1"/>
                              </w:rPr>
                            </w:pPr>
                            <w:r>
                              <w:rPr>
                                <w:rFonts w:ascii="Arial" w:hAnsi="Arial" w:cs="Arial"/>
                                <w:color w:val="000000" w:themeColor="text1"/>
                              </w:rPr>
                              <w:t xml:space="preserve">In 2016, there were </w:t>
                            </w:r>
                            <w:r w:rsidRPr="00444084">
                              <w:rPr>
                                <w:rFonts w:ascii="Arial" w:hAnsi="Arial" w:cs="Arial"/>
                                <w:b/>
                                <w:color w:val="000000" w:themeColor="text1"/>
                                <w:u w:val="single"/>
                              </w:rPr>
                              <w:t>65,000 new infections</w:t>
                            </w:r>
                            <w:r>
                              <w:rPr>
                                <w:rFonts w:ascii="Arial" w:hAnsi="Arial" w:cs="Arial"/>
                                <w:color w:val="000000" w:themeColor="text1"/>
                              </w:rPr>
                              <w:t xml:space="preserve"> annually and </w:t>
                            </w:r>
                            <w:r w:rsidRPr="00444084">
                              <w:rPr>
                                <w:rFonts w:ascii="Arial" w:hAnsi="Arial" w:cs="Arial"/>
                                <w:b/>
                                <w:color w:val="000000" w:themeColor="text1"/>
                                <w:u w:val="single"/>
                              </w:rPr>
                              <w:t>33,800 AIDS deaths</w:t>
                            </w:r>
                          </w:p>
                          <w:p w14:paraId="6F231D4B" w14:textId="77777777" w:rsidR="00426F25" w:rsidRPr="009F4EEC" w:rsidRDefault="00426F25" w:rsidP="0058354C">
                            <w:pPr>
                              <w:pStyle w:val="ListParagraph"/>
                              <w:numPr>
                                <w:ilvl w:val="0"/>
                                <w:numId w:val="21"/>
                              </w:numPr>
                              <w:rPr>
                                <w:rFonts w:ascii="Arial" w:hAnsi="Arial" w:cs="Arial"/>
                                <w:color w:val="000000" w:themeColor="text1"/>
                              </w:rPr>
                            </w:pPr>
                            <w:r w:rsidRPr="009F4EEC">
                              <w:rPr>
                                <w:rFonts w:ascii="Arial" w:hAnsi="Arial" w:cs="Arial"/>
                                <w:color w:val="000000" w:themeColor="text1"/>
                              </w:rPr>
                              <w:t xml:space="preserve">Annual deaths have decreased by over </w:t>
                            </w:r>
                            <w:r w:rsidRPr="009F4EEC">
                              <w:rPr>
                                <w:rFonts w:ascii="Arial" w:hAnsi="Arial" w:cs="Arial"/>
                                <w:b/>
                                <w:color w:val="000000" w:themeColor="text1"/>
                                <w:u w:val="single"/>
                              </w:rPr>
                              <w:t>50%</w:t>
                            </w:r>
                            <w:r w:rsidRPr="009F4EEC">
                              <w:rPr>
                                <w:rFonts w:ascii="Arial" w:hAnsi="Arial" w:cs="Arial"/>
                                <w:color w:val="000000" w:themeColor="text1"/>
                              </w:rPr>
                              <w:t xml:space="preserve"> since 2010 as ART has expanded</w:t>
                            </w:r>
                          </w:p>
                          <w:p w14:paraId="5AB640F9" w14:textId="6947C248" w:rsidR="00426F25" w:rsidRPr="009F4EEC" w:rsidRDefault="00426F25" w:rsidP="0058354C">
                            <w:pPr>
                              <w:pStyle w:val="ListParagraph"/>
                              <w:numPr>
                                <w:ilvl w:val="0"/>
                                <w:numId w:val="21"/>
                              </w:numPr>
                              <w:rPr>
                                <w:rFonts w:ascii="Arial" w:hAnsi="Arial" w:cs="Arial"/>
                                <w:color w:val="000000" w:themeColor="text1"/>
                              </w:rPr>
                            </w:pPr>
                            <w:r>
                              <w:rPr>
                                <w:rFonts w:ascii="Arial" w:hAnsi="Arial" w:cs="Arial"/>
                                <w:color w:val="000000" w:themeColor="text1"/>
                              </w:rPr>
                              <w:t>The rate of new infections is decreasing steadily, but more slowly than the death rate</w:t>
                            </w:r>
                          </w:p>
                          <w:p w14:paraId="1CE77982" w14:textId="77777777" w:rsidR="00426F25" w:rsidRPr="009F4EEC" w:rsidRDefault="00426F25" w:rsidP="00CD3475">
                            <w:pPr>
                              <w:pStyle w:val="ListParagraph"/>
                              <w:ind w:left="360"/>
                              <w:rPr>
                                <w:rFonts w:ascii="Arial" w:hAnsi="Arial" w:cs="Arial"/>
                                <w:color w:val="000000" w:themeColor="text1"/>
                              </w:rPr>
                            </w:pPr>
                          </w:p>
                          <w:p w14:paraId="772D3D06" w14:textId="77777777" w:rsidR="00426F25" w:rsidRPr="009F4EEC" w:rsidRDefault="00426F25" w:rsidP="00CD3475">
                            <w:pPr>
                              <w:pStyle w:val="ListParagraph"/>
                              <w:ind w:left="36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6A405A" id="Rectangle 8" o:spid="_x0000_s1027" style="position:absolute;margin-left:204.9pt;margin-top:7.95pt;width:263.1pt;height:1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" fillcolor="white [3212]" strokecolor="#c00000" strokeweight="3pt">
                <v:textbox>
                  <w:txbxContent>
                    <w:p w14:paraId="77CDE549" w14:textId="77777777" w:rsidR="00426F25" w:rsidRPr="009F4EEC" w:rsidRDefault="00426F25" w:rsidP="00CD3475">
                      <w:pPr>
                        <w:rPr>
                          <w:rFonts w:ascii="Arial" w:hAnsi="Arial" w:cs="Arial"/>
                          <w:b/>
                          <w:color w:val="000000" w:themeColor="text1"/>
                        </w:rPr>
                      </w:pPr>
                      <w:r w:rsidRPr="009F4EEC">
                        <w:rPr>
                          <w:rFonts w:ascii="Arial" w:hAnsi="Arial" w:cs="Arial"/>
                          <w:b/>
                          <w:color w:val="000000" w:themeColor="text1"/>
                        </w:rPr>
                        <w:t>Key HIV facts in Tanzania:</w:t>
                      </w:r>
                    </w:p>
                    <w:p w14:paraId="30E227F1" w14:textId="36177490" w:rsidR="00426F25" w:rsidRDefault="00426F25" w:rsidP="0058354C">
                      <w:pPr>
                        <w:pStyle w:val="ListParagraph"/>
                        <w:numPr>
                          <w:ilvl w:val="0"/>
                          <w:numId w:val="21"/>
                        </w:numPr>
                        <w:rPr>
                          <w:rFonts w:ascii="Arial" w:hAnsi="Arial" w:cs="Arial"/>
                          <w:color w:val="000000" w:themeColor="text1"/>
                        </w:rPr>
                      </w:pPr>
                      <w:r w:rsidRPr="009F4EEC">
                        <w:rPr>
                          <w:rFonts w:ascii="Arial" w:hAnsi="Arial" w:cs="Arial"/>
                          <w:color w:val="000000" w:themeColor="text1"/>
                        </w:rPr>
                        <w:t xml:space="preserve">National prevalence is </w:t>
                      </w:r>
                      <w:r w:rsidRPr="009F4EEC">
                        <w:rPr>
                          <w:rFonts w:ascii="Arial" w:hAnsi="Arial" w:cs="Arial"/>
                          <w:b/>
                          <w:color w:val="000000" w:themeColor="text1"/>
                          <w:u w:val="single"/>
                        </w:rPr>
                        <w:t>5.0%</w:t>
                      </w:r>
                      <w:r w:rsidRPr="009F4EEC">
                        <w:rPr>
                          <w:rFonts w:ascii="Arial" w:hAnsi="Arial" w:cs="Arial"/>
                          <w:color w:val="000000" w:themeColor="text1"/>
                        </w:rPr>
                        <w:t xml:space="preserve"> with </w:t>
                      </w:r>
                      <w:r w:rsidRPr="009F4EEC">
                        <w:rPr>
                          <w:rFonts w:ascii="Arial" w:hAnsi="Arial" w:cs="Arial"/>
                          <w:b/>
                          <w:color w:val="000000" w:themeColor="text1"/>
                          <w:u w:val="single"/>
                        </w:rPr>
                        <w:t>1.4 million</w:t>
                      </w:r>
                      <w:r w:rsidRPr="009F4EEC">
                        <w:rPr>
                          <w:rFonts w:ascii="Arial" w:hAnsi="Arial" w:cs="Arial"/>
                          <w:color w:val="000000" w:themeColor="text1"/>
                        </w:rPr>
                        <w:t xml:space="preserve"> people living with HIV ages 15-64</w:t>
                      </w:r>
                    </w:p>
                    <w:p w14:paraId="3CDF8890" w14:textId="046A8C12" w:rsidR="00426F25" w:rsidRPr="009F4EEC" w:rsidRDefault="00426F25" w:rsidP="0058354C">
                      <w:pPr>
                        <w:pStyle w:val="ListParagraph"/>
                        <w:numPr>
                          <w:ilvl w:val="0"/>
                          <w:numId w:val="21"/>
                        </w:numPr>
                        <w:rPr>
                          <w:rFonts w:ascii="Arial" w:hAnsi="Arial" w:cs="Arial"/>
                          <w:color w:val="000000" w:themeColor="text1"/>
                        </w:rPr>
                      </w:pPr>
                      <w:r>
                        <w:rPr>
                          <w:rFonts w:ascii="Arial" w:hAnsi="Arial" w:cs="Arial"/>
                          <w:color w:val="000000" w:themeColor="text1"/>
                        </w:rPr>
                        <w:t xml:space="preserve">In 2016, there were </w:t>
                      </w:r>
                      <w:r w:rsidRPr="00444084">
                        <w:rPr>
                          <w:rFonts w:ascii="Arial" w:hAnsi="Arial" w:cs="Arial"/>
                          <w:b/>
                          <w:color w:val="000000" w:themeColor="text1"/>
                          <w:u w:val="single"/>
                        </w:rPr>
                        <w:t>65,000 new infections</w:t>
                      </w:r>
                      <w:r>
                        <w:rPr>
                          <w:rFonts w:ascii="Arial" w:hAnsi="Arial" w:cs="Arial"/>
                          <w:color w:val="000000" w:themeColor="text1"/>
                        </w:rPr>
                        <w:t xml:space="preserve"> annually and </w:t>
                      </w:r>
                      <w:r w:rsidRPr="00444084">
                        <w:rPr>
                          <w:rFonts w:ascii="Arial" w:hAnsi="Arial" w:cs="Arial"/>
                          <w:b/>
                          <w:color w:val="000000" w:themeColor="text1"/>
                          <w:u w:val="single"/>
                        </w:rPr>
                        <w:t>33,800 AIDS deaths</w:t>
                      </w:r>
                    </w:p>
                    <w:p w14:paraId="6F231D4B" w14:textId="77777777" w:rsidR="00426F25" w:rsidRPr="009F4EEC" w:rsidRDefault="00426F25" w:rsidP="0058354C">
                      <w:pPr>
                        <w:pStyle w:val="ListParagraph"/>
                        <w:numPr>
                          <w:ilvl w:val="0"/>
                          <w:numId w:val="21"/>
                        </w:numPr>
                        <w:rPr>
                          <w:rFonts w:ascii="Arial" w:hAnsi="Arial" w:cs="Arial"/>
                          <w:color w:val="000000" w:themeColor="text1"/>
                        </w:rPr>
                      </w:pPr>
                      <w:r w:rsidRPr="009F4EEC">
                        <w:rPr>
                          <w:rFonts w:ascii="Arial" w:hAnsi="Arial" w:cs="Arial"/>
                          <w:color w:val="000000" w:themeColor="text1"/>
                        </w:rPr>
                        <w:t xml:space="preserve">Annual deaths have decreased by over </w:t>
                      </w:r>
                      <w:r w:rsidRPr="009F4EEC">
                        <w:rPr>
                          <w:rFonts w:ascii="Arial" w:hAnsi="Arial" w:cs="Arial"/>
                          <w:b/>
                          <w:color w:val="000000" w:themeColor="text1"/>
                          <w:u w:val="single"/>
                        </w:rPr>
                        <w:t>50%</w:t>
                      </w:r>
                      <w:r w:rsidRPr="009F4EEC">
                        <w:rPr>
                          <w:rFonts w:ascii="Arial" w:hAnsi="Arial" w:cs="Arial"/>
                          <w:color w:val="000000" w:themeColor="text1"/>
                        </w:rPr>
                        <w:t xml:space="preserve"> since 2010 as ART has expanded</w:t>
                      </w:r>
                    </w:p>
                    <w:p w14:paraId="5AB640F9" w14:textId="6947C248" w:rsidR="00426F25" w:rsidRPr="009F4EEC" w:rsidRDefault="00426F25" w:rsidP="0058354C">
                      <w:pPr>
                        <w:pStyle w:val="ListParagraph"/>
                        <w:numPr>
                          <w:ilvl w:val="0"/>
                          <w:numId w:val="21"/>
                        </w:numPr>
                        <w:rPr>
                          <w:rFonts w:ascii="Arial" w:hAnsi="Arial" w:cs="Arial"/>
                          <w:color w:val="000000" w:themeColor="text1"/>
                        </w:rPr>
                      </w:pPr>
                      <w:r>
                        <w:rPr>
                          <w:rFonts w:ascii="Arial" w:hAnsi="Arial" w:cs="Arial"/>
                          <w:color w:val="000000" w:themeColor="text1"/>
                        </w:rPr>
                        <w:t>The rate of new infections is decreasing steadily, but more slowly than the death rate</w:t>
                      </w:r>
                    </w:p>
                    <w:p w14:paraId="1CE77982" w14:textId="77777777" w:rsidR="00426F25" w:rsidRPr="009F4EEC" w:rsidRDefault="00426F25" w:rsidP="00CD3475">
                      <w:pPr>
                        <w:pStyle w:val="ListParagraph"/>
                        <w:ind w:left="360"/>
                        <w:rPr>
                          <w:rFonts w:ascii="Arial" w:hAnsi="Arial" w:cs="Arial"/>
                          <w:color w:val="000000" w:themeColor="text1"/>
                        </w:rPr>
                      </w:pPr>
                    </w:p>
                    <w:p w14:paraId="772D3D06" w14:textId="77777777" w:rsidR="00426F25" w:rsidRPr="009F4EEC" w:rsidRDefault="00426F25" w:rsidP="00CD3475">
                      <w:pPr>
                        <w:pStyle w:val="ListParagraph"/>
                        <w:ind w:left="360"/>
                        <w:rPr>
                          <w:rFonts w:ascii="Arial" w:hAnsi="Arial" w:cs="Arial"/>
                          <w:color w:val="000000" w:themeColor="text1"/>
                        </w:rPr>
                      </w:pPr>
                    </w:p>
                  </w:txbxContent>
                </v:textbox>
                <w10:wrap type="tight"/>
              </v:rect>
            </w:pict>
          </mc:Fallback>
        </mc:AlternateContent>
      </w:r>
      <w:r w:rsidRPr="00925A18">
        <w:rPr>
          <w:rFonts w:ascii="Arial" w:hAnsi="Arial" w:cs="Arial"/>
        </w:rPr>
        <w:t xml:space="preserve">As a result of expanding treatment coverage and </w:t>
      </w:r>
      <w:r w:rsidR="00BB44D6">
        <w:rPr>
          <w:rFonts w:ascii="Arial" w:hAnsi="Arial" w:cs="Arial"/>
        </w:rPr>
        <w:t xml:space="preserve">concerted </w:t>
      </w:r>
      <w:r>
        <w:rPr>
          <w:rFonts w:ascii="Arial" w:hAnsi="Arial" w:cs="Arial"/>
        </w:rPr>
        <w:t>prevention efforts</w:t>
      </w:r>
      <w:r w:rsidRPr="00925A18">
        <w:rPr>
          <w:rFonts w:ascii="Arial" w:hAnsi="Arial" w:cs="Arial"/>
        </w:rPr>
        <w:t>, HIV prevalence in Tanzania is stabilizing and new infections and deaths continue to decline. In 2012, the national prevalence of HIV was 5.4% (</w:t>
      </w:r>
      <w:r w:rsidR="006415B8">
        <w:rPr>
          <w:rFonts w:ascii="Arial" w:hAnsi="Arial" w:cs="Arial"/>
        </w:rPr>
        <w:t>TACAIDS 2013</w:t>
      </w:r>
      <w:r w:rsidRPr="00925A18">
        <w:rPr>
          <w:rFonts w:ascii="Arial" w:hAnsi="Arial" w:cs="Arial"/>
        </w:rPr>
        <w:t xml:space="preserve">), but by 2016 the national prevalence </w:t>
      </w:r>
      <w:r>
        <w:rPr>
          <w:rFonts w:ascii="Arial" w:hAnsi="Arial" w:cs="Arial"/>
        </w:rPr>
        <w:t xml:space="preserve">had </w:t>
      </w:r>
      <w:r w:rsidRPr="00925A18">
        <w:rPr>
          <w:rFonts w:ascii="Arial" w:hAnsi="Arial" w:cs="Arial"/>
        </w:rPr>
        <w:t>dropped to 5.0%</w:t>
      </w:r>
      <w:r>
        <w:rPr>
          <w:rFonts w:ascii="Arial" w:hAnsi="Arial" w:cs="Arial"/>
        </w:rPr>
        <w:t xml:space="preserve"> for adults 15-64 years</w:t>
      </w:r>
      <w:r w:rsidRPr="00925A18">
        <w:rPr>
          <w:rFonts w:ascii="Arial" w:hAnsi="Arial" w:cs="Arial"/>
        </w:rPr>
        <w:t xml:space="preserve"> (</w:t>
      </w:r>
      <w:r w:rsidR="006415B8">
        <w:rPr>
          <w:rFonts w:ascii="Arial" w:hAnsi="Arial" w:cs="Arial"/>
        </w:rPr>
        <w:t>TACAIDS and ZAC 2018</w:t>
      </w:r>
      <w:r w:rsidRPr="00925A18">
        <w:rPr>
          <w:rFonts w:ascii="Arial" w:hAnsi="Arial" w:cs="Arial"/>
        </w:rPr>
        <w:t>). This corresponds to 1.</w:t>
      </w:r>
      <w:r w:rsidR="000604B8">
        <w:rPr>
          <w:rFonts w:ascii="Arial" w:hAnsi="Arial" w:cs="Arial"/>
        </w:rPr>
        <w:t>5</w:t>
      </w:r>
      <w:r w:rsidR="000604B8" w:rsidRPr="00925A18">
        <w:rPr>
          <w:rFonts w:ascii="Arial" w:hAnsi="Arial" w:cs="Arial"/>
        </w:rPr>
        <w:t xml:space="preserve"> </w:t>
      </w:r>
      <w:r w:rsidRPr="00925A18">
        <w:rPr>
          <w:rFonts w:ascii="Arial" w:hAnsi="Arial" w:cs="Arial"/>
        </w:rPr>
        <w:t>million people</w:t>
      </w:r>
      <w:r>
        <w:rPr>
          <w:rFonts w:ascii="Arial" w:hAnsi="Arial" w:cs="Arial"/>
        </w:rPr>
        <w:t xml:space="preserve"> </w:t>
      </w:r>
      <w:r w:rsidRPr="00925A18">
        <w:rPr>
          <w:rFonts w:ascii="Arial" w:hAnsi="Arial" w:cs="Arial"/>
        </w:rPr>
        <w:t>living with HIV (PLHIV) (</w:t>
      </w:r>
      <w:r w:rsidR="000604B8">
        <w:rPr>
          <w:rFonts w:ascii="Arial" w:hAnsi="Arial" w:cs="Arial"/>
        </w:rPr>
        <w:t>UNAIDS 2018</w:t>
      </w:r>
      <w:r w:rsidRPr="00925A18">
        <w:rPr>
          <w:rFonts w:ascii="Arial" w:hAnsi="Arial" w:cs="Arial"/>
        </w:rPr>
        <w:t xml:space="preserve">). Deaths have decreased by </w:t>
      </w:r>
      <w:r w:rsidR="000312E5">
        <w:rPr>
          <w:rFonts w:ascii="Arial" w:hAnsi="Arial" w:cs="Arial"/>
        </w:rPr>
        <w:t>33</w:t>
      </w:r>
      <w:r w:rsidRPr="00925A18">
        <w:rPr>
          <w:rFonts w:ascii="Arial" w:hAnsi="Arial" w:cs="Arial"/>
        </w:rPr>
        <w:t>% from 2010 to 2016, from 50,700 per year to 33,800 (</w:t>
      </w:r>
      <w:r w:rsidR="006415B8">
        <w:rPr>
          <w:rFonts w:ascii="Arial" w:hAnsi="Arial" w:cs="Arial"/>
        </w:rPr>
        <w:t>TACAIDS 2018</w:t>
      </w:r>
      <w:r w:rsidRPr="00925A18">
        <w:rPr>
          <w:rFonts w:ascii="Arial" w:hAnsi="Arial" w:cs="Arial"/>
        </w:rPr>
        <w:t xml:space="preserve">). Incidence has also declined from 7.7 per 1,000 adults in 1993 to </w:t>
      </w:r>
      <w:r w:rsidR="000604B8">
        <w:rPr>
          <w:rFonts w:ascii="Arial" w:hAnsi="Arial" w:cs="Arial"/>
        </w:rPr>
        <w:t>2.7 per 1,000 adults</w:t>
      </w:r>
      <w:r w:rsidRPr="00925A18">
        <w:rPr>
          <w:rFonts w:ascii="Arial" w:hAnsi="Arial" w:cs="Arial"/>
        </w:rPr>
        <w:t xml:space="preserve"> in 2017 (</w:t>
      </w:r>
      <w:r w:rsidR="000604B8">
        <w:rPr>
          <w:rFonts w:ascii="Arial" w:hAnsi="Arial" w:cs="Arial"/>
        </w:rPr>
        <w:t>TACAIDS and ZAC 2018</w:t>
      </w:r>
      <w:r w:rsidRPr="00925A18">
        <w:rPr>
          <w:rFonts w:ascii="Arial" w:hAnsi="Arial" w:cs="Arial"/>
        </w:rPr>
        <w:t xml:space="preserve">). </w:t>
      </w:r>
    </w:p>
    <w:p w14:paraId="66504EDC" w14:textId="017311A2" w:rsidR="00D869BE" w:rsidRPr="00925A18" w:rsidRDefault="00D869BE" w:rsidP="00C759BF">
      <w:pPr>
        <w:spacing w:after="0"/>
        <w:rPr>
          <w:rFonts w:ascii="Arial" w:hAnsi="Arial" w:cs="Arial"/>
        </w:rPr>
      </w:pPr>
      <w:r>
        <w:rPr>
          <w:noProof/>
        </w:rPr>
        <w:drawing>
          <wp:anchor distT="0" distB="0" distL="114300" distR="114300" simplePos="0" relativeHeight="251658240" behindDoc="1" locked="0" layoutInCell="1" allowOverlap="1" wp14:anchorId="5A0B55F2" wp14:editId="754C4950">
            <wp:simplePos x="0" y="0"/>
            <wp:positionH relativeFrom="column">
              <wp:posOffset>-60960</wp:posOffset>
            </wp:positionH>
            <wp:positionV relativeFrom="paragraph">
              <wp:posOffset>161290</wp:posOffset>
            </wp:positionV>
            <wp:extent cx="3421380" cy="2362200"/>
            <wp:effectExtent l="0" t="0" r="7620" b="0"/>
            <wp:wrapSquare wrapText="bothSides"/>
            <wp:docPr id="16" name="Chart 16">
              <a:extLst xmlns:a="http://schemas.openxmlformats.org/drawingml/2006/main">
                <a:ext uri="{FF2B5EF4-FFF2-40B4-BE49-F238E27FC236}">
                  <a16:creationId xmlns:a16="http://schemas.microsoft.com/office/drawing/2014/main" id="{8F099B28-AC5E-4518-9C61-30C465C3C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34752B4" w14:textId="43B4CF7A" w:rsidR="00CD3475" w:rsidRDefault="00CD3475" w:rsidP="00C759BF">
      <w:pPr>
        <w:spacing w:after="0"/>
        <w:rPr>
          <w:rFonts w:ascii="Arial" w:hAnsi="Arial" w:cs="Arial"/>
        </w:rPr>
      </w:pPr>
      <w:r w:rsidRPr="00925A18">
        <w:rPr>
          <w:rFonts w:ascii="Arial" w:hAnsi="Arial" w:cs="Arial"/>
        </w:rPr>
        <w:t>Despite these positive trends, new infections have not decreased as quickly as deaths</w:t>
      </w:r>
      <w:r w:rsidR="00243DE7">
        <w:rPr>
          <w:rFonts w:ascii="Arial" w:hAnsi="Arial" w:cs="Arial"/>
        </w:rPr>
        <w:t xml:space="preserve"> (</w:t>
      </w:r>
      <w:r>
        <w:rPr>
          <w:rFonts w:ascii="Arial" w:hAnsi="Arial" w:cs="Arial"/>
          <w:i/>
        </w:rPr>
        <w:t xml:space="preserve">Figure </w:t>
      </w:r>
      <w:r w:rsidR="00F77BBE">
        <w:rPr>
          <w:rFonts w:ascii="Arial" w:hAnsi="Arial" w:cs="Arial"/>
          <w:i/>
        </w:rPr>
        <w:t>2-1</w:t>
      </w:r>
      <w:r w:rsidR="000213F8">
        <w:rPr>
          <w:rFonts w:ascii="Arial" w:hAnsi="Arial" w:cs="Arial"/>
          <w:i/>
        </w:rPr>
        <w:t>; Source: UNAIDS 2018</w:t>
      </w:r>
      <w:r w:rsidR="00243DE7">
        <w:rPr>
          <w:rFonts w:ascii="Arial" w:hAnsi="Arial" w:cs="Arial"/>
          <w:i/>
        </w:rPr>
        <w:t>)</w:t>
      </w:r>
      <w:r>
        <w:rPr>
          <w:rFonts w:ascii="Arial" w:hAnsi="Arial" w:cs="Arial"/>
          <w:i/>
        </w:rPr>
        <w:t>.</w:t>
      </w:r>
      <w:r w:rsidRPr="00925A18">
        <w:rPr>
          <w:rFonts w:ascii="Arial" w:hAnsi="Arial" w:cs="Arial"/>
        </w:rPr>
        <w:t xml:space="preserve"> Fewer annual deaths reflect a strong treatment program</w:t>
      </w:r>
      <w:r w:rsidR="000312E5">
        <w:rPr>
          <w:rFonts w:ascii="Arial" w:hAnsi="Arial" w:cs="Arial"/>
        </w:rPr>
        <w:t>. B</w:t>
      </w:r>
      <w:r w:rsidRPr="00925A18">
        <w:rPr>
          <w:rFonts w:ascii="Arial" w:hAnsi="Arial" w:cs="Arial"/>
        </w:rPr>
        <w:t xml:space="preserve">ut to reach epidemic control, the number of new infections will </w:t>
      </w:r>
      <w:r>
        <w:rPr>
          <w:rFonts w:ascii="Arial" w:hAnsi="Arial" w:cs="Arial"/>
        </w:rPr>
        <w:t xml:space="preserve">ultimately </w:t>
      </w:r>
      <w:r w:rsidRPr="00925A18">
        <w:rPr>
          <w:rFonts w:ascii="Arial" w:hAnsi="Arial" w:cs="Arial"/>
        </w:rPr>
        <w:t>have to drop below the number of annual deaths (</w:t>
      </w:r>
      <w:r w:rsidR="004F38C6" w:rsidRPr="00925A18">
        <w:rPr>
          <w:rFonts w:ascii="Arial" w:hAnsi="Arial" w:cs="Arial"/>
        </w:rPr>
        <w:t>UN</w:t>
      </w:r>
      <w:r w:rsidR="004F38C6">
        <w:rPr>
          <w:rFonts w:ascii="Arial" w:hAnsi="Arial" w:cs="Arial"/>
        </w:rPr>
        <w:t>ICEF</w:t>
      </w:r>
      <w:r w:rsidR="004F38C6" w:rsidRPr="00925A18">
        <w:rPr>
          <w:rFonts w:ascii="Arial" w:hAnsi="Arial" w:cs="Arial"/>
        </w:rPr>
        <w:t xml:space="preserve"> </w:t>
      </w:r>
      <w:r w:rsidR="006415B8">
        <w:rPr>
          <w:rFonts w:ascii="Arial" w:hAnsi="Arial" w:cs="Arial"/>
        </w:rPr>
        <w:t>and MoHCDGEC</w:t>
      </w:r>
      <w:r w:rsidRPr="00925A18">
        <w:rPr>
          <w:rFonts w:ascii="Arial" w:hAnsi="Arial" w:cs="Arial"/>
        </w:rPr>
        <w:t xml:space="preserve"> 201</w:t>
      </w:r>
      <w:r w:rsidR="006415B8">
        <w:rPr>
          <w:rFonts w:ascii="Arial" w:hAnsi="Arial" w:cs="Arial"/>
        </w:rPr>
        <w:t>8</w:t>
      </w:r>
      <w:r w:rsidRPr="00925A18">
        <w:rPr>
          <w:rFonts w:ascii="Arial" w:hAnsi="Arial" w:cs="Arial"/>
        </w:rPr>
        <w:t xml:space="preserve">). Currently, about </w:t>
      </w:r>
      <w:r>
        <w:rPr>
          <w:rFonts w:ascii="Arial" w:hAnsi="Arial" w:cs="Arial"/>
        </w:rPr>
        <w:t>65</w:t>
      </w:r>
      <w:r w:rsidRPr="00925A18">
        <w:rPr>
          <w:rFonts w:ascii="Arial" w:hAnsi="Arial" w:cs="Arial"/>
        </w:rPr>
        <w:t>,000 new infections occur annually compared to only 33,800 deaths annually (</w:t>
      </w:r>
      <w:r w:rsidR="006415B8">
        <w:rPr>
          <w:rFonts w:ascii="Arial" w:hAnsi="Arial" w:cs="Arial"/>
        </w:rPr>
        <w:t>TACAIDS 2018</w:t>
      </w:r>
      <w:r>
        <w:rPr>
          <w:rFonts w:ascii="Arial" w:hAnsi="Arial" w:cs="Arial"/>
        </w:rPr>
        <w:t>; UNAIDS</w:t>
      </w:r>
      <w:r w:rsidR="000A1997">
        <w:rPr>
          <w:rFonts w:ascii="Arial" w:hAnsi="Arial" w:cs="Arial"/>
        </w:rPr>
        <w:t xml:space="preserve"> 2018</w:t>
      </w:r>
      <w:r w:rsidRPr="00925A18">
        <w:rPr>
          <w:rFonts w:ascii="Arial" w:hAnsi="Arial" w:cs="Arial"/>
        </w:rPr>
        <w:t>). Incidence of HIV is currently highest among adolescents 15-19</w:t>
      </w:r>
      <w:r>
        <w:rPr>
          <w:rFonts w:ascii="Arial" w:hAnsi="Arial" w:cs="Arial"/>
        </w:rPr>
        <w:t xml:space="preserve"> years</w:t>
      </w:r>
      <w:r w:rsidRPr="00925A18">
        <w:rPr>
          <w:rFonts w:ascii="Arial" w:hAnsi="Arial" w:cs="Arial"/>
        </w:rPr>
        <w:t xml:space="preserve">, </w:t>
      </w:r>
      <w:r w:rsidR="00CF1B34">
        <w:rPr>
          <w:rFonts w:ascii="Arial" w:hAnsi="Arial" w:cs="Arial"/>
        </w:rPr>
        <w:t>especially among adolescent females</w:t>
      </w:r>
      <w:r w:rsidRPr="00925A18">
        <w:rPr>
          <w:rFonts w:ascii="Arial" w:hAnsi="Arial" w:cs="Arial"/>
        </w:rPr>
        <w:t>. Overall, over 3</w:t>
      </w:r>
      <w:r w:rsidR="00436EF4">
        <w:rPr>
          <w:rFonts w:ascii="Arial" w:hAnsi="Arial" w:cs="Arial"/>
        </w:rPr>
        <w:t>0</w:t>
      </w:r>
      <w:r w:rsidRPr="00925A18">
        <w:rPr>
          <w:rFonts w:ascii="Arial" w:hAnsi="Arial" w:cs="Arial"/>
        </w:rPr>
        <w:t xml:space="preserve">% of new infections are transmitted among </w:t>
      </w:r>
      <w:r w:rsidR="0028213B">
        <w:rPr>
          <w:rFonts w:ascii="Arial" w:hAnsi="Arial" w:cs="Arial"/>
        </w:rPr>
        <w:t>stable</w:t>
      </w:r>
      <w:r w:rsidRPr="00925A18">
        <w:rPr>
          <w:rFonts w:ascii="Arial" w:hAnsi="Arial" w:cs="Arial"/>
        </w:rPr>
        <w:t xml:space="preserve"> heterosexual relationships</w:t>
      </w:r>
      <w:r w:rsidR="00436EF4">
        <w:rPr>
          <w:rFonts w:ascii="Arial" w:hAnsi="Arial" w:cs="Arial"/>
        </w:rPr>
        <w:t>, overwhelming</w:t>
      </w:r>
      <w:r w:rsidR="00F32269">
        <w:rPr>
          <w:rFonts w:ascii="Arial" w:hAnsi="Arial" w:cs="Arial"/>
        </w:rPr>
        <w:t>ly</w:t>
      </w:r>
      <w:r w:rsidR="00436EF4">
        <w:rPr>
          <w:rFonts w:ascii="Arial" w:hAnsi="Arial" w:cs="Arial"/>
        </w:rPr>
        <w:t xml:space="preserve"> to the female partner,</w:t>
      </w:r>
      <w:r w:rsidRPr="00925A18">
        <w:rPr>
          <w:rFonts w:ascii="Arial" w:hAnsi="Arial" w:cs="Arial"/>
        </w:rPr>
        <w:t xml:space="preserve"> while about </w:t>
      </w:r>
      <w:r w:rsidR="00436EF4">
        <w:rPr>
          <w:rFonts w:ascii="Arial" w:hAnsi="Arial" w:cs="Arial"/>
        </w:rPr>
        <w:t>17% are among males with multiple partners</w:t>
      </w:r>
      <w:r w:rsidR="000312E5">
        <w:rPr>
          <w:rFonts w:ascii="Arial" w:hAnsi="Arial" w:cs="Arial"/>
        </w:rPr>
        <w:t xml:space="preserve"> and 21% among males with male partners</w:t>
      </w:r>
      <w:r w:rsidRPr="00925A18">
        <w:rPr>
          <w:rFonts w:ascii="Arial" w:hAnsi="Arial" w:cs="Arial"/>
        </w:rPr>
        <w:t xml:space="preserve">. About </w:t>
      </w:r>
      <w:r w:rsidR="00436EF4">
        <w:rPr>
          <w:rFonts w:ascii="Arial" w:hAnsi="Arial" w:cs="Arial"/>
        </w:rPr>
        <w:t>17</w:t>
      </w:r>
      <w:r w:rsidRPr="00925A18">
        <w:rPr>
          <w:rFonts w:ascii="Arial" w:hAnsi="Arial" w:cs="Arial"/>
        </w:rPr>
        <w:t xml:space="preserve">% of new infections are among sex worker clients and </w:t>
      </w:r>
      <w:r w:rsidR="00436EF4">
        <w:rPr>
          <w:rFonts w:ascii="Arial" w:hAnsi="Arial" w:cs="Arial"/>
        </w:rPr>
        <w:t>2</w:t>
      </w:r>
      <w:r w:rsidRPr="00925A18">
        <w:rPr>
          <w:rFonts w:ascii="Arial" w:hAnsi="Arial" w:cs="Arial"/>
        </w:rPr>
        <w:t>% among men who have sex with men (</w:t>
      </w:r>
      <w:r w:rsidR="006415B8">
        <w:rPr>
          <w:rFonts w:ascii="Arial" w:hAnsi="Arial" w:cs="Arial"/>
        </w:rPr>
        <w:t>TACAIDS and UNAIDS 2016</w:t>
      </w:r>
      <w:r w:rsidRPr="00925A18">
        <w:rPr>
          <w:rFonts w:ascii="Arial" w:hAnsi="Arial" w:cs="Arial"/>
        </w:rPr>
        <w:t xml:space="preserve">). </w:t>
      </w:r>
    </w:p>
    <w:p w14:paraId="2A31CFCE" w14:textId="77777777" w:rsidR="00436EF4" w:rsidRPr="00925A18" w:rsidRDefault="00436EF4" w:rsidP="00C759BF">
      <w:pPr>
        <w:spacing w:after="0"/>
        <w:rPr>
          <w:rFonts w:ascii="Arial" w:hAnsi="Arial" w:cs="Arial"/>
        </w:rPr>
      </w:pPr>
    </w:p>
    <w:p w14:paraId="023C88DA" w14:textId="16E5E31C" w:rsidR="00CD3475" w:rsidRDefault="00CD3475" w:rsidP="00C759BF">
      <w:pPr>
        <w:spacing w:after="0"/>
        <w:rPr>
          <w:rFonts w:ascii="Arial" w:hAnsi="Arial" w:cs="Arial"/>
        </w:rPr>
      </w:pPr>
      <w:r w:rsidRPr="00925A18">
        <w:rPr>
          <w:rFonts w:ascii="Arial" w:hAnsi="Arial" w:cs="Arial"/>
        </w:rPr>
        <w:t>Variation</w:t>
      </w:r>
      <w:r>
        <w:rPr>
          <w:rFonts w:ascii="Arial" w:hAnsi="Arial" w:cs="Arial"/>
        </w:rPr>
        <w:t>s</w:t>
      </w:r>
      <w:r w:rsidRPr="00925A18">
        <w:rPr>
          <w:rFonts w:ascii="Arial" w:hAnsi="Arial" w:cs="Arial"/>
        </w:rPr>
        <w:t xml:space="preserve"> in HIV burden across age, gender, and regions are important drivers of the local epidemic and are described further below. These epidemic characteristics should </w:t>
      </w:r>
      <w:r>
        <w:rPr>
          <w:rFonts w:ascii="Arial" w:hAnsi="Arial" w:cs="Arial"/>
        </w:rPr>
        <w:t>guide</w:t>
      </w:r>
      <w:r w:rsidRPr="00925A18">
        <w:rPr>
          <w:rFonts w:ascii="Arial" w:hAnsi="Arial" w:cs="Arial"/>
        </w:rPr>
        <w:t xml:space="preserve"> strategic priorities of the national response</w:t>
      </w:r>
      <w:r w:rsidR="00243DE7">
        <w:rPr>
          <w:rFonts w:ascii="Arial" w:hAnsi="Arial" w:cs="Arial"/>
        </w:rPr>
        <w:t xml:space="preserve"> and shape the choices in the IC 2.0</w:t>
      </w:r>
      <w:r w:rsidR="006415B8">
        <w:rPr>
          <w:rFonts w:ascii="Arial" w:hAnsi="Arial" w:cs="Arial"/>
        </w:rPr>
        <w:t>.</w:t>
      </w:r>
    </w:p>
    <w:p w14:paraId="1C810CCC" w14:textId="1F715229" w:rsidR="00CD3475" w:rsidRDefault="00CD3475" w:rsidP="00505F88">
      <w:pPr>
        <w:pStyle w:val="Heading3"/>
        <w:rPr>
          <w:rFonts w:ascii="Arial" w:hAnsi="Arial" w:cs="Arial"/>
          <w:i/>
          <w:color w:val="000000" w:themeColor="text1"/>
        </w:rPr>
      </w:pPr>
      <w:bookmarkStart w:id="35" w:name="_Toc57035136"/>
      <w:r w:rsidRPr="00D869BE">
        <w:rPr>
          <w:rFonts w:ascii="Arial" w:hAnsi="Arial" w:cs="Arial"/>
          <w:i/>
          <w:color w:val="000000" w:themeColor="text1"/>
        </w:rPr>
        <w:lastRenderedPageBreak/>
        <w:t>Age trends</w:t>
      </w:r>
      <w:bookmarkEnd w:id="35"/>
    </w:p>
    <w:p w14:paraId="63319C51" w14:textId="77777777" w:rsidR="00D869BE" w:rsidRPr="00D869BE" w:rsidRDefault="00D869BE" w:rsidP="00505F88">
      <w:pPr>
        <w:spacing w:after="0"/>
      </w:pPr>
    </w:p>
    <w:p w14:paraId="33378F30" w14:textId="53ADB423" w:rsidR="00DF76DE" w:rsidRDefault="00CD3475" w:rsidP="00505F88">
      <w:pPr>
        <w:spacing w:after="0"/>
        <w:rPr>
          <w:rFonts w:ascii="Arial" w:hAnsi="Arial" w:cs="Arial"/>
        </w:rPr>
      </w:pPr>
      <w:r w:rsidRPr="00925A18">
        <w:rPr>
          <w:rFonts w:ascii="Arial" w:hAnsi="Arial" w:cs="Arial"/>
        </w:rPr>
        <w:t>Adults ages 40</w:t>
      </w:r>
      <w:r>
        <w:rPr>
          <w:rFonts w:ascii="Arial" w:hAnsi="Arial" w:cs="Arial"/>
        </w:rPr>
        <w:t>-</w:t>
      </w:r>
      <w:r w:rsidRPr="00925A18">
        <w:rPr>
          <w:rFonts w:ascii="Arial" w:hAnsi="Arial" w:cs="Arial"/>
        </w:rPr>
        <w:t>49 year</w:t>
      </w:r>
      <w:r>
        <w:rPr>
          <w:rFonts w:ascii="Arial" w:hAnsi="Arial" w:cs="Arial"/>
        </w:rPr>
        <w:t>s</w:t>
      </w:r>
      <w:r w:rsidRPr="00925A18">
        <w:rPr>
          <w:rFonts w:ascii="Arial" w:hAnsi="Arial" w:cs="Arial"/>
        </w:rPr>
        <w:t xml:space="preserve"> bear the greatest burden of HIV in terms of prevalence, as they were infected at the start of the epidemic when incidence was high and knowledge of effective prevention interventions w</w:t>
      </w:r>
      <w:r>
        <w:rPr>
          <w:rFonts w:ascii="Arial" w:hAnsi="Arial" w:cs="Arial"/>
        </w:rPr>
        <w:t>as</w:t>
      </w:r>
      <w:r w:rsidRPr="00925A18">
        <w:rPr>
          <w:rFonts w:ascii="Arial" w:hAnsi="Arial" w:cs="Arial"/>
        </w:rPr>
        <w:t xml:space="preserve"> still limited</w:t>
      </w:r>
      <w:r w:rsidR="000213F8">
        <w:rPr>
          <w:rFonts w:ascii="Arial" w:hAnsi="Arial" w:cs="Arial"/>
        </w:rPr>
        <w:t xml:space="preserve"> </w:t>
      </w:r>
      <w:r w:rsidR="000213F8" w:rsidRPr="00276364">
        <w:rPr>
          <w:rFonts w:ascii="Arial" w:hAnsi="Arial" w:cs="Arial"/>
          <w:i/>
        </w:rPr>
        <w:t>(Figure 2-2)</w:t>
      </w:r>
      <w:r w:rsidRPr="00925A18">
        <w:rPr>
          <w:rFonts w:ascii="Arial" w:hAnsi="Arial" w:cs="Arial"/>
        </w:rPr>
        <w:t xml:space="preserve"> (</w:t>
      </w:r>
      <w:r w:rsidR="006415B8">
        <w:rPr>
          <w:rFonts w:ascii="Arial" w:hAnsi="Arial" w:cs="Arial"/>
        </w:rPr>
        <w:t>TACAIDS and ZAC 2018</w:t>
      </w:r>
      <w:r w:rsidRPr="00925A18">
        <w:rPr>
          <w:rFonts w:ascii="Arial" w:hAnsi="Arial" w:cs="Arial"/>
        </w:rPr>
        <w:t>).</w:t>
      </w:r>
      <w:r w:rsidR="000213F8">
        <w:rPr>
          <w:rFonts w:ascii="Arial" w:hAnsi="Arial" w:cs="Arial"/>
        </w:rPr>
        <w:t xml:space="preserve"> </w:t>
      </w:r>
      <w:bookmarkStart w:id="36" w:name="_Hlk10834892"/>
      <w:r w:rsidR="00DF76DE">
        <w:rPr>
          <w:rFonts w:ascii="Arial" w:hAnsi="Arial" w:cs="Arial"/>
        </w:rPr>
        <w:t>The highest incidence is among adults ages 25-34 years at 0.34</w:t>
      </w:r>
      <w:r w:rsidR="000213F8">
        <w:rPr>
          <w:rFonts w:ascii="Arial" w:hAnsi="Arial" w:cs="Arial"/>
        </w:rPr>
        <w:t>% (</w:t>
      </w:r>
      <w:r w:rsidR="000213F8" w:rsidRPr="00276364">
        <w:rPr>
          <w:rFonts w:ascii="Arial" w:hAnsi="Arial" w:cs="Arial"/>
          <w:i/>
        </w:rPr>
        <w:t>Figure 2-3</w:t>
      </w:r>
      <w:r w:rsidR="000213F8">
        <w:rPr>
          <w:rFonts w:ascii="Arial" w:hAnsi="Arial" w:cs="Arial"/>
        </w:rPr>
        <w:t>).</w:t>
      </w:r>
      <w:bookmarkEnd w:id="36"/>
    </w:p>
    <w:p w14:paraId="00A31C4E" w14:textId="514035FB" w:rsidR="00D869BE" w:rsidRPr="00925A18" w:rsidRDefault="00D869BE" w:rsidP="00C759BF">
      <w:pPr>
        <w:spacing w:after="0"/>
        <w:rPr>
          <w:rFonts w:ascii="Arial" w:hAnsi="Arial" w:cs="Arial"/>
        </w:rPr>
      </w:pPr>
    </w:p>
    <w:p w14:paraId="059D5740" w14:textId="1929CDC6" w:rsidR="00CD3475" w:rsidRPr="00925A18" w:rsidRDefault="000213F8" w:rsidP="00C759BF">
      <w:pPr>
        <w:spacing w:after="0"/>
        <w:rPr>
          <w:rFonts w:ascii="Arial" w:hAnsi="Arial" w:cs="Arial"/>
        </w:rPr>
      </w:pPr>
      <w:r w:rsidRPr="00D869BE">
        <w:rPr>
          <w:rFonts w:ascii="Arial" w:hAnsi="Arial" w:cs="Arial"/>
          <w:i/>
          <w:noProof/>
          <w:color w:val="000000" w:themeColor="text1"/>
        </w:rPr>
        <w:drawing>
          <wp:anchor distT="0" distB="0" distL="114300" distR="114300" simplePos="0" relativeHeight="251781120" behindDoc="1" locked="0" layoutInCell="1" allowOverlap="1" wp14:anchorId="5DD88E6B" wp14:editId="207F76FC">
            <wp:simplePos x="0" y="0"/>
            <wp:positionH relativeFrom="column">
              <wp:posOffset>2446020</wp:posOffset>
            </wp:positionH>
            <wp:positionV relativeFrom="paragraph">
              <wp:posOffset>120015</wp:posOffset>
            </wp:positionV>
            <wp:extent cx="3878580" cy="2179320"/>
            <wp:effectExtent l="0" t="0" r="7620" b="11430"/>
            <wp:wrapTight wrapText="bothSides">
              <wp:wrapPolygon edited="0">
                <wp:start x="0" y="0"/>
                <wp:lineTo x="0" y="21524"/>
                <wp:lineTo x="21536" y="21524"/>
                <wp:lineTo x="21536" y="0"/>
                <wp:lineTo x="0" y="0"/>
              </wp:wrapPolygon>
            </wp:wrapTight>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0312E5">
        <w:rPr>
          <w:rFonts w:ascii="Arial" w:hAnsi="Arial" w:cs="Arial"/>
        </w:rPr>
        <w:t xml:space="preserve">Of particular concern is a recent </w:t>
      </w:r>
      <w:r w:rsidR="00CD3475" w:rsidRPr="00925A18">
        <w:rPr>
          <w:rFonts w:ascii="Arial" w:hAnsi="Arial" w:cs="Arial"/>
        </w:rPr>
        <w:t>spark in new infections among adolescent</w:t>
      </w:r>
      <w:r w:rsidR="00DF76DE">
        <w:rPr>
          <w:rFonts w:ascii="Arial" w:hAnsi="Arial" w:cs="Arial"/>
        </w:rPr>
        <w:t xml:space="preserve"> girls</w:t>
      </w:r>
      <w:r w:rsidR="00CD3475" w:rsidRPr="00925A18">
        <w:rPr>
          <w:rFonts w:ascii="Arial" w:hAnsi="Arial" w:cs="Arial"/>
        </w:rPr>
        <w:t xml:space="preserve"> 15-19 years and young adults 20-24 years (UNCIEF 2018). Since 2010, </w:t>
      </w:r>
      <w:r w:rsidR="000312E5">
        <w:rPr>
          <w:rFonts w:ascii="Arial" w:hAnsi="Arial" w:cs="Arial"/>
        </w:rPr>
        <w:t xml:space="preserve">despite positive overall trends among new infections, </w:t>
      </w:r>
      <w:r w:rsidR="00CD3475" w:rsidRPr="00925A18">
        <w:rPr>
          <w:rFonts w:ascii="Arial" w:hAnsi="Arial" w:cs="Arial"/>
        </w:rPr>
        <w:t xml:space="preserve">there was a </w:t>
      </w:r>
      <w:r w:rsidR="00CD3475">
        <w:rPr>
          <w:rFonts w:ascii="Arial" w:hAnsi="Arial" w:cs="Arial"/>
        </w:rPr>
        <w:t>9</w:t>
      </w:r>
      <w:r w:rsidR="00CD3475" w:rsidRPr="00925A18">
        <w:rPr>
          <w:rFonts w:ascii="Arial" w:hAnsi="Arial" w:cs="Arial"/>
        </w:rPr>
        <w:t xml:space="preserve">% increase in infections among adolescents </w:t>
      </w:r>
      <w:r w:rsidR="00CD3475">
        <w:rPr>
          <w:rFonts w:ascii="Arial" w:hAnsi="Arial" w:cs="Arial"/>
        </w:rPr>
        <w:t xml:space="preserve">15-19 years </w:t>
      </w:r>
      <w:r w:rsidR="00CD3475" w:rsidRPr="00925A18">
        <w:rPr>
          <w:rFonts w:ascii="Arial" w:hAnsi="Arial" w:cs="Arial"/>
        </w:rPr>
        <w:t>and an alarming 56% increase among young adults</w:t>
      </w:r>
      <w:r w:rsidR="00CD3475">
        <w:rPr>
          <w:rFonts w:ascii="Arial" w:hAnsi="Arial" w:cs="Arial"/>
        </w:rPr>
        <w:t xml:space="preserve"> 20-24 years</w:t>
      </w:r>
      <w:r w:rsidR="00CD3475" w:rsidRPr="00925A18">
        <w:rPr>
          <w:rFonts w:ascii="Arial" w:hAnsi="Arial" w:cs="Arial"/>
        </w:rPr>
        <w:t xml:space="preserve"> </w:t>
      </w:r>
      <w:r w:rsidR="00A22479">
        <w:rPr>
          <w:rFonts w:ascii="Arial" w:hAnsi="Arial" w:cs="Arial"/>
        </w:rPr>
        <w:t xml:space="preserve">in Tanazania </w:t>
      </w:r>
      <w:r w:rsidR="00CD3475" w:rsidRPr="00925A18">
        <w:rPr>
          <w:rFonts w:ascii="Arial" w:hAnsi="Arial" w:cs="Arial"/>
        </w:rPr>
        <w:t>(UN</w:t>
      </w:r>
      <w:r w:rsidR="00F32269">
        <w:rPr>
          <w:rFonts w:ascii="Arial" w:hAnsi="Arial" w:cs="Arial"/>
        </w:rPr>
        <w:t>I</w:t>
      </w:r>
      <w:r w:rsidR="00CD3475" w:rsidRPr="00925A18">
        <w:rPr>
          <w:rFonts w:ascii="Arial" w:hAnsi="Arial" w:cs="Arial"/>
        </w:rPr>
        <w:t>CEF</w:t>
      </w:r>
      <w:r w:rsidR="00F07840">
        <w:rPr>
          <w:rFonts w:ascii="Arial" w:hAnsi="Arial" w:cs="Arial"/>
        </w:rPr>
        <w:t xml:space="preserve"> </w:t>
      </w:r>
      <w:r w:rsidR="00CD3475" w:rsidRPr="00925A18">
        <w:rPr>
          <w:rFonts w:ascii="Arial" w:hAnsi="Arial" w:cs="Arial"/>
        </w:rPr>
        <w:t xml:space="preserve">2018). </w:t>
      </w:r>
      <w:r w:rsidR="00DF76DE">
        <w:rPr>
          <w:rFonts w:ascii="Arial" w:hAnsi="Arial" w:cs="Arial"/>
        </w:rPr>
        <w:t xml:space="preserve"> </w:t>
      </w:r>
    </w:p>
    <w:p w14:paraId="63789253" w14:textId="77777777" w:rsidR="00F32269" w:rsidRDefault="00F32269" w:rsidP="00C759BF">
      <w:pPr>
        <w:spacing w:after="0"/>
        <w:rPr>
          <w:rFonts w:ascii="Arial" w:hAnsi="Arial" w:cs="Arial"/>
        </w:rPr>
      </w:pPr>
    </w:p>
    <w:p w14:paraId="0028D373" w14:textId="640E2EA2" w:rsidR="00CD3475" w:rsidRDefault="000213F8" w:rsidP="00C759BF">
      <w:pPr>
        <w:spacing w:after="0"/>
        <w:rPr>
          <w:rFonts w:ascii="Arial" w:hAnsi="Arial" w:cs="Arial"/>
        </w:rPr>
      </w:pPr>
      <w:r w:rsidRPr="00D869BE">
        <w:rPr>
          <w:rFonts w:ascii="Arial" w:hAnsi="Arial" w:cs="Arial"/>
          <w:i/>
          <w:noProof/>
          <w:color w:val="000000" w:themeColor="text1"/>
        </w:rPr>
        <w:drawing>
          <wp:anchor distT="0" distB="0" distL="114300" distR="114300" simplePos="0" relativeHeight="251654144" behindDoc="1" locked="0" layoutInCell="1" allowOverlap="1" wp14:anchorId="1D8AEECF" wp14:editId="1D4AEAD4">
            <wp:simplePos x="0" y="0"/>
            <wp:positionH relativeFrom="column">
              <wp:posOffset>2354580</wp:posOffset>
            </wp:positionH>
            <wp:positionV relativeFrom="paragraph">
              <wp:posOffset>1191260</wp:posOffset>
            </wp:positionV>
            <wp:extent cx="3878580" cy="2179320"/>
            <wp:effectExtent l="0" t="0" r="7620" b="11430"/>
            <wp:wrapTight wrapText="bothSides">
              <wp:wrapPolygon edited="0">
                <wp:start x="0" y="0"/>
                <wp:lineTo x="0" y="21524"/>
                <wp:lineTo x="21536" y="21524"/>
                <wp:lineTo x="21536"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16203A2" wp14:editId="52AD1DE0">
                <wp:simplePos x="0" y="0"/>
                <wp:positionH relativeFrom="column">
                  <wp:posOffset>2443480</wp:posOffset>
                </wp:positionH>
                <wp:positionV relativeFrom="paragraph">
                  <wp:posOffset>670560</wp:posOffset>
                </wp:positionV>
                <wp:extent cx="3878580" cy="51435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514350"/>
                        </a:xfrm>
                        <a:prstGeom prst="rect">
                          <a:avLst/>
                        </a:prstGeom>
                        <a:solidFill>
                          <a:srgbClr val="FFFFFF"/>
                        </a:solidFill>
                        <a:ln w="9525">
                          <a:noFill/>
                          <a:miter lim="800000"/>
                          <a:headEnd/>
                          <a:tailEnd/>
                        </a:ln>
                      </wps:spPr>
                      <wps:txbx>
                        <w:txbxContent>
                          <w:p w14:paraId="02F8EC87" w14:textId="77777777" w:rsidR="00426F25" w:rsidRPr="006415B8" w:rsidRDefault="00426F25" w:rsidP="006415B8">
                            <w:pPr>
                              <w:spacing w:after="0"/>
                              <w:rPr>
                                <w:rFonts w:ascii="Arial" w:hAnsi="Arial" w:cs="Arial"/>
                                <w:sz w:val="16"/>
                                <w:szCs w:val="16"/>
                              </w:rPr>
                            </w:pPr>
                            <w:r w:rsidRPr="006415B8">
                              <w:rPr>
                                <w:rFonts w:ascii="Arial" w:hAnsi="Arial" w:cs="Arial"/>
                                <w:sz w:val="16"/>
                                <w:szCs w:val="16"/>
                              </w:rPr>
                              <w:t xml:space="preserve">Source: Tanzania Commission for AIDS (TACAIDS), Zanzibar AIDS Commission (ZAC) (2018). Tanzania HIV Impact Survey (THIS) 2016-2017: Final Report. Dar es Salaam, Tanzania. </w:t>
                            </w:r>
                          </w:p>
                          <w:p w14:paraId="7BE5483E" w14:textId="535BC748" w:rsidR="00426F25" w:rsidRPr="006415B8" w:rsidRDefault="00426F25" w:rsidP="00CD3475">
                            <w:pPr>
                              <w:rPr>
                                <w:rFonts w:ascii="Arial" w:hAnsi="Arial" w:cs="Arial"/>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6203A2" id="Text Box 2" o:spid="_x0000_s1028" type="#_x0000_t202" style="position:absolute;margin-left:192.4pt;margin-top:52.8pt;width:305.4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" stroked="f">
                <v:textbox>
                  <w:txbxContent>
                    <w:p w14:paraId="02F8EC87" w14:textId="77777777" w:rsidR="00426F25" w:rsidRPr="006415B8" w:rsidRDefault="00426F25" w:rsidP="006415B8">
                      <w:pPr>
                        <w:spacing w:after="0"/>
                        <w:rPr>
                          <w:rFonts w:ascii="Arial" w:hAnsi="Arial" w:cs="Arial"/>
                          <w:sz w:val="16"/>
                          <w:szCs w:val="16"/>
                        </w:rPr>
                      </w:pPr>
                      <w:r w:rsidRPr="006415B8">
                        <w:rPr>
                          <w:rFonts w:ascii="Arial" w:hAnsi="Arial" w:cs="Arial"/>
                          <w:sz w:val="16"/>
                          <w:szCs w:val="16"/>
                        </w:rPr>
                        <w:t xml:space="preserve">Source: Tanzania Commission for AIDS (TACAIDS), Zanzibar AIDS Commission (ZAC) (2018). Tanzania HIV Impact Survey (THIS) 2016-2017: Final Report. Dar es Salaam, Tanzania. </w:t>
                      </w:r>
                    </w:p>
                    <w:p w14:paraId="7BE5483E" w14:textId="535BC748" w:rsidR="00426F25" w:rsidRPr="006415B8" w:rsidRDefault="00426F25" w:rsidP="00CD3475">
                      <w:pPr>
                        <w:rPr>
                          <w:rFonts w:ascii="Arial" w:hAnsi="Arial" w:cs="Arial"/>
                          <w:sz w:val="16"/>
                          <w:szCs w:val="16"/>
                        </w:rPr>
                      </w:pPr>
                    </w:p>
                  </w:txbxContent>
                </v:textbox>
                <w10:wrap type="square"/>
              </v:shape>
            </w:pict>
          </mc:Fallback>
        </mc:AlternateContent>
      </w:r>
      <w:r w:rsidR="00CD3475" w:rsidRPr="00925A18">
        <w:rPr>
          <w:rFonts w:ascii="Arial" w:hAnsi="Arial" w:cs="Arial"/>
        </w:rPr>
        <w:t>HIV infection in children also remains a significant concern. There are 125,000 children under age 15 years living with HIV</w:t>
      </w:r>
      <w:r w:rsidR="00CD3475">
        <w:rPr>
          <w:rFonts w:ascii="Arial" w:hAnsi="Arial" w:cs="Arial"/>
        </w:rPr>
        <w:t xml:space="preserve"> country-wide</w:t>
      </w:r>
      <w:r w:rsidR="000312E5">
        <w:rPr>
          <w:rFonts w:ascii="Arial" w:hAnsi="Arial" w:cs="Arial"/>
        </w:rPr>
        <w:t xml:space="preserve">, corresponding to a </w:t>
      </w:r>
      <w:r w:rsidR="00CD3475" w:rsidRPr="00925A18">
        <w:rPr>
          <w:rFonts w:ascii="Arial" w:hAnsi="Arial" w:cs="Arial"/>
        </w:rPr>
        <w:t xml:space="preserve">0.4% </w:t>
      </w:r>
      <w:r w:rsidR="0064760A">
        <w:rPr>
          <w:rFonts w:ascii="Arial" w:hAnsi="Arial" w:cs="Arial"/>
        </w:rPr>
        <w:t>prevalence</w:t>
      </w:r>
      <w:r w:rsidR="000312E5">
        <w:rPr>
          <w:rFonts w:ascii="Arial" w:hAnsi="Arial" w:cs="Arial"/>
        </w:rPr>
        <w:t xml:space="preserve"> </w:t>
      </w:r>
      <w:r w:rsidR="00CD3475" w:rsidRPr="00925A18">
        <w:rPr>
          <w:rFonts w:ascii="Arial" w:hAnsi="Arial" w:cs="Arial"/>
        </w:rPr>
        <w:t>nationally</w:t>
      </w:r>
      <w:r w:rsidR="00CD3475">
        <w:rPr>
          <w:rFonts w:ascii="Arial" w:hAnsi="Arial" w:cs="Arial"/>
        </w:rPr>
        <w:t xml:space="preserve"> </w:t>
      </w:r>
      <w:r w:rsidR="00CD3475" w:rsidRPr="00925A18">
        <w:rPr>
          <w:rFonts w:ascii="Arial" w:hAnsi="Arial" w:cs="Arial"/>
        </w:rPr>
        <w:t>(UNCIEF 2018). Viral load suppression is particularly low among children at 18.4%</w:t>
      </w:r>
      <w:r w:rsidR="000312E5">
        <w:rPr>
          <w:rFonts w:ascii="Arial" w:hAnsi="Arial" w:cs="Arial"/>
        </w:rPr>
        <w:t xml:space="preserve"> of children </w:t>
      </w:r>
      <w:r w:rsidR="0064760A">
        <w:rPr>
          <w:rFonts w:ascii="Arial" w:hAnsi="Arial" w:cs="Arial"/>
        </w:rPr>
        <w:t xml:space="preserve">living with HIV </w:t>
      </w:r>
      <w:r w:rsidR="00CD3475" w:rsidRPr="00925A18">
        <w:rPr>
          <w:rFonts w:ascii="Arial" w:hAnsi="Arial" w:cs="Arial"/>
        </w:rPr>
        <w:t xml:space="preserve">(UNICEF </w:t>
      </w:r>
      <w:r w:rsidR="00F07840">
        <w:rPr>
          <w:rFonts w:ascii="Arial" w:hAnsi="Arial" w:cs="Arial"/>
        </w:rPr>
        <w:t xml:space="preserve">and </w:t>
      </w:r>
      <w:r w:rsidR="001332DF">
        <w:rPr>
          <w:rFonts w:ascii="Arial" w:hAnsi="Arial" w:cs="Arial"/>
        </w:rPr>
        <w:t xml:space="preserve">MoHCDGEC </w:t>
      </w:r>
      <w:r w:rsidR="00F07840">
        <w:rPr>
          <w:rFonts w:ascii="Arial" w:hAnsi="Arial" w:cs="Arial"/>
        </w:rPr>
        <w:t>2018</w:t>
      </w:r>
      <w:r w:rsidR="00CD3475" w:rsidRPr="00925A18">
        <w:rPr>
          <w:rFonts w:ascii="Arial" w:hAnsi="Arial" w:cs="Arial"/>
        </w:rPr>
        <w:t>).</w:t>
      </w:r>
      <w:r w:rsidR="001758A3">
        <w:rPr>
          <w:rFonts w:ascii="Arial" w:hAnsi="Arial" w:cs="Arial"/>
        </w:rPr>
        <w:t xml:space="preserve"> See Annex </w:t>
      </w:r>
      <w:r w:rsidR="00B61AA0">
        <w:rPr>
          <w:rFonts w:ascii="Arial" w:hAnsi="Arial" w:cs="Arial"/>
        </w:rPr>
        <w:t>3</w:t>
      </w:r>
      <w:r w:rsidR="001758A3">
        <w:rPr>
          <w:rFonts w:ascii="Arial" w:hAnsi="Arial" w:cs="Arial"/>
        </w:rPr>
        <w:t xml:space="preserve"> for complete breakdown of prevalence by age group.</w:t>
      </w:r>
    </w:p>
    <w:p w14:paraId="4B3231DA" w14:textId="3A64AEAE" w:rsidR="00BD2E89" w:rsidRDefault="00BD2E89" w:rsidP="00C759BF">
      <w:pPr>
        <w:spacing w:after="0"/>
        <w:rPr>
          <w:rFonts w:ascii="Arial" w:hAnsi="Arial" w:cs="Arial"/>
        </w:rPr>
      </w:pPr>
    </w:p>
    <w:p w14:paraId="394481CC" w14:textId="79E47836" w:rsidR="00CD3475" w:rsidRPr="00D869BE" w:rsidRDefault="00CD3475" w:rsidP="00D869BE">
      <w:pPr>
        <w:pStyle w:val="Heading3"/>
        <w:rPr>
          <w:rFonts w:ascii="Arial" w:hAnsi="Arial" w:cs="Arial"/>
          <w:i/>
          <w:color w:val="000000" w:themeColor="text1"/>
        </w:rPr>
      </w:pPr>
      <w:bookmarkStart w:id="37" w:name="_Toc57035137"/>
      <w:r w:rsidRPr="00D869BE">
        <w:rPr>
          <w:rFonts w:ascii="Arial" w:hAnsi="Arial" w:cs="Arial"/>
          <w:i/>
          <w:color w:val="000000" w:themeColor="text1"/>
        </w:rPr>
        <w:t>Gender disparities</w:t>
      </w:r>
      <w:bookmarkEnd w:id="37"/>
    </w:p>
    <w:p w14:paraId="46B27BA1" w14:textId="111F5D0E" w:rsidR="00CD3475" w:rsidRDefault="00CD3475" w:rsidP="00C759BF">
      <w:pPr>
        <w:spacing w:after="0"/>
        <w:rPr>
          <w:rFonts w:ascii="Arial" w:hAnsi="Arial" w:cs="Arial"/>
        </w:rPr>
      </w:pPr>
    </w:p>
    <w:p w14:paraId="14345098" w14:textId="20D2812E" w:rsidR="00D869BE" w:rsidRPr="00925A18" w:rsidRDefault="00D869BE" w:rsidP="00C759BF">
      <w:pPr>
        <w:spacing w:after="0"/>
        <w:rPr>
          <w:rFonts w:ascii="Arial" w:hAnsi="Arial" w:cs="Arial"/>
        </w:rPr>
        <w:sectPr w:rsidR="00D869BE" w:rsidRPr="00925A18">
          <w:footerReference w:type="default" r:id="rId23"/>
          <w:pgSz w:w="12240" w:h="15840"/>
          <w:pgMar w:top="1440" w:right="1440" w:bottom="1440" w:left="1440" w:header="720" w:footer="720" w:gutter="0"/>
          <w:cols w:space="720"/>
          <w:docGrid w:linePitch="360"/>
        </w:sectPr>
      </w:pPr>
    </w:p>
    <w:p w14:paraId="2884ECEC" w14:textId="030866CC" w:rsidR="00F32269" w:rsidRDefault="000213F8" w:rsidP="00D869BE">
      <w:pPr>
        <w:spacing w:after="0"/>
        <w:rPr>
          <w:rFonts w:ascii="Arial" w:hAnsi="Arial" w:cs="Arial"/>
        </w:rPr>
      </w:pPr>
      <w:r>
        <w:rPr>
          <w:noProof/>
        </w:rPr>
        <mc:AlternateContent>
          <mc:Choice Requires="wps">
            <w:drawing>
              <wp:anchor distT="0" distB="0" distL="114300" distR="114300" simplePos="0" relativeHeight="251779072" behindDoc="0" locked="0" layoutInCell="1" allowOverlap="1" wp14:anchorId="593B4113" wp14:editId="4461685D">
                <wp:simplePos x="0" y="0"/>
                <wp:positionH relativeFrom="column">
                  <wp:posOffset>2301240</wp:posOffset>
                </wp:positionH>
                <wp:positionV relativeFrom="paragraph">
                  <wp:posOffset>1161415</wp:posOffset>
                </wp:positionV>
                <wp:extent cx="3878580" cy="514350"/>
                <wp:effectExtent l="0" t="0" r="762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514350"/>
                        </a:xfrm>
                        <a:prstGeom prst="rect">
                          <a:avLst/>
                        </a:prstGeom>
                        <a:solidFill>
                          <a:srgbClr val="FFFFFF"/>
                        </a:solidFill>
                        <a:ln w="9525">
                          <a:noFill/>
                          <a:miter lim="800000"/>
                          <a:headEnd/>
                          <a:tailEnd/>
                        </a:ln>
                      </wps:spPr>
                      <wps:txbx>
                        <w:txbxContent>
                          <w:p w14:paraId="1E789DC2" w14:textId="77777777" w:rsidR="00426F25" w:rsidRPr="006415B8" w:rsidRDefault="00426F25" w:rsidP="00DF76DE">
                            <w:pPr>
                              <w:spacing w:after="0"/>
                              <w:rPr>
                                <w:rFonts w:ascii="Arial" w:hAnsi="Arial" w:cs="Arial"/>
                                <w:sz w:val="16"/>
                                <w:szCs w:val="16"/>
                              </w:rPr>
                            </w:pPr>
                            <w:r w:rsidRPr="006415B8">
                              <w:rPr>
                                <w:rFonts w:ascii="Arial" w:hAnsi="Arial" w:cs="Arial"/>
                                <w:sz w:val="16"/>
                                <w:szCs w:val="16"/>
                              </w:rPr>
                              <w:t xml:space="preserve">Source: Tanzania Commission for AIDS (TACAIDS), Zanzibar AIDS Commission (ZAC) (2018). Tanzania HIV Impact Survey (THIS) 2016-2017: Final Report. Dar es Salaam, Tanzania. </w:t>
                            </w:r>
                          </w:p>
                          <w:p w14:paraId="1448CD28" w14:textId="77777777" w:rsidR="00426F25" w:rsidRPr="006415B8" w:rsidRDefault="00426F25" w:rsidP="00DF76DE">
                            <w:pPr>
                              <w:rPr>
                                <w:rFonts w:ascii="Arial" w:hAnsi="Arial" w:cs="Arial"/>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3B4113" id="_x0000_s1029" type="#_x0000_t202" style="position:absolute;margin-left:181.2pt;margin-top:91.45pt;width:305.4pt;height:4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" stroked="f">
                <v:textbox>
                  <w:txbxContent>
                    <w:p w14:paraId="1E789DC2" w14:textId="77777777" w:rsidR="00426F25" w:rsidRPr="006415B8" w:rsidRDefault="00426F25" w:rsidP="00DF76DE">
                      <w:pPr>
                        <w:spacing w:after="0"/>
                        <w:rPr>
                          <w:rFonts w:ascii="Arial" w:hAnsi="Arial" w:cs="Arial"/>
                          <w:sz w:val="16"/>
                          <w:szCs w:val="16"/>
                        </w:rPr>
                      </w:pPr>
                      <w:r w:rsidRPr="006415B8">
                        <w:rPr>
                          <w:rFonts w:ascii="Arial" w:hAnsi="Arial" w:cs="Arial"/>
                          <w:sz w:val="16"/>
                          <w:szCs w:val="16"/>
                        </w:rPr>
                        <w:t xml:space="preserve">Source: Tanzania Commission for AIDS (TACAIDS), Zanzibar AIDS Commission (ZAC) (2018). Tanzania HIV Impact Survey (THIS) 2016-2017: Final Report. Dar es Salaam, Tanzania. </w:t>
                      </w:r>
                    </w:p>
                    <w:p w14:paraId="1448CD28" w14:textId="77777777" w:rsidR="00426F25" w:rsidRPr="006415B8" w:rsidRDefault="00426F25" w:rsidP="00DF76DE">
                      <w:pPr>
                        <w:rPr>
                          <w:rFonts w:ascii="Arial" w:hAnsi="Arial" w:cs="Arial"/>
                          <w:sz w:val="16"/>
                          <w:szCs w:val="16"/>
                        </w:rPr>
                      </w:pPr>
                    </w:p>
                  </w:txbxContent>
                </v:textbox>
                <w10:wrap type="square"/>
              </v:shape>
            </w:pict>
          </mc:Fallback>
        </mc:AlternateContent>
      </w:r>
      <w:r w:rsidR="00CD3475" w:rsidRPr="00925A18">
        <w:rPr>
          <w:rFonts w:ascii="Arial" w:hAnsi="Arial" w:cs="Arial"/>
        </w:rPr>
        <w:t xml:space="preserve">The HIV epidemic continues to disproportionately affect females. While the overall prevalence among adults 15-64 years is 5.0%, the prevalence among female adults is 6.5% </w:t>
      </w:r>
      <w:r w:rsidR="00CD3475">
        <w:rPr>
          <w:rFonts w:ascii="Arial" w:hAnsi="Arial" w:cs="Arial"/>
        </w:rPr>
        <w:t>compared to</w:t>
      </w:r>
      <w:r w:rsidR="00CD3475" w:rsidRPr="00925A18">
        <w:rPr>
          <w:rFonts w:ascii="Arial" w:hAnsi="Arial" w:cs="Arial"/>
        </w:rPr>
        <w:t xml:space="preserve"> 3.5% among male adults</w:t>
      </w:r>
      <w:r w:rsidR="00CD3475">
        <w:rPr>
          <w:rFonts w:ascii="Arial" w:hAnsi="Arial" w:cs="Arial"/>
        </w:rPr>
        <w:t xml:space="preserve"> (</w:t>
      </w:r>
      <w:r w:rsidR="006415B8">
        <w:rPr>
          <w:rFonts w:ascii="Arial" w:hAnsi="Arial" w:cs="Arial"/>
        </w:rPr>
        <w:t>TACAIDS and ZAC 2018</w:t>
      </w:r>
      <w:r w:rsidR="00CD3475">
        <w:rPr>
          <w:rFonts w:ascii="Arial" w:hAnsi="Arial" w:cs="Arial"/>
        </w:rPr>
        <w:t>)</w:t>
      </w:r>
      <w:r w:rsidR="00CD3475" w:rsidRPr="00925A18">
        <w:rPr>
          <w:rFonts w:ascii="Arial" w:hAnsi="Arial" w:cs="Arial"/>
        </w:rPr>
        <w:t xml:space="preserve">. Females have a higher burden of HIV across all age groups, and about twice </w:t>
      </w:r>
      <w:r w:rsidR="00CD3475">
        <w:rPr>
          <w:rFonts w:ascii="Arial" w:hAnsi="Arial" w:cs="Arial"/>
        </w:rPr>
        <w:t>in age groups</w:t>
      </w:r>
      <w:r w:rsidR="00CD3475" w:rsidRPr="00925A18">
        <w:rPr>
          <w:rFonts w:ascii="Arial" w:hAnsi="Arial" w:cs="Arial"/>
        </w:rPr>
        <w:t xml:space="preserve"> 15-39 years (</w:t>
      </w:r>
      <w:r w:rsidR="006415B8">
        <w:rPr>
          <w:rFonts w:ascii="Arial" w:hAnsi="Arial" w:cs="Arial"/>
        </w:rPr>
        <w:t>TACAIDS and ZAC 2018</w:t>
      </w:r>
      <w:r w:rsidR="00CD3475" w:rsidRPr="00925A18">
        <w:rPr>
          <w:rFonts w:ascii="Arial" w:hAnsi="Arial" w:cs="Arial"/>
        </w:rPr>
        <w:t xml:space="preserve">), as shown in </w:t>
      </w:r>
      <w:r w:rsidR="00CD3475" w:rsidRPr="00925A18">
        <w:rPr>
          <w:rFonts w:ascii="Arial" w:hAnsi="Arial" w:cs="Arial"/>
          <w:i/>
        </w:rPr>
        <w:t xml:space="preserve">Figure </w:t>
      </w:r>
      <w:r w:rsidR="00F77BBE">
        <w:rPr>
          <w:rFonts w:ascii="Arial" w:hAnsi="Arial" w:cs="Arial"/>
          <w:i/>
        </w:rPr>
        <w:t>2-</w:t>
      </w:r>
      <w:r w:rsidR="00BD2E89">
        <w:rPr>
          <w:rFonts w:ascii="Arial" w:hAnsi="Arial" w:cs="Arial"/>
          <w:i/>
        </w:rPr>
        <w:t>2</w:t>
      </w:r>
      <w:r w:rsidR="00CD3475">
        <w:rPr>
          <w:rFonts w:ascii="Arial" w:hAnsi="Arial" w:cs="Arial"/>
        </w:rPr>
        <w:t xml:space="preserve">). </w:t>
      </w:r>
      <w:r w:rsidR="00D5380A">
        <w:rPr>
          <w:rFonts w:ascii="Arial" w:hAnsi="Arial" w:cs="Arial"/>
        </w:rPr>
        <w:t xml:space="preserve"> </w:t>
      </w:r>
      <w:bookmarkStart w:id="38" w:name="_Hlk10834942"/>
      <w:r>
        <w:rPr>
          <w:rFonts w:ascii="Arial" w:hAnsi="Arial" w:cs="Arial"/>
        </w:rPr>
        <w:t xml:space="preserve">See Annex 3 for the full breakdown of prevalence by age and sex. </w:t>
      </w:r>
      <w:r w:rsidR="00DF76DE">
        <w:rPr>
          <w:rFonts w:ascii="Arial" w:hAnsi="Arial" w:cs="Arial"/>
        </w:rPr>
        <w:t>Females also have a higher incidence of new infections in every age group, except 35-</w:t>
      </w:r>
      <w:r>
        <w:rPr>
          <w:rFonts w:ascii="Arial" w:hAnsi="Arial" w:cs="Arial"/>
        </w:rPr>
        <w:t>4</w:t>
      </w:r>
      <w:r w:rsidR="00DF76DE">
        <w:rPr>
          <w:rFonts w:ascii="Arial" w:hAnsi="Arial" w:cs="Arial"/>
        </w:rPr>
        <w:t>9 years (</w:t>
      </w:r>
      <w:r w:rsidR="00DF76DE" w:rsidRPr="00276364">
        <w:rPr>
          <w:rFonts w:ascii="Arial" w:hAnsi="Arial" w:cs="Arial"/>
          <w:i/>
        </w:rPr>
        <w:t>Figure 2-3</w:t>
      </w:r>
      <w:r w:rsidR="00DF76DE">
        <w:rPr>
          <w:rFonts w:ascii="Arial" w:hAnsi="Arial" w:cs="Arial"/>
        </w:rPr>
        <w:t>).</w:t>
      </w:r>
      <w:r>
        <w:rPr>
          <w:rFonts w:ascii="Arial" w:hAnsi="Arial" w:cs="Arial"/>
        </w:rPr>
        <w:t xml:space="preserve"> The incidence among females 25-34 years is the highest of any age-gender group at 0.7%, over 4-times greater than the incidence among males in this age group (</w:t>
      </w:r>
      <w:r w:rsidRPr="00276364">
        <w:rPr>
          <w:rFonts w:ascii="Arial" w:hAnsi="Arial" w:cs="Arial"/>
          <w:i/>
        </w:rPr>
        <w:t>Figure 2-3</w:t>
      </w:r>
      <w:bookmarkEnd w:id="38"/>
      <w:r>
        <w:rPr>
          <w:rFonts w:ascii="Arial" w:hAnsi="Arial" w:cs="Arial"/>
        </w:rPr>
        <w:t xml:space="preserve">). </w:t>
      </w:r>
      <w:r w:rsidR="00DF76DE">
        <w:rPr>
          <w:rFonts w:ascii="Arial" w:hAnsi="Arial" w:cs="Arial"/>
        </w:rPr>
        <w:t xml:space="preserve"> </w:t>
      </w:r>
    </w:p>
    <w:p w14:paraId="58F79AAA" w14:textId="2DF55F73" w:rsidR="00260C9C" w:rsidRDefault="00260C9C" w:rsidP="00074B8A">
      <w:pPr>
        <w:pStyle w:val="Heading3"/>
        <w:rPr>
          <w:rFonts w:ascii="Arial" w:hAnsi="Arial" w:cs="Arial"/>
          <w:i/>
          <w:color w:val="000000" w:themeColor="text1"/>
        </w:rPr>
      </w:pPr>
    </w:p>
    <w:p w14:paraId="395B83A3" w14:textId="77777777" w:rsidR="00260C9C" w:rsidRPr="00260C9C" w:rsidRDefault="00260C9C" w:rsidP="00260C9C">
      <w:pPr>
        <w:spacing w:after="0"/>
      </w:pPr>
    </w:p>
    <w:p w14:paraId="2920D8FD" w14:textId="28F4F8C0" w:rsidR="00074B8A" w:rsidRDefault="00CD3475" w:rsidP="00074B8A">
      <w:pPr>
        <w:pStyle w:val="Heading3"/>
        <w:rPr>
          <w:rFonts w:ascii="Arial" w:hAnsi="Arial" w:cs="Arial"/>
        </w:rPr>
      </w:pPr>
      <w:bookmarkStart w:id="39" w:name="_Toc57035138"/>
      <w:r w:rsidRPr="00D869BE">
        <w:rPr>
          <w:rFonts w:ascii="Arial" w:hAnsi="Arial" w:cs="Arial"/>
          <w:i/>
          <w:color w:val="000000" w:themeColor="text1"/>
        </w:rPr>
        <w:lastRenderedPageBreak/>
        <w:t>Regional variatio</w:t>
      </w:r>
      <w:r w:rsidR="00BD2E89">
        <w:rPr>
          <w:rFonts w:ascii="Arial" w:hAnsi="Arial" w:cs="Arial"/>
          <w:i/>
          <w:color w:val="000000" w:themeColor="text1"/>
        </w:rPr>
        <w:t>n</w:t>
      </w:r>
      <w:bookmarkEnd w:id="39"/>
    </w:p>
    <w:p w14:paraId="1FF8288A" w14:textId="1519F6A1" w:rsidR="00074B8A" w:rsidRPr="00276364" w:rsidRDefault="00074B8A">
      <w:pPr>
        <w:spacing w:after="0"/>
      </w:pPr>
    </w:p>
    <w:p w14:paraId="10E5E105" w14:textId="357D75E6" w:rsidR="00CD3475" w:rsidRDefault="00CD3475" w:rsidP="00C759BF">
      <w:pPr>
        <w:spacing w:after="0"/>
        <w:rPr>
          <w:rFonts w:ascii="Arial" w:hAnsi="Arial" w:cs="Arial"/>
        </w:rPr>
      </w:pPr>
      <w:r w:rsidRPr="00925A18">
        <w:rPr>
          <w:rFonts w:ascii="Arial" w:hAnsi="Arial" w:cs="Arial"/>
        </w:rPr>
        <w:t>Significant differences in HIV prevalence also exist across regions.  Overall, HIV prevalence is higher in urban areas than rural areas at 7.5% compared to 4.5% (</w:t>
      </w:r>
      <w:r w:rsidR="006415B8">
        <w:rPr>
          <w:rFonts w:ascii="Arial" w:hAnsi="Arial" w:cs="Arial"/>
        </w:rPr>
        <w:t>TACAIDS 2018</w:t>
      </w:r>
      <w:r w:rsidRPr="00925A18">
        <w:rPr>
          <w:rFonts w:ascii="Arial" w:hAnsi="Arial" w:cs="Arial"/>
        </w:rPr>
        <w:t>). The highest regional prevalence among adults 15 years and older is in Njombe at 11.4%</w:t>
      </w:r>
      <w:r>
        <w:rPr>
          <w:rFonts w:ascii="Arial" w:hAnsi="Arial" w:cs="Arial"/>
        </w:rPr>
        <w:t>,</w:t>
      </w:r>
      <w:r w:rsidRPr="00925A18">
        <w:rPr>
          <w:rFonts w:ascii="Arial" w:hAnsi="Arial" w:cs="Arial"/>
        </w:rPr>
        <w:t xml:space="preserve"> while the lowest regional prevalence is less than 1%, as seen in seen in Zanzibar and Lindi (</w:t>
      </w:r>
      <w:r w:rsidR="006415B8">
        <w:rPr>
          <w:rFonts w:ascii="Arial" w:hAnsi="Arial" w:cs="Arial"/>
        </w:rPr>
        <w:t>TACAIDS</w:t>
      </w:r>
      <w:r w:rsidRPr="00925A18">
        <w:rPr>
          <w:rFonts w:ascii="Arial" w:hAnsi="Arial" w:cs="Arial"/>
        </w:rPr>
        <w:t xml:space="preserve"> </w:t>
      </w:r>
      <w:r w:rsidR="006415B8">
        <w:rPr>
          <w:rFonts w:ascii="Arial" w:hAnsi="Arial" w:cs="Arial"/>
        </w:rPr>
        <w:t>and ZAC 2018</w:t>
      </w:r>
      <w:r w:rsidRPr="00925A18">
        <w:rPr>
          <w:rFonts w:ascii="Arial" w:hAnsi="Arial" w:cs="Arial"/>
        </w:rPr>
        <w:t>).</w:t>
      </w:r>
      <w:r>
        <w:rPr>
          <w:rFonts w:ascii="Arial" w:hAnsi="Arial" w:cs="Arial"/>
        </w:rPr>
        <w:t xml:space="preserve"> </w:t>
      </w:r>
      <w:r w:rsidRPr="00925A18">
        <w:rPr>
          <w:rFonts w:ascii="Arial" w:hAnsi="Arial" w:cs="Arial"/>
        </w:rPr>
        <w:t xml:space="preserve">About half of the country’s infections are concentrated in seven regions, predominantly in the South-West highlands and West-Central regions. </w:t>
      </w:r>
      <w:r w:rsidRPr="00925A18">
        <w:rPr>
          <w:rFonts w:ascii="Arial" w:hAnsi="Arial" w:cs="Arial"/>
          <w:i/>
        </w:rPr>
        <w:t xml:space="preserve">See Figure </w:t>
      </w:r>
      <w:r w:rsidR="00F77BBE">
        <w:rPr>
          <w:rFonts w:ascii="Arial" w:hAnsi="Arial" w:cs="Arial"/>
          <w:i/>
        </w:rPr>
        <w:t>2-</w:t>
      </w:r>
      <w:r>
        <w:rPr>
          <w:rFonts w:ascii="Arial" w:hAnsi="Arial" w:cs="Arial"/>
          <w:i/>
        </w:rPr>
        <w:t>4</w:t>
      </w:r>
      <w:r w:rsidRPr="00925A18">
        <w:rPr>
          <w:rFonts w:ascii="Arial" w:hAnsi="Arial" w:cs="Arial"/>
        </w:rPr>
        <w:t>. For example, Dar es Salaam accounts for 14% of all infections</w:t>
      </w:r>
      <w:r>
        <w:rPr>
          <w:rFonts w:ascii="Arial" w:hAnsi="Arial" w:cs="Arial"/>
        </w:rPr>
        <w:t xml:space="preserve">, due to high population density, </w:t>
      </w:r>
      <w:r w:rsidRPr="00925A18">
        <w:rPr>
          <w:rFonts w:ascii="Arial" w:hAnsi="Arial" w:cs="Arial"/>
        </w:rPr>
        <w:t>and Mbeya accounts for 11% alone</w:t>
      </w:r>
      <w:r>
        <w:rPr>
          <w:rFonts w:ascii="Arial" w:hAnsi="Arial" w:cs="Arial"/>
        </w:rPr>
        <w:t>, driven by a combination of population density and a very high prevalence of 9.3%</w:t>
      </w:r>
      <w:r w:rsidRPr="00925A18">
        <w:rPr>
          <w:rFonts w:ascii="Arial" w:hAnsi="Arial" w:cs="Arial"/>
        </w:rPr>
        <w:t xml:space="preserve"> (</w:t>
      </w:r>
      <w:r w:rsidR="006415B8">
        <w:rPr>
          <w:rFonts w:ascii="Arial" w:hAnsi="Arial" w:cs="Arial"/>
        </w:rPr>
        <w:t>TACAIDS and UNAIDS 2016</w:t>
      </w:r>
      <w:r w:rsidRPr="00925A18">
        <w:rPr>
          <w:rFonts w:ascii="Arial" w:hAnsi="Arial" w:cs="Arial"/>
        </w:rPr>
        <w:t xml:space="preserve">). Kagera, Tabora, Mwanza, Shinyanga, and Njombe </w:t>
      </w:r>
      <w:r>
        <w:rPr>
          <w:rFonts w:ascii="Arial" w:hAnsi="Arial" w:cs="Arial"/>
        </w:rPr>
        <w:t>each</w:t>
      </w:r>
      <w:r w:rsidRPr="00925A18">
        <w:rPr>
          <w:rFonts w:ascii="Arial" w:hAnsi="Arial" w:cs="Arial"/>
        </w:rPr>
        <w:t xml:space="preserve"> account for about 5% of infections individually or 25% cumulatively. Higher prevalence seen in the Southern Highlands may be due to high levels of migration and major transportation corridors cutting through the region</w:t>
      </w:r>
      <w:r>
        <w:rPr>
          <w:rFonts w:ascii="Arial" w:hAnsi="Arial" w:cs="Arial"/>
        </w:rPr>
        <w:t>s.</w:t>
      </w:r>
    </w:p>
    <w:p w14:paraId="02EE922A" w14:textId="77777777" w:rsidR="00D869BE" w:rsidRDefault="00D869BE" w:rsidP="00C759BF">
      <w:pPr>
        <w:spacing w:after="0"/>
        <w:rPr>
          <w:rFonts w:ascii="Arial" w:hAnsi="Arial" w:cs="Arial"/>
          <w:b/>
          <w:color w:val="4472C4" w:themeColor="accent1"/>
        </w:rPr>
      </w:pPr>
    </w:p>
    <w:p w14:paraId="5DF6298C" w14:textId="69A7DA6C" w:rsidR="00CD3475" w:rsidRDefault="00CD3475" w:rsidP="00D869BE">
      <w:pPr>
        <w:pStyle w:val="Heading3"/>
        <w:rPr>
          <w:rFonts w:ascii="Arial" w:hAnsi="Arial" w:cs="Arial"/>
          <w:i/>
          <w:color w:val="000000" w:themeColor="text1"/>
        </w:rPr>
      </w:pPr>
      <w:bookmarkStart w:id="40" w:name="_Toc57035139"/>
      <w:r w:rsidRPr="00D869BE">
        <w:rPr>
          <w:rFonts w:ascii="Arial" w:hAnsi="Arial" w:cs="Arial"/>
          <w:i/>
          <w:color w:val="000000" w:themeColor="text1"/>
        </w:rPr>
        <w:t>Key populations</w:t>
      </w:r>
      <w:bookmarkEnd w:id="40"/>
    </w:p>
    <w:p w14:paraId="5DD909B1" w14:textId="77777777" w:rsidR="00D869BE" w:rsidRPr="00D869BE" w:rsidRDefault="00D869BE" w:rsidP="00444084">
      <w:pPr>
        <w:spacing w:after="0"/>
      </w:pPr>
    </w:p>
    <w:p w14:paraId="75BB0492" w14:textId="7BAC1080" w:rsidR="00CD3475" w:rsidRDefault="00CD3475" w:rsidP="00C759BF">
      <w:pPr>
        <w:spacing w:after="0"/>
        <w:rPr>
          <w:rFonts w:ascii="Arial" w:hAnsi="Arial" w:cs="Arial"/>
        </w:rPr>
      </w:pPr>
      <w:r w:rsidRPr="00925A18">
        <w:rPr>
          <w:rFonts w:ascii="Arial" w:hAnsi="Arial" w:cs="Arial"/>
        </w:rPr>
        <w:t xml:space="preserve">Key populations including female sex workers (FSW), </w:t>
      </w:r>
      <w:r>
        <w:rPr>
          <w:rFonts w:ascii="Arial" w:hAnsi="Arial" w:cs="Arial"/>
        </w:rPr>
        <w:t xml:space="preserve">men who have sex with men (MSM) </w:t>
      </w:r>
      <w:r w:rsidRPr="00925A18">
        <w:rPr>
          <w:rFonts w:ascii="Arial" w:hAnsi="Arial" w:cs="Arial"/>
        </w:rPr>
        <w:t xml:space="preserve">and people who inject drugs (PWID) continue to face discrimination and stigma in accessing </w:t>
      </w:r>
      <w:r>
        <w:rPr>
          <w:rFonts w:ascii="Arial" w:hAnsi="Arial" w:cs="Arial"/>
        </w:rPr>
        <w:t>prevention and treatment services, which</w:t>
      </w:r>
      <w:r w:rsidRPr="00925A18">
        <w:rPr>
          <w:rFonts w:ascii="Arial" w:hAnsi="Arial" w:cs="Arial"/>
        </w:rPr>
        <w:t xml:space="preserve"> puts them at higher risk of infection</w:t>
      </w:r>
      <w:r>
        <w:rPr>
          <w:rFonts w:ascii="Arial" w:hAnsi="Arial" w:cs="Arial"/>
        </w:rPr>
        <w:t xml:space="preserve"> and poorer disease outcomes</w:t>
      </w:r>
      <w:r w:rsidRPr="00925A18">
        <w:rPr>
          <w:rFonts w:ascii="Arial" w:hAnsi="Arial" w:cs="Arial"/>
        </w:rPr>
        <w:t xml:space="preserve"> (</w:t>
      </w:r>
      <w:r w:rsidR="002F7FD7">
        <w:rPr>
          <w:rFonts w:ascii="Arial" w:hAnsi="Arial" w:cs="Arial"/>
        </w:rPr>
        <w:t>NACP 2014</w:t>
      </w:r>
      <w:r w:rsidRPr="00925A18">
        <w:rPr>
          <w:rFonts w:ascii="Arial" w:hAnsi="Arial" w:cs="Arial"/>
        </w:rPr>
        <w:t xml:space="preserve">).  </w:t>
      </w:r>
      <w:r>
        <w:rPr>
          <w:rFonts w:ascii="Arial" w:hAnsi="Arial" w:cs="Arial"/>
        </w:rPr>
        <w:t xml:space="preserve">In 2014, it was estimated that there </w:t>
      </w:r>
      <w:r w:rsidR="00F32269">
        <w:rPr>
          <w:rFonts w:ascii="Arial" w:hAnsi="Arial" w:cs="Arial"/>
        </w:rPr>
        <w:t>we</w:t>
      </w:r>
      <w:r>
        <w:rPr>
          <w:rFonts w:ascii="Arial" w:hAnsi="Arial" w:cs="Arial"/>
        </w:rPr>
        <w:t xml:space="preserve">re 155,450 FSW, 49,700 MSM, and 30,000 PWID </w:t>
      </w:r>
      <w:r w:rsidR="00C40CE2">
        <w:rPr>
          <w:rFonts w:ascii="Arial" w:hAnsi="Arial" w:cs="Arial"/>
        </w:rPr>
        <w:t xml:space="preserve">in Tanzania </w:t>
      </w:r>
      <w:r>
        <w:rPr>
          <w:rFonts w:ascii="Arial" w:hAnsi="Arial" w:cs="Arial"/>
        </w:rPr>
        <w:t>(</w:t>
      </w:r>
      <w:r w:rsidR="006415B8">
        <w:rPr>
          <w:rFonts w:ascii="Arial" w:hAnsi="Arial" w:cs="Arial"/>
        </w:rPr>
        <w:t>TACAIDS and UNAIDS 2016</w:t>
      </w:r>
      <w:r>
        <w:rPr>
          <w:rFonts w:ascii="Arial" w:hAnsi="Arial" w:cs="Arial"/>
        </w:rPr>
        <w:t xml:space="preserve">). </w:t>
      </w:r>
      <w:r w:rsidRPr="00925A18">
        <w:rPr>
          <w:rFonts w:ascii="Arial" w:hAnsi="Arial" w:cs="Arial"/>
          <w:lang w:val="en-GB"/>
        </w:rPr>
        <w:t xml:space="preserve">The HIV prevalence </w:t>
      </w:r>
      <w:r>
        <w:rPr>
          <w:rFonts w:ascii="Arial" w:hAnsi="Arial" w:cs="Arial"/>
          <w:lang w:val="en-GB"/>
        </w:rPr>
        <w:t>among</w:t>
      </w:r>
      <w:r w:rsidRPr="00925A18">
        <w:rPr>
          <w:rFonts w:ascii="Arial" w:hAnsi="Arial" w:cs="Arial"/>
          <w:lang w:val="en-GB"/>
        </w:rPr>
        <w:t xml:space="preserve"> FSW is estimated at 26%, </w:t>
      </w:r>
      <w:r>
        <w:rPr>
          <w:rFonts w:ascii="Arial" w:hAnsi="Arial" w:cs="Arial"/>
          <w:lang w:val="en-GB"/>
        </w:rPr>
        <w:t xml:space="preserve">for </w:t>
      </w:r>
      <w:r w:rsidRPr="00925A18">
        <w:rPr>
          <w:rFonts w:ascii="Arial" w:hAnsi="Arial" w:cs="Arial"/>
          <w:lang w:val="en-GB"/>
        </w:rPr>
        <w:t>MSM at 25% and</w:t>
      </w:r>
      <w:r>
        <w:rPr>
          <w:rFonts w:ascii="Arial" w:hAnsi="Arial" w:cs="Arial"/>
          <w:lang w:val="en-GB"/>
        </w:rPr>
        <w:t xml:space="preserve"> for</w:t>
      </w:r>
      <w:r w:rsidRPr="00925A18">
        <w:rPr>
          <w:rFonts w:ascii="Arial" w:hAnsi="Arial" w:cs="Arial"/>
          <w:lang w:val="en-GB"/>
        </w:rPr>
        <w:t xml:space="preserve"> PWID at 36% (</w:t>
      </w:r>
      <w:r w:rsidR="006415B8">
        <w:rPr>
          <w:rFonts w:ascii="Arial" w:hAnsi="Arial" w:cs="Arial"/>
          <w:lang w:val="en-GB"/>
        </w:rPr>
        <w:t>TACAIDS 2018</w:t>
      </w:r>
      <w:r w:rsidRPr="00925A18">
        <w:rPr>
          <w:rFonts w:ascii="Arial" w:hAnsi="Arial" w:cs="Arial"/>
          <w:lang w:val="en-GB"/>
        </w:rPr>
        <w:t xml:space="preserve">). </w:t>
      </w:r>
      <w:r w:rsidRPr="00925A18">
        <w:rPr>
          <w:rFonts w:ascii="Arial" w:hAnsi="Arial" w:cs="Arial"/>
        </w:rPr>
        <w:t>Injection drug use is on the rise in urban centers</w:t>
      </w:r>
      <w:r>
        <w:rPr>
          <w:rFonts w:ascii="Arial" w:hAnsi="Arial" w:cs="Arial"/>
        </w:rPr>
        <w:t>, suggesting even more individuals could be at risk of infections</w:t>
      </w:r>
      <w:r w:rsidRPr="00925A18">
        <w:rPr>
          <w:rFonts w:ascii="Arial" w:hAnsi="Arial" w:cs="Arial"/>
        </w:rPr>
        <w:t xml:space="preserve"> (</w:t>
      </w:r>
      <w:r w:rsidR="006415B8">
        <w:rPr>
          <w:rFonts w:ascii="Arial" w:hAnsi="Arial" w:cs="Arial"/>
        </w:rPr>
        <w:t xml:space="preserve">PEPFAR </w:t>
      </w:r>
      <w:r w:rsidRPr="00925A18">
        <w:rPr>
          <w:rFonts w:ascii="Arial" w:hAnsi="Arial" w:cs="Arial"/>
        </w:rPr>
        <w:t>2018</w:t>
      </w:r>
      <w:r w:rsidR="005B7907">
        <w:rPr>
          <w:rFonts w:ascii="Arial" w:hAnsi="Arial" w:cs="Arial"/>
        </w:rPr>
        <w:t>a</w:t>
      </w:r>
      <w:r w:rsidRPr="00925A18">
        <w:rPr>
          <w:rFonts w:ascii="Arial" w:hAnsi="Arial" w:cs="Arial"/>
        </w:rPr>
        <w:t>).</w:t>
      </w:r>
      <w:r>
        <w:rPr>
          <w:rFonts w:ascii="Arial" w:hAnsi="Arial" w:cs="Arial"/>
        </w:rPr>
        <w:t xml:space="preserve"> </w:t>
      </w:r>
      <w:r w:rsidRPr="005F4AEF">
        <w:rPr>
          <w:rFonts w:ascii="Arial" w:hAnsi="Arial" w:cs="Arial"/>
        </w:rPr>
        <w:t>HIV prevalence among transgender populations in Tanzania is unknown.</w:t>
      </w:r>
      <w:r>
        <w:rPr>
          <w:rFonts w:ascii="Arial" w:hAnsi="Arial" w:cs="Arial"/>
        </w:rPr>
        <w:t xml:space="preserve">  About 69% of FSW have accessed a combined package of prevention services, compared to 28% of MSM (</w:t>
      </w:r>
      <w:r w:rsidR="006415B8">
        <w:rPr>
          <w:rFonts w:ascii="Arial" w:hAnsi="Arial" w:cs="Arial"/>
        </w:rPr>
        <w:t>CCM 2017</w:t>
      </w:r>
      <w:r>
        <w:rPr>
          <w:rFonts w:ascii="Arial" w:hAnsi="Arial" w:cs="Arial"/>
        </w:rPr>
        <w:t>). There are only 3 opioid substitution therapy clinics in Tanzania, and only 20% of PWID have access to prevention and OST services (</w:t>
      </w:r>
      <w:r w:rsidR="000A1997">
        <w:rPr>
          <w:rFonts w:ascii="Arial" w:hAnsi="Arial" w:cs="Arial"/>
        </w:rPr>
        <w:t xml:space="preserve">CCM </w:t>
      </w:r>
      <w:r>
        <w:rPr>
          <w:rFonts w:ascii="Arial" w:hAnsi="Arial" w:cs="Arial"/>
        </w:rPr>
        <w:t xml:space="preserve">2017). </w:t>
      </w:r>
    </w:p>
    <w:p w14:paraId="7151C7C6" w14:textId="77777777" w:rsidR="00D869BE" w:rsidRDefault="00D869BE" w:rsidP="00C759BF">
      <w:pPr>
        <w:spacing w:after="0"/>
        <w:rPr>
          <w:rFonts w:ascii="Arial" w:hAnsi="Arial" w:cs="Arial"/>
        </w:rPr>
      </w:pPr>
    </w:p>
    <w:p w14:paraId="17FB9C9B" w14:textId="6969E2F9" w:rsidR="00CD3475" w:rsidRDefault="00CD3475" w:rsidP="00D869BE">
      <w:pPr>
        <w:pStyle w:val="Heading3"/>
        <w:rPr>
          <w:rFonts w:ascii="Arial" w:hAnsi="Arial" w:cs="Arial"/>
          <w:i/>
          <w:color w:val="000000" w:themeColor="text1"/>
        </w:rPr>
      </w:pPr>
      <w:bookmarkStart w:id="41" w:name="_Toc57035140"/>
      <w:r w:rsidRPr="00D869BE">
        <w:rPr>
          <w:rFonts w:ascii="Arial" w:hAnsi="Arial" w:cs="Arial"/>
          <w:i/>
          <w:color w:val="000000" w:themeColor="text1"/>
        </w:rPr>
        <w:t>Summary of key epidemiological trends</w:t>
      </w:r>
      <w:bookmarkEnd w:id="41"/>
    </w:p>
    <w:p w14:paraId="1E3567F7" w14:textId="77777777" w:rsidR="00D869BE" w:rsidRPr="00D869BE" w:rsidRDefault="00D869BE" w:rsidP="00276364">
      <w:pPr>
        <w:spacing w:after="0"/>
      </w:pPr>
    </w:p>
    <w:p w14:paraId="2AB392D1" w14:textId="02636C9C" w:rsidR="00CD3475" w:rsidRDefault="00CD3475" w:rsidP="00C759BF">
      <w:pPr>
        <w:spacing w:after="0"/>
        <w:rPr>
          <w:rFonts w:ascii="Arial" w:hAnsi="Arial" w:cs="Arial"/>
          <w:color w:val="000000" w:themeColor="text1"/>
        </w:rPr>
      </w:pPr>
      <w:r>
        <w:rPr>
          <w:rFonts w:ascii="Arial" w:hAnsi="Arial" w:cs="Arial"/>
          <w:color w:val="000000" w:themeColor="text1"/>
        </w:rPr>
        <w:t xml:space="preserve">In summary, the following epidemiological trends should guide strategic decision-making for setting priorities of the future of the national response. In particular, prioritization exercises should seek to target the groups most affected, especially in resource-constrained circumstances where only limited funds are available to underpin efforts to reach national targets. </w:t>
      </w:r>
    </w:p>
    <w:p w14:paraId="3B4A4F2D" w14:textId="77777777" w:rsidR="00FD5C8B" w:rsidRDefault="00FD5C8B" w:rsidP="00C759BF">
      <w:pPr>
        <w:spacing w:after="0"/>
        <w:rPr>
          <w:rFonts w:ascii="Arial" w:hAnsi="Arial" w:cs="Arial"/>
          <w:color w:val="000000" w:themeColor="text1"/>
        </w:rPr>
      </w:pPr>
    </w:p>
    <w:p w14:paraId="461431B8" w14:textId="1FF61A15" w:rsidR="00CD3475" w:rsidRDefault="00CD3475" w:rsidP="0058354C">
      <w:pPr>
        <w:pStyle w:val="ListParagraph"/>
        <w:numPr>
          <w:ilvl w:val="0"/>
          <w:numId w:val="14"/>
        </w:numPr>
        <w:spacing w:after="0"/>
        <w:rPr>
          <w:rFonts w:ascii="Arial" w:hAnsi="Arial" w:cs="Arial"/>
        </w:rPr>
      </w:pPr>
      <w:r>
        <w:rPr>
          <w:rFonts w:ascii="Arial" w:hAnsi="Arial" w:cs="Arial"/>
        </w:rPr>
        <w:t>Despite both incidence and mortality declining over time, annual new infections have not fallen as quickly as HIV-related deaths in recent years</w:t>
      </w:r>
      <w:r w:rsidR="007B6146">
        <w:rPr>
          <w:rFonts w:ascii="Arial" w:hAnsi="Arial" w:cs="Arial"/>
        </w:rPr>
        <w:t>.</w:t>
      </w:r>
    </w:p>
    <w:p w14:paraId="0FC438DD" w14:textId="30B0312C" w:rsidR="00CD3475" w:rsidRDefault="0064760A" w:rsidP="0058354C">
      <w:pPr>
        <w:pStyle w:val="ListParagraph"/>
        <w:numPr>
          <w:ilvl w:val="0"/>
          <w:numId w:val="14"/>
        </w:numPr>
        <w:spacing w:after="0"/>
        <w:rPr>
          <w:rFonts w:ascii="Arial" w:hAnsi="Arial" w:cs="Arial"/>
        </w:rPr>
      </w:pPr>
      <w:r>
        <w:rPr>
          <w:rFonts w:ascii="Arial" w:hAnsi="Arial" w:cs="Arial"/>
        </w:rPr>
        <w:t>New infections among a</w:t>
      </w:r>
      <w:r w:rsidR="007B6146">
        <w:rPr>
          <w:rFonts w:ascii="Arial" w:hAnsi="Arial" w:cs="Arial"/>
        </w:rPr>
        <w:t>dolescents and y</w:t>
      </w:r>
      <w:r w:rsidR="00CD3475">
        <w:rPr>
          <w:rFonts w:ascii="Arial" w:hAnsi="Arial" w:cs="Arial"/>
        </w:rPr>
        <w:t xml:space="preserve">oung adults are </w:t>
      </w:r>
      <w:r>
        <w:rPr>
          <w:rFonts w:ascii="Arial" w:hAnsi="Arial" w:cs="Arial"/>
        </w:rPr>
        <w:t>increasing</w:t>
      </w:r>
    </w:p>
    <w:p w14:paraId="725B4531" w14:textId="3ED7E15E" w:rsidR="000213F8" w:rsidRPr="00925A18" w:rsidRDefault="000213F8" w:rsidP="0058354C">
      <w:pPr>
        <w:pStyle w:val="ListParagraph"/>
        <w:numPr>
          <w:ilvl w:val="0"/>
          <w:numId w:val="14"/>
        </w:numPr>
        <w:spacing w:after="0"/>
        <w:rPr>
          <w:rFonts w:ascii="Arial" w:hAnsi="Arial" w:cs="Arial"/>
        </w:rPr>
      </w:pPr>
      <w:r>
        <w:rPr>
          <w:rFonts w:ascii="Arial" w:hAnsi="Arial" w:cs="Arial"/>
        </w:rPr>
        <w:t>Females continue to face a greater burden of HIV than males, with both a higher prevalence and incidence of new infections</w:t>
      </w:r>
    </w:p>
    <w:p w14:paraId="4D067D7A" w14:textId="77777777" w:rsidR="00CD3475" w:rsidRDefault="00CD3475" w:rsidP="0058354C">
      <w:pPr>
        <w:pStyle w:val="ListParagraph"/>
        <w:numPr>
          <w:ilvl w:val="0"/>
          <w:numId w:val="14"/>
        </w:numPr>
        <w:spacing w:after="0"/>
        <w:rPr>
          <w:rFonts w:ascii="Arial" w:hAnsi="Arial" w:cs="Arial"/>
        </w:rPr>
      </w:pPr>
      <w:r>
        <w:rPr>
          <w:rFonts w:ascii="Arial" w:hAnsi="Arial" w:cs="Arial"/>
        </w:rPr>
        <w:t xml:space="preserve">Regional variations in HIV burden persist, with the highest prevalence seen in the </w:t>
      </w:r>
      <w:r w:rsidRPr="00925A18">
        <w:rPr>
          <w:rFonts w:ascii="Arial" w:hAnsi="Arial" w:cs="Arial"/>
        </w:rPr>
        <w:t>South-West highlands and West-Central regions</w:t>
      </w:r>
      <w:r>
        <w:rPr>
          <w:rFonts w:ascii="Arial" w:hAnsi="Arial" w:cs="Arial"/>
        </w:rPr>
        <w:t xml:space="preserve"> </w:t>
      </w:r>
    </w:p>
    <w:p w14:paraId="22FCC4E0" w14:textId="77777777" w:rsidR="00D869BE" w:rsidRPr="00D869BE" w:rsidRDefault="00D869BE" w:rsidP="001A39C8">
      <w:pPr>
        <w:pStyle w:val="ListParagraph"/>
        <w:spacing w:after="0"/>
        <w:rPr>
          <w:rFonts w:ascii="Arial" w:hAnsi="Arial" w:cs="Arial"/>
        </w:rPr>
      </w:pPr>
    </w:p>
    <w:p w14:paraId="1F394E41" w14:textId="591B12EA" w:rsidR="00CD3475" w:rsidRDefault="00CD3475" w:rsidP="00D869BE">
      <w:pPr>
        <w:pStyle w:val="Heading2"/>
        <w:rPr>
          <w:rFonts w:ascii="Arial" w:hAnsi="Arial" w:cs="Arial"/>
          <w:b/>
          <w:color w:val="000000" w:themeColor="text1"/>
        </w:rPr>
      </w:pPr>
      <w:bookmarkStart w:id="42" w:name="_Toc57035141"/>
      <w:bookmarkStart w:id="43" w:name="_Hlk10117792"/>
      <w:r w:rsidRPr="00D869BE">
        <w:rPr>
          <w:rFonts w:ascii="Arial" w:hAnsi="Arial" w:cs="Arial"/>
          <w:b/>
          <w:color w:val="000000" w:themeColor="text1"/>
        </w:rPr>
        <w:t xml:space="preserve">National HIV Program </w:t>
      </w:r>
      <w:r w:rsidR="00F32269">
        <w:rPr>
          <w:rFonts w:ascii="Arial" w:hAnsi="Arial" w:cs="Arial"/>
          <w:b/>
          <w:color w:val="000000" w:themeColor="text1"/>
        </w:rPr>
        <w:t xml:space="preserve">Response </w:t>
      </w:r>
      <w:r w:rsidRPr="00D869BE">
        <w:rPr>
          <w:rFonts w:ascii="Arial" w:hAnsi="Arial" w:cs="Arial"/>
          <w:b/>
          <w:color w:val="000000" w:themeColor="text1"/>
        </w:rPr>
        <w:t>in Tanzania</w:t>
      </w:r>
      <w:bookmarkEnd w:id="42"/>
    </w:p>
    <w:p w14:paraId="5ADC2F63" w14:textId="77777777" w:rsidR="00D869BE" w:rsidRPr="00D869BE" w:rsidRDefault="00D869BE" w:rsidP="00276364">
      <w:pPr>
        <w:spacing w:after="0"/>
      </w:pPr>
    </w:p>
    <w:p w14:paraId="0B06B9A0" w14:textId="762C0973" w:rsidR="00D869BE" w:rsidRDefault="00CD3475" w:rsidP="00D869BE">
      <w:pPr>
        <w:spacing w:after="0" w:line="256" w:lineRule="auto"/>
        <w:rPr>
          <w:rFonts w:ascii="Arial" w:hAnsi="Arial" w:cs="Arial"/>
        </w:rPr>
      </w:pPr>
      <w:r w:rsidRPr="00925A18">
        <w:rPr>
          <w:rFonts w:ascii="Arial" w:hAnsi="Arial" w:cs="Arial"/>
        </w:rPr>
        <w:t>To achieve national goals</w:t>
      </w:r>
      <w:r>
        <w:rPr>
          <w:rFonts w:ascii="Arial" w:hAnsi="Arial" w:cs="Arial"/>
        </w:rPr>
        <w:t xml:space="preserve"> for epidemic control</w:t>
      </w:r>
      <w:r w:rsidRPr="00925A18">
        <w:rPr>
          <w:rFonts w:ascii="Arial" w:hAnsi="Arial" w:cs="Arial"/>
        </w:rPr>
        <w:t xml:space="preserve">, strong and effective prevention and treatment programs are required. NACP and TACAIDS continue to demonstrate leadership in guiding the scale-up and </w:t>
      </w:r>
      <w:r>
        <w:rPr>
          <w:rFonts w:ascii="Arial" w:hAnsi="Arial" w:cs="Arial"/>
        </w:rPr>
        <w:t xml:space="preserve">the </w:t>
      </w:r>
      <w:r w:rsidRPr="00925A18">
        <w:rPr>
          <w:rFonts w:ascii="Arial" w:hAnsi="Arial" w:cs="Arial"/>
        </w:rPr>
        <w:t xml:space="preserve">strategic vision of these critical programs for the response. </w:t>
      </w:r>
      <w:r>
        <w:rPr>
          <w:rFonts w:ascii="Arial" w:hAnsi="Arial" w:cs="Arial"/>
        </w:rPr>
        <w:t xml:space="preserve">The national program has made significant progress historically and in the last five years, but this progress is currently </w:t>
      </w:r>
      <w:r w:rsidR="009F79F0">
        <w:rPr>
          <w:rFonts w:ascii="Arial" w:hAnsi="Arial" w:cs="Arial"/>
        </w:rPr>
        <w:t xml:space="preserve">not </w:t>
      </w:r>
      <w:r>
        <w:rPr>
          <w:rFonts w:ascii="Arial" w:hAnsi="Arial" w:cs="Arial"/>
        </w:rPr>
        <w:t>sufficient to meet</w:t>
      </w:r>
      <w:r w:rsidR="00413412">
        <w:rPr>
          <w:rFonts w:ascii="Arial" w:hAnsi="Arial" w:cs="Arial"/>
        </w:rPr>
        <w:t xml:space="preserve"> </w:t>
      </w:r>
      <w:r>
        <w:rPr>
          <w:rFonts w:ascii="Arial" w:hAnsi="Arial" w:cs="Arial"/>
        </w:rPr>
        <w:t xml:space="preserve">national </w:t>
      </w:r>
      <w:r>
        <w:rPr>
          <w:rFonts w:ascii="Arial" w:hAnsi="Arial" w:cs="Arial"/>
        </w:rPr>
        <w:lastRenderedPageBreak/>
        <w:t xml:space="preserve">goals. New infections </w:t>
      </w:r>
      <w:r w:rsidR="009F79F0">
        <w:rPr>
          <w:rFonts w:ascii="Arial" w:hAnsi="Arial" w:cs="Arial"/>
        </w:rPr>
        <w:t xml:space="preserve">overall </w:t>
      </w:r>
      <w:r>
        <w:rPr>
          <w:rFonts w:ascii="Arial" w:hAnsi="Arial" w:cs="Arial"/>
        </w:rPr>
        <w:t>are not declining quickly enough, and new infections among adolescents and young adults are increasing.</w:t>
      </w:r>
    </w:p>
    <w:p w14:paraId="35CFF570" w14:textId="77777777" w:rsidR="00D869BE" w:rsidRPr="00D869BE" w:rsidRDefault="00D869BE" w:rsidP="00D869BE">
      <w:pPr>
        <w:spacing w:after="0" w:line="256" w:lineRule="auto"/>
        <w:rPr>
          <w:rFonts w:ascii="Arial" w:hAnsi="Arial" w:cs="Arial"/>
        </w:rPr>
      </w:pPr>
    </w:p>
    <w:p w14:paraId="6C531825" w14:textId="6D3AF4EC" w:rsidR="00D869BE" w:rsidRPr="00D869BE" w:rsidRDefault="00475182" w:rsidP="00276364">
      <w:pPr>
        <w:pStyle w:val="Heading3"/>
      </w:pPr>
      <w:bookmarkStart w:id="44" w:name="_Toc57035142"/>
      <w:r>
        <w:rPr>
          <w:rFonts w:ascii="Arial" w:hAnsi="Arial" w:cs="Arial"/>
          <w:i/>
          <w:color w:val="000000" w:themeColor="text1"/>
        </w:rPr>
        <w:t>National HIV program</w:t>
      </w:r>
      <w:bookmarkEnd w:id="44"/>
    </w:p>
    <w:p w14:paraId="194B22AB" w14:textId="77777777" w:rsidR="000213F8" w:rsidRDefault="000213F8" w:rsidP="00C759BF">
      <w:pPr>
        <w:tabs>
          <w:tab w:val="left" w:pos="4188"/>
        </w:tabs>
        <w:spacing w:after="0" w:line="256" w:lineRule="auto"/>
        <w:rPr>
          <w:rFonts w:ascii="Arial" w:hAnsi="Arial" w:cs="Arial"/>
        </w:rPr>
      </w:pPr>
    </w:p>
    <w:p w14:paraId="197C52AC" w14:textId="09D2F341" w:rsidR="0004366C" w:rsidRDefault="00CD3475" w:rsidP="00C759BF">
      <w:pPr>
        <w:tabs>
          <w:tab w:val="left" w:pos="4188"/>
        </w:tabs>
        <w:spacing w:after="0" w:line="256" w:lineRule="auto"/>
        <w:rPr>
          <w:rFonts w:ascii="Arial" w:hAnsi="Arial" w:cs="Arial"/>
          <w:i/>
          <w:sz w:val="18"/>
        </w:rPr>
      </w:pPr>
      <w:r w:rsidRPr="00925A18">
        <w:rPr>
          <w:rFonts w:ascii="Arial" w:hAnsi="Arial" w:cs="Arial"/>
        </w:rPr>
        <w:t xml:space="preserve">In the Investment Case 1.0, </w:t>
      </w:r>
      <w:r>
        <w:rPr>
          <w:rFonts w:ascii="Arial" w:hAnsi="Arial" w:cs="Arial"/>
        </w:rPr>
        <w:t>eight</w:t>
      </w:r>
      <w:r w:rsidRPr="00925A18">
        <w:rPr>
          <w:rFonts w:ascii="Arial" w:hAnsi="Arial" w:cs="Arial"/>
        </w:rPr>
        <w:t xml:space="preserve"> key program areas were</w:t>
      </w:r>
      <w:r w:rsidR="00413412">
        <w:rPr>
          <w:rFonts w:ascii="Arial" w:hAnsi="Arial" w:cs="Arial"/>
        </w:rPr>
        <w:t xml:space="preserve"> extensively</w:t>
      </w:r>
      <w:r w:rsidRPr="00925A18">
        <w:rPr>
          <w:rFonts w:ascii="Arial" w:hAnsi="Arial" w:cs="Arial"/>
        </w:rPr>
        <w:t xml:space="preserve"> reviewed, including</w:t>
      </w:r>
      <w:r w:rsidR="00413412">
        <w:rPr>
          <w:rFonts w:ascii="Arial" w:hAnsi="Arial" w:cs="Arial"/>
        </w:rPr>
        <w:t>:</w:t>
      </w:r>
      <w:r w:rsidRPr="00925A18">
        <w:rPr>
          <w:rFonts w:ascii="Arial" w:hAnsi="Arial" w:cs="Arial"/>
        </w:rPr>
        <w:t xml:space="preserve"> HIV testing &amp; counseling, treatment, VMMC, PMTCT, behavior change and condom promotion, young women &amp; girls, key populations, and new innovations. </w:t>
      </w:r>
      <w:r w:rsidR="00C86D0D" w:rsidRPr="00812C85">
        <w:rPr>
          <w:rFonts w:ascii="Arial" w:hAnsi="Arial" w:cs="Arial"/>
          <w:i/>
        </w:rPr>
        <w:t>Figure</w:t>
      </w:r>
      <w:r w:rsidR="00413412" w:rsidRPr="00812C85">
        <w:rPr>
          <w:rFonts w:ascii="Arial" w:hAnsi="Arial" w:cs="Arial"/>
          <w:i/>
        </w:rPr>
        <w:t xml:space="preserve"> 2</w:t>
      </w:r>
      <w:r w:rsidR="00F77BBE" w:rsidRPr="00812C85">
        <w:rPr>
          <w:rFonts w:ascii="Arial" w:hAnsi="Arial" w:cs="Arial"/>
          <w:i/>
        </w:rPr>
        <w:t>-</w:t>
      </w:r>
      <w:r w:rsidR="00BD2E89">
        <w:rPr>
          <w:rFonts w:ascii="Arial" w:hAnsi="Arial" w:cs="Arial"/>
          <w:i/>
        </w:rPr>
        <w:t>4</w:t>
      </w:r>
      <w:r w:rsidR="00413412">
        <w:rPr>
          <w:rFonts w:ascii="Arial" w:hAnsi="Arial" w:cs="Arial"/>
        </w:rPr>
        <w:t xml:space="preserve"> describes these program areas. </w:t>
      </w:r>
    </w:p>
    <w:p w14:paraId="1E55EEC7" w14:textId="77777777" w:rsidR="00074B8A" w:rsidRDefault="00074B8A" w:rsidP="00C759BF">
      <w:pPr>
        <w:tabs>
          <w:tab w:val="left" w:pos="4188"/>
        </w:tabs>
        <w:spacing w:after="0" w:line="256" w:lineRule="auto"/>
        <w:rPr>
          <w:rFonts w:ascii="Arial" w:hAnsi="Arial" w:cs="Arial"/>
          <w:i/>
          <w:sz w:val="18"/>
        </w:rPr>
      </w:pPr>
    </w:p>
    <w:p w14:paraId="2CC45985" w14:textId="74867EBC" w:rsidR="00CD3475" w:rsidRPr="00925A18" w:rsidRDefault="00C86D0D" w:rsidP="00C759BF">
      <w:pPr>
        <w:tabs>
          <w:tab w:val="left" w:pos="4188"/>
        </w:tabs>
        <w:spacing w:after="0" w:line="256" w:lineRule="auto"/>
        <w:rPr>
          <w:rFonts w:ascii="Arial" w:hAnsi="Arial" w:cs="Arial"/>
          <w:i/>
          <w:sz w:val="18"/>
        </w:rPr>
      </w:pPr>
      <w:r>
        <w:rPr>
          <w:rFonts w:ascii="Arial" w:hAnsi="Arial" w:cs="Arial"/>
          <w:i/>
          <w:sz w:val="18"/>
        </w:rPr>
        <w:t>Figure</w:t>
      </w:r>
      <w:r w:rsidR="00CD3475" w:rsidRPr="00925A18">
        <w:rPr>
          <w:rFonts w:ascii="Arial" w:hAnsi="Arial" w:cs="Arial"/>
          <w:i/>
          <w:sz w:val="18"/>
        </w:rPr>
        <w:t xml:space="preserve"> 2</w:t>
      </w:r>
      <w:r w:rsidR="00F77BBE">
        <w:rPr>
          <w:rFonts w:ascii="Arial" w:hAnsi="Arial" w:cs="Arial"/>
          <w:i/>
          <w:sz w:val="18"/>
        </w:rPr>
        <w:t>-</w:t>
      </w:r>
      <w:r w:rsidR="00BD2E89">
        <w:rPr>
          <w:rFonts w:ascii="Arial" w:hAnsi="Arial" w:cs="Arial"/>
          <w:i/>
          <w:sz w:val="18"/>
        </w:rPr>
        <w:t>4</w:t>
      </w:r>
      <w:r w:rsidR="00F77BBE">
        <w:rPr>
          <w:rFonts w:ascii="Arial" w:hAnsi="Arial" w:cs="Arial"/>
          <w:i/>
          <w:sz w:val="18"/>
        </w:rPr>
        <w:t xml:space="preserve"> </w:t>
      </w:r>
      <w:r w:rsidR="00CD3475" w:rsidRPr="00925A18">
        <w:rPr>
          <w:rFonts w:ascii="Arial" w:hAnsi="Arial" w:cs="Arial"/>
          <w:i/>
          <w:sz w:val="18"/>
        </w:rPr>
        <w:t xml:space="preserve"> </w:t>
      </w:r>
      <w:r w:rsidR="00475182">
        <w:rPr>
          <w:rFonts w:ascii="Arial" w:hAnsi="Arial" w:cs="Arial"/>
          <w:i/>
          <w:sz w:val="18"/>
        </w:rPr>
        <w:t xml:space="preserve"> </w:t>
      </w:r>
      <w:r w:rsidR="00413412">
        <w:rPr>
          <w:rFonts w:ascii="Arial" w:hAnsi="Arial" w:cs="Arial"/>
          <w:i/>
          <w:sz w:val="18"/>
        </w:rPr>
        <w:t>Packages of interventions for key program areas</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429"/>
      </w:tblGrid>
      <w:tr w:rsidR="00C33B8D" w:rsidRPr="00925A18" w14:paraId="4D8DFB85" w14:textId="77777777" w:rsidTr="00276364">
        <w:trPr>
          <w:trHeight w:val="196"/>
        </w:trPr>
        <w:tc>
          <w:tcPr>
            <w:tcW w:w="1255" w:type="dxa"/>
            <w:shd w:val="clear" w:color="auto" w:fill="C00000"/>
          </w:tcPr>
          <w:p w14:paraId="03AB1E35" w14:textId="6B78745F" w:rsidR="00C33B8D" w:rsidRPr="00505F88" w:rsidRDefault="00A215B7" w:rsidP="00276364">
            <w:pPr>
              <w:spacing w:after="0" w:line="256" w:lineRule="auto"/>
              <w:rPr>
                <w:rFonts w:ascii="Arial" w:hAnsi="Arial" w:cs="Arial"/>
                <w:b/>
                <w:color w:val="FFFFFF" w:themeColor="background1"/>
                <w:sz w:val="16"/>
              </w:rPr>
            </w:pPr>
            <w:r w:rsidRPr="00505F88">
              <w:rPr>
                <w:rFonts w:ascii="Arial" w:hAnsi="Arial" w:cs="Arial"/>
                <w:b/>
                <w:color w:val="FFFFFF" w:themeColor="background1"/>
                <w:sz w:val="16"/>
              </w:rPr>
              <w:t>Program area</w:t>
            </w:r>
          </w:p>
        </w:tc>
        <w:tc>
          <w:tcPr>
            <w:tcW w:w="8429" w:type="dxa"/>
            <w:shd w:val="clear" w:color="auto" w:fill="C00000"/>
          </w:tcPr>
          <w:p w14:paraId="1C66C3C0" w14:textId="1407F118" w:rsidR="00C33B8D" w:rsidRPr="00925A18" w:rsidRDefault="00A215B7" w:rsidP="00276364">
            <w:pPr>
              <w:spacing w:after="0" w:line="256" w:lineRule="auto"/>
              <w:rPr>
                <w:rFonts w:ascii="Arial" w:hAnsi="Arial" w:cs="Arial"/>
                <w:b/>
                <w:color w:val="FFFFFF" w:themeColor="background1"/>
                <w:sz w:val="16"/>
              </w:rPr>
            </w:pPr>
            <w:r>
              <w:rPr>
                <w:rFonts w:ascii="Arial" w:hAnsi="Arial" w:cs="Arial"/>
                <w:b/>
                <w:color w:val="FFFFFF" w:themeColor="background1"/>
                <w:sz w:val="16"/>
              </w:rPr>
              <w:t>Package of interventions</w:t>
            </w:r>
          </w:p>
        </w:tc>
      </w:tr>
      <w:tr w:rsidR="00A215B7" w:rsidRPr="00925A18" w14:paraId="2D9E6F65" w14:textId="77777777" w:rsidTr="00505F88">
        <w:trPr>
          <w:trHeight w:val="143"/>
        </w:trPr>
        <w:tc>
          <w:tcPr>
            <w:tcW w:w="9684" w:type="dxa"/>
            <w:gridSpan w:val="2"/>
            <w:shd w:val="clear" w:color="auto" w:fill="EDEDED" w:themeFill="accent3" w:themeFillTint="33"/>
          </w:tcPr>
          <w:p w14:paraId="7FF67975" w14:textId="03B9FC87" w:rsidR="00A215B7" w:rsidRPr="002C06F4" w:rsidRDefault="00A215B7" w:rsidP="00276364">
            <w:pPr>
              <w:spacing w:after="0" w:line="256" w:lineRule="auto"/>
              <w:rPr>
                <w:rFonts w:ascii="Arial" w:hAnsi="Arial" w:cs="Arial"/>
                <w:sz w:val="16"/>
              </w:rPr>
            </w:pPr>
            <w:r w:rsidRPr="00925A18">
              <w:rPr>
                <w:rFonts w:ascii="Arial" w:hAnsi="Arial" w:cs="Arial"/>
                <w:b/>
                <w:sz w:val="16"/>
              </w:rPr>
              <w:t>HIV testing and counseling</w:t>
            </w:r>
            <w:r>
              <w:rPr>
                <w:rFonts w:ascii="Arial" w:hAnsi="Arial" w:cs="Arial"/>
                <w:b/>
                <w:sz w:val="16"/>
              </w:rPr>
              <w:t xml:space="preserve"> (HTC)</w:t>
            </w:r>
          </w:p>
        </w:tc>
      </w:tr>
      <w:tr w:rsidR="00C33B8D" w:rsidRPr="00925A18" w14:paraId="74ADA47B" w14:textId="77777777" w:rsidTr="00276364">
        <w:trPr>
          <w:trHeight w:val="651"/>
        </w:trPr>
        <w:tc>
          <w:tcPr>
            <w:tcW w:w="1255" w:type="dxa"/>
            <w:shd w:val="clear" w:color="auto" w:fill="FFFFFF" w:themeFill="background1"/>
          </w:tcPr>
          <w:p w14:paraId="5AF6FBBA" w14:textId="653C3244" w:rsidR="00C33B8D" w:rsidRPr="00925A18" w:rsidRDefault="00C33B8D" w:rsidP="00276364">
            <w:pPr>
              <w:spacing w:after="0" w:line="256" w:lineRule="auto"/>
              <w:rPr>
                <w:rFonts w:ascii="Arial" w:hAnsi="Arial" w:cs="Arial"/>
                <w:b/>
                <w:sz w:val="16"/>
              </w:rPr>
            </w:pPr>
          </w:p>
        </w:tc>
        <w:tc>
          <w:tcPr>
            <w:tcW w:w="8429" w:type="dxa"/>
            <w:shd w:val="clear" w:color="auto" w:fill="FFFFFF" w:themeFill="background1"/>
          </w:tcPr>
          <w:p w14:paraId="6D3E6BBF" w14:textId="51613F1B" w:rsidR="00C33B8D" w:rsidRPr="002C06F4" w:rsidRDefault="00413412" w:rsidP="00276364">
            <w:pPr>
              <w:spacing w:after="0" w:line="256" w:lineRule="auto"/>
              <w:rPr>
                <w:rFonts w:ascii="Arial" w:hAnsi="Arial" w:cs="Arial"/>
                <w:sz w:val="16"/>
              </w:rPr>
            </w:pPr>
            <w:r>
              <w:rPr>
                <w:rFonts w:ascii="Arial" w:hAnsi="Arial" w:cs="Arial"/>
                <w:sz w:val="16"/>
              </w:rPr>
              <w:t>HTC i</w:t>
            </w:r>
            <w:r w:rsidR="00C33B8D" w:rsidRPr="002C06F4">
              <w:rPr>
                <w:rFonts w:ascii="Arial" w:hAnsi="Arial" w:cs="Arial"/>
                <w:sz w:val="16"/>
              </w:rPr>
              <w:t xml:space="preserve">mplemented through multiple modalities: </w:t>
            </w:r>
          </w:p>
          <w:p w14:paraId="0EB87FDE" w14:textId="77777777" w:rsidR="00C33B8D" w:rsidRDefault="00C33B8D" w:rsidP="00276364">
            <w:pPr>
              <w:pStyle w:val="ListParagraph"/>
              <w:numPr>
                <w:ilvl w:val="0"/>
                <w:numId w:val="18"/>
              </w:numPr>
              <w:spacing w:after="0" w:line="256" w:lineRule="auto"/>
              <w:ind w:left="360"/>
              <w:rPr>
                <w:rFonts w:ascii="Arial" w:hAnsi="Arial" w:cs="Arial"/>
                <w:sz w:val="16"/>
              </w:rPr>
            </w:pPr>
            <w:r>
              <w:rPr>
                <w:rFonts w:ascii="Arial" w:hAnsi="Arial" w:cs="Arial"/>
                <w:sz w:val="16"/>
              </w:rPr>
              <w:t>C</w:t>
            </w:r>
            <w:r w:rsidRPr="002C06F4">
              <w:rPr>
                <w:rFonts w:ascii="Arial" w:hAnsi="Arial" w:cs="Arial"/>
                <w:sz w:val="16"/>
              </w:rPr>
              <w:t>lient initiated VCT</w:t>
            </w:r>
          </w:p>
          <w:p w14:paraId="570E1654" w14:textId="77777777" w:rsidR="00C33B8D" w:rsidRDefault="00C33B8D" w:rsidP="00276364">
            <w:pPr>
              <w:pStyle w:val="ListParagraph"/>
              <w:numPr>
                <w:ilvl w:val="0"/>
                <w:numId w:val="18"/>
              </w:numPr>
              <w:spacing w:after="0" w:line="256" w:lineRule="auto"/>
              <w:ind w:left="360"/>
              <w:rPr>
                <w:rFonts w:ascii="Arial" w:hAnsi="Arial" w:cs="Arial"/>
                <w:sz w:val="16"/>
              </w:rPr>
            </w:pPr>
            <w:r>
              <w:rPr>
                <w:rFonts w:ascii="Arial" w:hAnsi="Arial" w:cs="Arial"/>
                <w:sz w:val="16"/>
              </w:rPr>
              <w:t>P</w:t>
            </w:r>
            <w:r w:rsidRPr="002C06F4">
              <w:rPr>
                <w:rFonts w:ascii="Arial" w:hAnsi="Arial" w:cs="Arial"/>
                <w:sz w:val="16"/>
              </w:rPr>
              <w:t>rovider-initiated testing and counseling (PITC)</w:t>
            </w:r>
          </w:p>
          <w:p w14:paraId="527B7493" w14:textId="77777777" w:rsidR="00C33B8D" w:rsidRDefault="00C33B8D" w:rsidP="00276364">
            <w:pPr>
              <w:pStyle w:val="ListParagraph"/>
              <w:numPr>
                <w:ilvl w:val="0"/>
                <w:numId w:val="18"/>
              </w:numPr>
              <w:spacing w:after="0" w:line="256" w:lineRule="auto"/>
              <w:ind w:left="360"/>
              <w:rPr>
                <w:rFonts w:ascii="Arial" w:hAnsi="Arial" w:cs="Arial"/>
                <w:sz w:val="16"/>
              </w:rPr>
            </w:pPr>
            <w:r w:rsidRPr="002C06F4">
              <w:rPr>
                <w:rFonts w:ascii="Arial" w:hAnsi="Arial" w:cs="Arial"/>
                <w:sz w:val="16"/>
              </w:rPr>
              <w:t>TB and other clinical services</w:t>
            </w:r>
          </w:p>
          <w:p w14:paraId="2B52C63B" w14:textId="77777777" w:rsidR="00C33B8D" w:rsidRDefault="00C33B8D">
            <w:pPr>
              <w:pStyle w:val="ListParagraph"/>
              <w:numPr>
                <w:ilvl w:val="0"/>
                <w:numId w:val="18"/>
              </w:numPr>
              <w:spacing w:after="0" w:line="256" w:lineRule="auto"/>
              <w:ind w:left="360"/>
              <w:rPr>
                <w:rFonts w:ascii="Arial" w:hAnsi="Arial" w:cs="Arial"/>
                <w:sz w:val="16"/>
              </w:rPr>
            </w:pPr>
            <w:r>
              <w:rPr>
                <w:rFonts w:ascii="Arial" w:hAnsi="Arial" w:cs="Arial"/>
                <w:sz w:val="16"/>
              </w:rPr>
              <w:t>H</w:t>
            </w:r>
            <w:r w:rsidRPr="002C06F4">
              <w:rPr>
                <w:rFonts w:ascii="Arial" w:hAnsi="Arial" w:cs="Arial"/>
                <w:sz w:val="16"/>
              </w:rPr>
              <w:t xml:space="preserve">ome-based counseling and testing </w:t>
            </w:r>
          </w:p>
          <w:p w14:paraId="6533FFFF" w14:textId="3AFDA6FF" w:rsidR="00D0321B" w:rsidRPr="002C06F4" w:rsidRDefault="00D0321B" w:rsidP="00276364">
            <w:pPr>
              <w:pStyle w:val="ListParagraph"/>
              <w:numPr>
                <w:ilvl w:val="0"/>
                <w:numId w:val="18"/>
              </w:numPr>
              <w:spacing w:after="0" w:line="256" w:lineRule="auto"/>
              <w:ind w:left="360"/>
              <w:rPr>
                <w:rFonts w:ascii="Arial" w:hAnsi="Arial" w:cs="Arial"/>
                <w:sz w:val="16"/>
              </w:rPr>
            </w:pPr>
            <w:r>
              <w:rPr>
                <w:rFonts w:ascii="Arial" w:hAnsi="Arial" w:cs="Arial"/>
                <w:sz w:val="16"/>
              </w:rPr>
              <w:t>Index-testing</w:t>
            </w:r>
          </w:p>
        </w:tc>
      </w:tr>
      <w:tr w:rsidR="009F3D4C" w:rsidRPr="00925A18" w14:paraId="721F4320" w14:textId="77777777" w:rsidTr="00505F88">
        <w:trPr>
          <w:trHeight w:val="287"/>
        </w:trPr>
        <w:tc>
          <w:tcPr>
            <w:tcW w:w="9684" w:type="dxa"/>
            <w:gridSpan w:val="2"/>
            <w:shd w:val="clear" w:color="auto" w:fill="EDEDED" w:themeFill="accent3" w:themeFillTint="33"/>
          </w:tcPr>
          <w:p w14:paraId="3F065CB4" w14:textId="672B40FC" w:rsidR="009F3D4C" w:rsidRPr="002C06F4" w:rsidRDefault="009F3D4C" w:rsidP="00276364">
            <w:pPr>
              <w:spacing w:after="0" w:line="256" w:lineRule="auto"/>
              <w:rPr>
                <w:rFonts w:ascii="Arial" w:hAnsi="Arial" w:cs="Arial"/>
                <w:sz w:val="16"/>
              </w:rPr>
            </w:pPr>
            <w:r>
              <w:rPr>
                <w:rFonts w:ascii="Arial" w:hAnsi="Arial" w:cs="Arial"/>
                <w:b/>
                <w:sz w:val="16"/>
              </w:rPr>
              <w:t>Prevention</w:t>
            </w:r>
          </w:p>
        </w:tc>
      </w:tr>
      <w:tr w:rsidR="00413412" w:rsidRPr="00925A18" w14:paraId="75BC4664" w14:textId="77777777" w:rsidTr="00276364">
        <w:trPr>
          <w:trHeight w:val="317"/>
        </w:trPr>
        <w:tc>
          <w:tcPr>
            <w:tcW w:w="1255" w:type="dxa"/>
          </w:tcPr>
          <w:p w14:paraId="3F720C07" w14:textId="56BB1D5C" w:rsidR="00413412" w:rsidRPr="00505F88" w:rsidRDefault="00413412" w:rsidP="00276364">
            <w:pPr>
              <w:spacing w:after="0" w:line="256" w:lineRule="auto"/>
              <w:rPr>
                <w:rFonts w:ascii="Arial" w:hAnsi="Arial" w:cs="Arial"/>
                <w:sz w:val="16"/>
              </w:rPr>
            </w:pPr>
            <w:bookmarkStart w:id="45" w:name="_Hlk15385700"/>
            <w:r>
              <w:rPr>
                <w:rFonts w:ascii="Arial" w:hAnsi="Arial" w:cs="Arial"/>
                <w:sz w:val="16"/>
              </w:rPr>
              <w:t>Condom promotion</w:t>
            </w:r>
          </w:p>
        </w:tc>
        <w:tc>
          <w:tcPr>
            <w:tcW w:w="8429" w:type="dxa"/>
          </w:tcPr>
          <w:p w14:paraId="15443BF1" w14:textId="44B4B7BB" w:rsidR="001421EB" w:rsidRPr="001421EB" w:rsidRDefault="001421EB" w:rsidP="00276364">
            <w:pPr>
              <w:spacing w:after="0" w:line="256" w:lineRule="auto"/>
              <w:rPr>
                <w:rFonts w:ascii="Arial" w:hAnsi="Arial" w:cs="Arial"/>
                <w:sz w:val="16"/>
              </w:rPr>
            </w:pPr>
            <w:r w:rsidRPr="001421EB">
              <w:rPr>
                <w:rFonts w:ascii="Arial" w:hAnsi="Arial" w:cs="Arial"/>
                <w:sz w:val="16"/>
              </w:rPr>
              <w:t>TACAIDS and partners launched a new public-private “total market approach” to condom programming in 2016, including a public-sector branded condom program, which aim</w:t>
            </w:r>
            <w:r>
              <w:rPr>
                <w:rFonts w:ascii="Arial" w:hAnsi="Arial" w:cs="Arial"/>
                <w:sz w:val="16"/>
              </w:rPr>
              <w:t>ed</w:t>
            </w:r>
            <w:r w:rsidRPr="001421EB">
              <w:rPr>
                <w:rFonts w:ascii="Arial" w:hAnsi="Arial" w:cs="Arial"/>
                <w:sz w:val="16"/>
              </w:rPr>
              <w:t xml:space="preserve"> to increase condom acces</w:t>
            </w:r>
            <w:r>
              <w:rPr>
                <w:rFonts w:ascii="Arial" w:hAnsi="Arial" w:cs="Arial"/>
                <w:sz w:val="16"/>
              </w:rPr>
              <w:t>s</w:t>
            </w:r>
            <w:r w:rsidR="00431358">
              <w:rPr>
                <w:rFonts w:ascii="Arial" w:hAnsi="Arial" w:cs="Arial"/>
                <w:sz w:val="16"/>
              </w:rPr>
              <w:t xml:space="preserve"> but total market approach is not yet fully implemented</w:t>
            </w:r>
          </w:p>
        </w:tc>
      </w:tr>
      <w:bookmarkEnd w:id="45"/>
      <w:tr w:rsidR="00C33B8D" w:rsidRPr="00925A18" w14:paraId="2E617A77" w14:textId="77777777" w:rsidTr="00276364">
        <w:trPr>
          <w:trHeight w:val="317"/>
        </w:trPr>
        <w:tc>
          <w:tcPr>
            <w:tcW w:w="1255" w:type="dxa"/>
          </w:tcPr>
          <w:p w14:paraId="448C0BF4" w14:textId="77777777" w:rsidR="00C33B8D" w:rsidRPr="00505F88" w:rsidRDefault="00C33B8D" w:rsidP="00276364">
            <w:pPr>
              <w:spacing w:after="0" w:line="256" w:lineRule="auto"/>
              <w:rPr>
                <w:rFonts w:ascii="Arial" w:hAnsi="Arial" w:cs="Arial"/>
                <w:sz w:val="16"/>
              </w:rPr>
            </w:pPr>
            <w:r w:rsidRPr="00505F88">
              <w:rPr>
                <w:rFonts w:ascii="Arial" w:hAnsi="Arial" w:cs="Arial"/>
                <w:sz w:val="16"/>
              </w:rPr>
              <w:t>VMMC</w:t>
            </w:r>
          </w:p>
        </w:tc>
        <w:tc>
          <w:tcPr>
            <w:tcW w:w="8429" w:type="dxa"/>
          </w:tcPr>
          <w:p w14:paraId="23558A92" w14:textId="1DD8AC63" w:rsidR="00C33B8D" w:rsidRDefault="00C33B8D" w:rsidP="00276364">
            <w:pPr>
              <w:spacing w:after="0" w:line="256" w:lineRule="auto"/>
              <w:rPr>
                <w:rFonts w:ascii="Arial" w:hAnsi="Arial" w:cs="Arial"/>
                <w:sz w:val="16"/>
              </w:rPr>
            </w:pPr>
            <w:r w:rsidRPr="00925A18">
              <w:rPr>
                <w:rFonts w:ascii="Arial" w:hAnsi="Arial" w:cs="Arial"/>
                <w:sz w:val="16"/>
              </w:rPr>
              <w:t>VMMC</w:t>
            </w:r>
            <w:r w:rsidR="00831C9D">
              <w:rPr>
                <w:rFonts w:ascii="Arial" w:hAnsi="Arial" w:cs="Arial"/>
                <w:sz w:val="16"/>
              </w:rPr>
              <w:t xml:space="preserve"> program</w:t>
            </w:r>
            <w:r w:rsidRPr="00925A18">
              <w:rPr>
                <w:rFonts w:ascii="Arial" w:hAnsi="Arial" w:cs="Arial"/>
                <w:sz w:val="16"/>
              </w:rPr>
              <w:t xml:space="preserve"> focuses on</w:t>
            </w:r>
            <w:r>
              <w:rPr>
                <w:rFonts w:ascii="Arial" w:hAnsi="Arial" w:cs="Arial"/>
                <w:sz w:val="16"/>
              </w:rPr>
              <w:t>:</w:t>
            </w:r>
          </w:p>
          <w:p w14:paraId="23B1CAAC" w14:textId="77777777" w:rsidR="00C33B8D" w:rsidRDefault="00C33B8D" w:rsidP="00276364">
            <w:pPr>
              <w:pStyle w:val="ListParagraph"/>
              <w:numPr>
                <w:ilvl w:val="0"/>
                <w:numId w:val="19"/>
              </w:numPr>
              <w:spacing w:after="0" w:line="256" w:lineRule="auto"/>
              <w:ind w:left="360"/>
              <w:rPr>
                <w:rFonts w:ascii="Arial" w:hAnsi="Arial" w:cs="Arial"/>
                <w:sz w:val="16"/>
              </w:rPr>
            </w:pPr>
            <w:r>
              <w:rPr>
                <w:rFonts w:ascii="Arial" w:hAnsi="Arial" w:cs="Arial"/>
                <w:sz w:val="16"/>
              </w:rPr>
              <w:t>S</w:t>
            </w:r>
            <w:r w:rsidRPr="002C06F4">
              <w:rPr>
                <w:rFonts w:ascii="Arial" w:hAnsi="Arial" w:cs="Arial"/>
                <w:sz w:val="16"/>
              </w:rPr>
              <w:t>exually active men in high HIV prevalence</w:t>
            </w:r>
            <w:r>
              <w:rPr>
                <w:rFonts w:ascii="Arial" w:hAnsi="Arial" w:cs="Arial"/>
                <w:sz w:val="16"/>
              </w:rPr>
              <w:t xml:space="preserve"> regions</w:t>
            </w:r>
          </w:p>
          <w:p w14:paraId="76B8F4D5" w14:textId="77777777" w:rsidR="00C33B8D" w:rsidRPr="002C06F4" w:rsidRDefault="00C33B8D" w:rsidP="00276364">
            <w:pPr>
              <w:pStyle w:val="ListParagraph"/>
              <w:numPr>
                <w:ilvl w:val="0"/>
                <w:numId w:val="19"/>
              </w:numPr>
              <w:spacing w:after="0" w:line="256" w:lineRule="auto"/>
              <w:ind w:left="360"/>
              <w:rPr>
                <w:rFonts w:ascii="Arial" w:hAnsi="Arial" w:cs="Arial"/>
                <w:sz w:val="16"/>
              </w:rPr>
            </w:pPr>
            <w:r>
              <w:rPr>
                <w:rFonts w:ascii="Arial" w:hAnsi="Arial" w:cs="Arial"/>
                <w:sz w:val="16"/>
              </w:rPr>
              <w:t>L</w:t>
            </w:r>
            <w:r w:rsidRPr="002C06F4">
              <w:rPr>
                <w:rFonts w:ascii="Arial" w:hAnsi="Arial" w:cs="Arial"/>
                <w:sz w:val="16"/>
              </w:rPr>
              <w:t>ow circumcision coverage regions for short-term impact, with targeting of younger males for long-term impact</w:t>
            </w:r>
          </w:p>
        </w:tc>
      </w:tr>
      <w:tr w:rsidR="00C33B8D" w:rsidRPr="00925A18" w14:paraId="2449850C" w14:textId="77777777" w:rsidTr="00276364">
        <w:trPr>
          <w:trHeight w:val="999"/>
        </w:trPr>
        <w:tc>
          <w:tcPr>
            <w:tcW w:w="1255" w:type="dxa"/>
          </w:tcPr>
          <w:p w14:paraId="6CA3FEF8" w14:textId="77777777" w:rsidR="00C33B8D" w:rsidRPr="00505F88" w:rsidRDefault="00C33B8D" w:rsidP="00276364">
            <w:pPr>
              <w:spacing w:after="0" w:line="256" w:lineRule="auto"/>
              <w:rPr>
                <w:rFonts w:ascii="Arial" w:hAnsi="Arial" w:cs="Arial"/>
                <w:sz w:val="16"/>
              </w:rPr>
            </w:pPr>
            <w:r w:rsidRPr="00505F88">
              <w:rPr>
                <w:rFonts w:ascii="Arial" w:hAnsi="Arial" w:cs="Arial"/>
                <w:sz w:val="16"/>
              </w:rPr>
              <w:t>PMTCT</w:t>
            </w:r>
          </w:p>
        </w:tc>
        <w:tc>
          <w:tcPr>
            <w:tcW w:w="8429" w:type="dxa"/>
          </w:tcPr>
          <w:p w14:paraId="499F79C5" w14:textId="77777777" w:rsidR="00C33B8D" w:rsidRDefault="00C33B8D" w:rsidP="00276364">
            <w:pPr>
              <w:pStyle w:val="ListParagraph"/>
              <w:numPr>
                <w:ilvl w:val="0"/>
                <w:numId w:val="20"/>
              </w:numPr>
              <w:spacing w:after="0" w:line="256" w:lineRule="auto"/>
              <w:ind w:left="360"/>
              <w:rPr>
                <w:rFonts w:ascii="Arial" w:hAnsi="Arial" w:cs="Arial"/>
                <w:sz w:val="16"/>
              </w:rPr>
            </w:pPr>
            <w:r w:rsidRPr="002C06F4">
              <w:rPr>
                <w:rFonts w:ascii="Arial" w:hAnsi="Arial" w:cs="Arial"/>
                <w:sz w:val="16"/>
              </w:rPr>
              <w:t>National PMTCT strategy calls for provision of ARV combination therapy to all HIV-positive women, in accordance with Option B+ guidelines, integrated with routine reproductive and child health services.</w:t>
            </w:r>
          </w:p>
          <w:p w14:paraId="060F4D4B" w14:textId="77777777" w:rsidR="00C33B8D" w:rsidRPr="002C06F4" w:rsidRDefault="00C33B8D" w:rsidP="00276364">
            <w:pPr>
              <w:pStyle w:val="ListParagraph"/>
              <w:numPr>
                <w:ilvl w:val="0"/>
                <w:numId w:val="20"/>
              </w:numPr>
              <w:spacing w:after="0" w:line="256" w:lineRule="auto"/>
              <w:ind w:left="360"/>
              <w:rPr>
                <w:rFonts w:ascii="Arial" w:hAnsi="Arial" w:cs="Arial"/>
                <w:sz w:val="16"/>
              </w:rPr>
            </w:pPr>
            <w:r w:rsidRPr="002C06F4">
              <w:rPr>
                <w:rFonts w:ascii="Arial" w:hAnsi="Arial" w:cs="Arial"/>
                <w:sz w:val="16"/>
              </w:rPr>
              <w:t xml:space="preserve">Main interventions include HTC, provision of ARVs, modified obstetric care, and counseling for safer infant-feeding options </w:t>
            </w:r>
          </w:p>
        </w:tc>
      </w:tr>
      <w:tr w:rsidR="00C33B8D" w:rsidRPr="00925A18" w14:paraId="3A8C096C" w14:textId="77777777" w:rsidTr="00276364">
        <w:trPr>
          <w:trHeight w:val="317"/>
        </w:trPr>
        <w:tc>
          <w:tcPr>
            <w:tcW w:w="1255" w:type="dxa"/>
          </w:tcPr>
          <w:p w14:paraId="3381E19F" w14:textId="77777777" w:rsidR="00C33B8D" w:rsidRPr="00505F88" w:rsidRDefault="00C33B8D" w:rsidP="00276364">
            <w:pPr>
              <w:spacing w:after="0" w:line="256" w:lineRule="auto"/>
              <w:rPr>
                <w:rFonts w:ascii="Arial" w:hAnsi="Arial" w:cs="Arial"/>
                <w:sz w:val="16"/>
              </w:rPr>
            </w:pPr>
            <w:r w:rsidRPr="00505F88">
              <w:rPr>
                <w:rFonts w:ascii="Arial" w:hAnsi="Arial" w:cs="Arial"/>
                <w:sz w:val="16"/>
              </w:rPr>
              <w:t xml:space="preserve">Behavior change and condom promotion </w:t>
            </w:r>
          </w:p>
        </w:tc>
        <w:tc>
          <w:tcPr>
            <w:tcW w:w="8429" w:type="dxa"/>
          </w:tcPr>
          <w:p w14:paraId="4E05AD33" w14:textId="77777777" w:rsidR="00C33B8D" w:rsidRPr="00925A18" w:rsidRDefault="00C33B8D" w:rsidP="00276364">
            <w:pPr>
              <w:pStyle w:val="ListParagraph"/>
              <w:numPr>
                <w:ilvl w:val="0"/>
                <w:numId w:val="10"/>
              </w:numPr>
              <w:spacing w:after="0" w:line="256" w:lineRule="auto"/>
              <w:rPr>
                <w:rFonts w:ascii="Arial" w:hAnsi="Arial" w:cs="Arial"/>
                <w:sz w:val="16"/>
              </w:rPr>
            </w:pPr>
            <w:r w:rsidRPr="00925A18">
              <w:rPr>
                <w:rFonts w:ascii="Arial" w:hAnsi="Arial" w:cs="Arial"/>
                <w:sz w:val="16"/>
              </w:rPr>
              <w:t>BCC efforts have included mass media that promoted individual knowledge and rights-based sex education in schools, condom promotion, shifts in social norms regarding HIV prevention, and the demand generation for HIV services</w:t>
            </w:r>
          </w:p>
          <w:p w14:paraId="4AD25A10" w14:textId="77777777" w:rsidR="00C33B8D" w:rsidRPr="00925A18" w:rsidRDefault="00C33B8D" w:rsidP="00276364">
            <w:pPr>
              <w:pStyle w:val="ListParagraph"/>
              <w:numPr>
                <w:ilvl w:val="0"/>
                <w:numId w:val="10"/>
              </w:numPr>
              <w:spacing w:after="0" w:line="256" w:lineRule="auto"/>
              <w:rPr>
                <w:rFonts w:ascii="Arial" w:hAnsi="Arial" w:cs="Arial"/>
                <w:sz w:val="16"/>
              </w:rPr>
            </w:pPr>
            <w:r w:rsidRPr="00925A18">
              <w:rPr>
                <w:rFonts w:ascii="Arial" w:hAnsi="Arial" w:cs="Arial"/>
                <w:sz w:val="16"/>
              </w:rPr>
              <w:t>“Fatiki” campaign on cross-generational sex from 2008-2011</w:t>
            </w:r>
          </w:p>
          <w:p w14:paraId="02D5FE2B" w14:textId="1A995EB9" w:rsidR="00C33B8D" w:rsidRPr="00925A18" w:rsidRDefault="00C33B8D" w:rsidP="00276364">
            <w:pPr>
              <w:pStyle w:val="ListParagraph"/>
              <w:numPr>
                <w:ilvl w:val="0"/>
                <w:numId w:val="10"/>
              </w:numPr>
              <w:spacing w:after="0" w:line="256" w:lineRule="auto"/>
              <w:rPr>
                <w:rFonts w:ascii="Arial" w:hAnsi="Arial" w:cs="Arial"/>
                <w:sz w:val="16"/>
              </w:rPr>
            </w:pPr>
            <w:r w:rsidRPr="00925A18">
              <w:rPr>
                <w:rFonts w:ascii="Arial" w:hAnsi="Arial" w:cs="Arial"/>
                <w:sz w:val="16"/>
              </w:rPr>
              <w:t xml:space="preserve">Mass media for condom promotion for Salama brand; </w:t>
            </w:r>
          </w:p>
          <w:p w14:paraId="66846FBE" w14:textId="77777777" w:rsidR="00C33B8D" w:rsidRPr="00925A18" w:rsidRDefault="00C33B8D" w:rsidP="00276364">
            <w:pPr>
              <w:pStyle w:val="ListParagraph"/>
              <w:numPr>
                <w:ilvl w:val="0"/>
                <w:numId w:val="10"/>
              </w:numPr>
              <w:spacing w:after="0" w:line="256" w:lineRule="auto"/>
              <w:rPr>
                <w:rFonts w:ascii="Arial" w:hAnsi="Arial" w:cs="Arial"/>
                <w:sz w:val="16"/>
              </w:rPr>
            </w:pPr>
            <w:r w:rsidRPr="00925A18">
              <w:rPr>
                <w:rFonts w:ascii="Arial" w:hAnsi="Arial" w:cs="Arial"/>
                <w:sz w:val="16"/>
              </w:rPr>
              <w:t>Youth-focused BCC and condom promotion integrated into existing peer networks and sports</w:t>
            </w:r>
          </w:p>
        </w:tc>
      </w:tr>
      <w:tr w:rsidR="00C33B8D" w:rsidRPr="00925A18" w14:paraId="2C67E50B" w14:textId="77777777" w:rsidTr="00276364">
        <w:trPr>
          <w:trHeight w:val="341"/>
        </w:trPr>
        <w:tc>
          <w:tcPr>
            <w:tcW w:w="1255" w:type="dxa"/>
          </w:tcPr>
          <w:p w14:paraId="295251E5" w14:textId="77777777" w:rsidR="00C33B8D" w:rsidRPr="00505F88" w:rsidRDefault="00C33B8D" w:rsidP="00276364">
            <w:pPr>
              <w:spacing w:after="0" w:line="256" w:lineRule="auto"/>
              <w:rPr>
                <w:rFonts w:ascii="Arial" w:hAnsi="Arial" w:cs="Arial"/>
                <w:sz w:val="16"/>
              </w:rPr>
            </w:pPr>
            <w:r w:rsidRPr="00505F88">
              <w:rPr>
                <w:rFonts w:ascii="Arial" w:hAnsi="Arial" w:cs="Arial"/>
                <w:sz w:val="16"/>
              </w:rPr>
              <w:t>Adolescent girls and young women (AGYW)</w:t>
            </w:r>
          </w:p>
        </w:tc>
        <w:tc>
          <w:tcPr>
            <w:tcW w:w="8429" w:type="dxa"/>
          </w:tcPr>
          <w:p w14:paraId="75F6DEB8" w14:textId="5222CDB8" w:rsidR="0091219D" w:rsidRPr="0091219D" w:rsidRDefault="001421EB" w:rsidP="00276364">
            <w:pPr>
              <w:spacing w:after="0" w:line="256" w:lineRule="auto"/>
              <w:rPr>
                <w:rFonts w:ascii="Arial" w:hAnsi="Arial" w:cs="Arial"/>
                <w:sz w:val="16"/>
                <w:szCs w:val="16"/>
              </w:rPr>
            </w:pPr>
            <w:r w:rsidRPr="0091219D">
              <w:rPr>
                <w:rFonts w:ascii="Arial" w:hAnsi="Arial" w:cs="Arial"/>
                <w:sz w:val="16"/>
                <w:szCs w:val="16"/>
              </w:rPr>
              <w:t xml:space="preserve">AGYW programs have focused on comprehensive approaches to addressing the vulnerability to AGYW </w:t>
            </w:r>
            <w:r w:rsidR="0091219D" w:rsidRPr="0091219D">
              <w:rPr>
                <w:rFonts w:ascii="Arial" w:hAnsi="Arial" w:cs="Arial"/>
                <w:sz w:val="16"/>
                <w:szCs w:val="16"/>
              </w:rPr>
              <w:t xml:space="preserve">to HIV. </w:t>
            </w:r>
            <w:r w:rsidR="0091219D">
              <w:rPr>
                <w:rFonts w:ascii="Arial" w:hAnsi="Arial" w:cs="Arial"/>
                <w:sz w:val="16"/>
                <w:szCs w:val="16"/>
              </w:rPr>
              <w:t xml:space="preserve">Up to 2016, the </w:t>
            </w:r>
            <w:r w:rsidR="0091219D" w:rsidRPr="0091219D">
              <w:rPr>
                <w:rFonts w:ascii="Arial" w:hAnsi="Arial" w:cs="Arial"/>
                <w:sz w:val="16"/>
                <w:szCs w:val="16"/>
              </w:rPr>
              <w:t>main programs included:</w:t>
            </w:r>
          </w:p>
          <w:p w14:paraId="34636DF8" w14:textId="00FA3D2E" w:rsidR="00C33B8D" w:rsidRPr="0091219D" w:rsidRDefault="0091219D" w:rsidP="00276364">
            <w:pPr>
              <w:pStyle w:val="ListParagraph"/>
              <w:numPr>
                <w:ilvl w:val="0"/>
                <w:numId w:val="51"/>
              </w:numPr>
              <w:spacing w:after="0" w:line="256" w:lineRule="auto"/>
              <w:rPr>
                <w:rFonts w:ascii="Arial" w:hAnsi="Arial" w:cs="Arial"/>
                <w:sz w:val="16"/>
                <w:szCs w:val="16"/>
              </w:rPr>
            </w:pPr>
            <w:r w:rsidRPr="0091219D">
              <w:rPr>
                <w:rFonts w:ascii="Arial" w:hAnsi="Arial" w:cs="Arial"/>
                <w:sz w:val="16"/>
                <w:szCs w:val="16"/>
              </w:rPr>
              <w:t>Cash transfers</w:t>
            </w:r>
            <w:r>
              <w:rPr>
                <w:rFonts w:ascii="Arial" w:hAnsi="Arial" w:cs="Arial"/>
                <w:sz w:val="16"/>
                <w:szCs w:val="16"/>
              </w:rPr>
              <w:t xml:space="preserve">: In the program </w:t>
            </w:r>
            <w:r w:rsidRPr="0091219D">
              <w:rPr>
                <w:rFonts w:ascii="Arial" w:hAnsi="Arial" w:cs="Arial"/>
                <w:sz w:val="16"/>
                <w:szCs w:val="16"/>
              </w:rPr>
              <w:t>TASAF-III, extremely poor households received a fixed monthly cash transfer to increase household consumption, and a variable conditional cash transfer for households with pregnant women or children of primary/secondary school age</w:t>
            </w:r>
            <w:r>
              <w:rPr>
                <w:rFonts w:ascii="Arial" w:hAnsi="Arial" w:cs="Arial"/>
                <w:sz w:val="16"/>
                <w:szCs w:val="16"/>
              </w:rPr>
              <w:t xml:space="preserve">. </w:t>
            </w:r>
          </w:p>
          <w:p w14:paraId="1DE2D5B6" w14:textId="77777777" w:rsidR="0091219D" w:rsidRDefault="0091219D" w:rsidP="00276364">
            <w:pPr>
              <w:pStyle w:val="ListParagraph"/>
              <w:numPr>
                <w:ilvl w:val="0"/>
                <w:numId w:val="51"/>
              </w:numPr>
              <w:spacing w:after="0" w:line="256" w:lineRule="auto"/>
              <w:rPr>
                <w:rFonts w:ascii="Arial" w:hAnsi="Arial" w:cs="Arial"/>
                <w:sz w:val="16"/>
                <w:szCs w:val="16"/>
              </w:rPr>
            </w:pPr>
            <w:r w:rsidRPr="0091219D">
              <w:rPr>
                <w:rFonts w:ascii="Arial" w:hAnsi="Arial" w:cs="Arial"/>
                <w:sz w:val="16"/>
                <w:szCs w:val="16"/>
              </w:rPr>
              <w:t>School-based education</w:t>
            </w:r>
          </w:p>
          <w:p w14:paraId="602D84D2" w14:textId="47956C29" w:rsidR="0091219D" w:rsidRPr="0091219D" w:rsidRDefault="0091219D" w:rsidP="00276364">
            <w:pPr>
              <w:spacing w:after="0" w:line="256" w:lineRule="auto"/>
              <w:rPr>
                <w:rFonts w:ascii="Arial" w:hAnsi="Arial" w:cs="Arial"/>
                <w:sz w:val="16"/>
                <w:szCs w:val="16"/>
              </w:rPr>
            </w:pPr>
            <w:r>
              <w:rPr>
                <w:rFonts w:ascii="Arial" w:hAnsi="Arial" w:cs="Arial"/>
                <w:sz w:val="16"/>
                <w:szCs w:val="16"/>
              </w:rPr>
              <w:t>In 2016, PEPFAR launched DREAMS, an initiative to scale-up a comprehensive bundled package of structural, behavioral, and biomedical interventions targeted to AGYW.</w:t>
            </w:r>
          </w:p>
        </w:tc>
      </w:tr>
      <w:tr w:rsidR="00C33B8D" w:rsidRPr="00925A18" w14:paraId="75A56BDA" w14:textId="77777777" w:rsidTr="00276364">
        <w:trPr>
          <w:trHeight w:val="317"/>
        </w:trPr>
        <w:tc>
          <w:tcPr>
            <w:tcW w:w="1255" w:type="dxa"/>
          </w:tcPr>
          <w:p w14:paraId="28CAAE11" w14:textId="77777777" w:rsidR="00C33B8D" w:rsidRPr="00505F88" w:rsidRDefault="00C33B8D" w:rsidP="00276364">
            <w:pPr>
              <w:spacing w:after="0" w:line="256" w:lineRule="auto"/>
              <w:rPr>
                <w:rFonts w:ascii="Arial" w:hAnsi="Arial" w:cs="Arial"/>
                <w:sz w:val="16"/>
              </w:rPr>
            </w:pPr>
            <w:r w:rsidRPr="00505F88">
              <w:rPr>
                <w:rFonts w:ascii="Arial" w:hAnsi="Arial" w:cs="Arial"/>
                <w:sz w:val="16"/>
              </w:rPr>
              <w:t>Key populations</w:t>
            </w:r>
          </w:p>
        </w:tc>
        <w:tc>
          <w:tcPr>
            <w:tcW w:w="8429" w:type="dxa"/>
          </w:tcPr>
          <w:p w14:paraId="4AA44848" w14:textId="77777777" w:rsidR="00C33B8D" w:rsidRPr="00925A18" w:rsidRDefault="00C33B8D" w:rsidP="00276364">
            <w:pPr>
              <w:pStyle w:val="ListParagraph"/>
              <w:numPr>
                <w:ilvl w:val="0"/>
                <w:numId w:val="12"/>
              </w:numPr>
              <w:spacing w:after="0" w:line="256" w:lineRule="auto"/>
              <w:rPr>
                <w:rFonts w:ascii="Arial" w:hAnsi="Arial" w:cs="Arial"/>
                <w:sz w:val="16"/>
              </w:rPr>
            </w:pPr>
            <w:r w:rsidRPr="00925A18">
              <w:rPr>
                <w:rFonts w:ascii="Arial" w:hAnsi="Arial" w:cs="Arial"/>
                <w:sz w:val="16"/>
              </w:rPr>
              <w:t>FSW interventions have focused on individual BCC, including condom promotion through social marketing programs</w:t>
            </w:r>
          </w:p>
          <w:p w14:paraId="1B75BDC3" w14:textId="77777777" w:rsidR="00C33B8D" w:rsidRPr="00925A18" w:rsidRDefault="00C33B8D" w:rsidP="00276364">
            <w:pPr>
              <w:pStyle w:val="ListParagraph"/>
              <w:numPr>
                <w:ilvl w:val="0"/>
                <w:numId w:val="12"/>
              </w:numPr>
              <w:spacing w:after="0" w:line="256" w:lineRule="auto"/>
              <w:rPr>
                <w:rFonts w:ascii="Arial" w:hAnsi="Arial" w:cs="Arial"/>
                <w:sz w:val="16"/>
              </w:rPr>
            </w:pPr>
            <w:r w:rsidRPr="00925A18">
              <w:rPr>
                <w:rFonts w:ascii="Arial" w:hAnsi="Arial" w:cs="Arial"/>
                <w:sz w:val="16"/>
              </w:rPr>
              <w:t>MSM services limited to 1-2 community-based programs</w:t>
            </w:r>
          </w:p>
          <w:p w14:paraId="0EFD9FE2" w14:textId="77777777" w:rsidR="00C33B8D" w:rsidRPr="00925A18" w:rsidRDefault="00C33B8D" w:rsidP="00276364">
            <w:pPr>
              <w:pStyle w:val="ListParagraph"/>
              <w:numPr>
                <w:ilvl w:val="0"/>
                <w:numId w:val="12"/>
              </w:numPr>
              <w:spacing w:after="0" w:line="256" w:lineRule="auto"/>
              <w:rPr>
                <w:rFonts w:ascii="Arial" w:hAnsi="Arial" w:cs="Arial"/>
                <w:sz w:val="16"/>
              </w:rPr>
            </w:pPr>
            <w:r w:rsidRPr="00925A18">
              <w:rPr>
                <w:rFonts w:ascii="Arial" w:hAnsi="Arial" w:cs="Arial"/>
                <w:sz w:val="16"/>
              </w:rPr>
              <w:t xml:space="preserve">Limited harm reduction services </w:t>
            </w:r>
          </w:p>
          <w:p w14:paraId="32EB63DD" w14:textId="77777777" w:rsidR="00C33B8D" w:rsidRPr="00925A18" w:rsidRDefault="00C33B8D" w:rsidP="00276364">
            <w:pPr>
              <w:pStyle w:val="ListParagraph"/>
              <w:numPr>
                <w:ilvl w:val="0"/>
                <w:numId w:val="12"/>
              </w:numPr>
              <w:spacing w:after="0" w:line="256" w:lineRule="auto"/>
              <w:rPr>
                <w:rFonts w:ascii="Arial" w:hAnsi="Arial" w:cs="Arial"/>
                <w:sz w:val="16"/>
              </w:rPr>
            </w:pPr>
            <w:r w:rsidRPr="00925A18">
              <w:rPr>
                <w:rFonts w:ascii="Arial" w:hAnsi="Arial" w:cs="Arial"/>
                <w:sz w:val="16"/>
              </w:rPr>
              <w:t xml:space="preserve">Limited efforts at addressing enabling environment for stigma &amp; discrimination </w:t>
            </w:r>
          </w:p>
        </w:tc>
      </w:tr>
      <w:tr w:rsidR="00A215B7" w:rsidRPr="00925A18" w14:paraId="5F215670" w14:textId="77777777" w:rsidTr="00505F88">
        <w:trPr>
          <w:trHeight w:val="260"/>
        </w:trPr>
        <w:tc>
          <w:tcPr>
            <w:tcW w:w="9684" w:type="dxa"/>
            <w:gridSpan w:val="2"/>
            <w:shd w:val="clear" w:color="auto" w:fill="EDEDED" w:themeFill="accent3" w:themeFillTint="33"/>
          </w:tcPr>
          <w:p w14:paraId="3A6C12FD" w14:textId="0E63F294" w:rsidR="00A215B7" w:rsidRPr="00505F88" w:rsidRDefault="00A215B7" w:rsidP="00276364">
            <w:pPr>
              <w:spacing w:after="0" w:line="256" w:lineRule="auto"/>
              <w:rPr>
                <w:rFonts w:ascii="Arial" w:hAnsi="Arial" w:cs="Arial"/>
                <w:sz w:val="16"/>
              </w:rPr>
            </w:pPr>
            <w:r w:rsidRPr="00505F88">
              <w:rPr>
                <w:rFonts w:ascii="Arial" w:hAnsi="Arial" w:cs="Arial"/>
                <w:b/>
                <w:sz w:val="16"/>
              </w:rPr>
              <w:t>Treatment, care, and support</w:t>
            </w:r>
          </w:p>
        </w:tc>
      </w:tr>
      <w:tr w:rsidR="00C33B8D" w:rsidRPr="00925A18" w14:paraId="3AC97533" w14:textId="77777777" w:rsidTr="00276364">
        <w:trPr>
          <w:trHeight w:val="317"/>
        </w:trPr>
        <w:tc>
          <w:tcPr>
            <w:tcW w:w="1255" w:type="dxa"/>
            <w:shd w:val="clear" w:color="auto" w:fill="FFFFFF" w:themeFill="background1"/>
          </w:tcPr>
          <w:p w14:paraId="662786CD" w14:textId="730A446E" w:rsidR="00C33B8D" w:rsidRPr="00A178D1" w:rsidRDefault="0039017E" w:rsidP="00276364">
            <w:pPr>
              <w:spacing w:after="0" w:line="256" w:lineRule="auto"/>
              <w:rPr>
                <w:rFonts w:ascii="Arial" w:hAnsi="Arial" w:cs="Arial"/>
                <w:bCs/>
                <w:sz w:val="16"/>
              </w:rPr>
            </w:pPr>
            <w:r w:rsidRPr="00A178D1">
              <w:rPr>
                <w:rFonts w:ascii="Arial" w:hAnsi="Arial" w:cs="Arial"/>
                <w:bCs/>
                <w:sz w:val="16"/>
              </w:rPr>
              <w:t>ART</w:t>
            </w:r>
          </w:p>
        </w:tc>
        <w:tc>
          <w:tcPr>
            <w:tcW w:w="8429" w:type="dxa"/>
            <w:shd w:val="clear" w:color="auto" w:fill="FFFFFF" w:themeFill="background1"/>
          </w:tcPr>
          <w:p w14:paraId="4EF68A14" w14:textId="77777777" w:rsidR="00C33B8D" w:rsidRPr="00925A18" w:rsidRDefault="00C33B8D" w:rsidP="00276364">
            <w:pPr>
              <w:pStyle w:val="ListParagraph"/>
              <w:numPr>
                <w:ilvl w:val="0"/>
                <w:numId w:val="6"/>
              </w:numPr>
              <w:spacing w:after="0" w:line="256" w:lineRule="auto"/>
              <w:rPr>
                <w:rFonts w:ascii="Arial" w:hAnsi="Arial" w:cs="Arial"/>
                <w:sz w:val="16"/>
              </w:rPr>
            </w:pPr>
            <w:r w:rsidRPr="00925A18">
              <w:rPr>
                <w:rFonts w:ascii="Arial" w:hAnsi="Arial" w:cs="Arial"/>
                <w:sz w:val="16"/>
              </w:rPr>
              <w:t xml:space="preserve">Implemented with facility-based ART delivery with CHW support in retention with physician-initiated ART only. Community- and home-based support services provided. </w:t>
            </w:r>
          </w:p>
          <w:p w14:paraId="631BFFC0" w14:textId="77777777" w:rsidR="00C33B8D" w:rsidRPr="00925A18" w:rsidRDefault="00C33B8D" w:rsidP="00276364">
            <w:pPr>
              <w:pStyle w:val="ListParagraph"/>
              <w:numPr>
                <w:ilvl w:val="0"/>
                <w:numId w:val="6"/>
              </w:numPr>
              <w:spacing w:after="0" w:line="256" w:lineRule="auto"/>
              <w:rPr>
                <w:rFonts w:ascii="Arial" w:hAnsi="Arial" w:cs="Arial"/>
                <w:sz w:val="16"/>
              </w:rPr>
            </w:pPr>
            <w:r w:rsidRPr="00925A18">
              <w:rPr>
                <w:rFonts w:ascii="Arial" w:hAnsi="Arial" w:cs="Arial"/>
                <w:sz w:val="16"/>
              </w:rPr>
              <w:t xml:space="preserve">Drug inputs: First line treatment is TDF/3TC/EFC </w:t>
            </w:r>
          </w:p>
          <w:p w14:paraId="7D48DC71" w14:textId="77777777" w:rsidR="00C33B8D" w:rsidRDefault="00C33B8D">
            <w:pPr>
              <w:pStyle w:val="ListParagraph"/>
              <w:numPr>
                <w:ilvl w:val="0"/>
                <w:numId w:val="6"/>
              </w:numPr>
              <w:spacing w:after="0" w:line="256" w:lineRule="auto"/>
              <w:rPr>
                <w:rFonts w:ascii="Arial" w:hAnsi="Arial" w:cs="Arial"/>
                <w:sz w:val="16"/>
              </w:rPr>
            </w:pPr>
            <w:r w:rsidRPr="00925A18">
              <w:rPr>
                <w:rFonts w:ascii="Arial" w:hAnsi="Arial" w:cs="Arial"/>
                <w:sz w:val="16"/>
              </w:rPr>
              <w:t>Treatment eligibility criteria: &lt;350 uL CD4 count, TB/HIV co-infection, all children under-5</w:t>
            </w:r>
          </w:p>
          <w:p w14:paraId="442F4476" w14:textId="55CCC49B" w:rsidR="00D0321B" w:rsidRPr="00925A18" w:rsidRDefault="00D0321B" w:rsidP="00276364">
            <w:pPr>
              <w:pStyle w:val="ListParagraph"/>
              <w:numPr>
                <w:ilvl w:val="0"/>
                <w:numId w:val="6"/>
              </w:numPr>
              <w:spacing w:after="0" w:line="256" w:lineRule="auto"/>
              <w:rPr>
                <w:rFonts w:ascii="Arial" w:hAnsi="Arial" w:cs="Arial"/>
                <w:sz w:val="16"/>
              </w:rPr>
            </w:pPr>
            <w:r>
              <w:rPr>
                <w:rFonts w:ascii="Arial" w:hAnsi="Arial" w:cs="Arial"/>
                <w:sz w:val="16"/>
              </w:rPr>
              <w:t xml:space="preserve">Differentiated service delivery models for stable patients </w:t>
            </w:r>
          </w:p>
        </w:tc>
      </w:tr>
      <w:tr w:rsidR="00831C9D" w:rsidRPr="00925A18" w14:paraId="4E614863" w14:textId="77777777" w:rsidTr="00A178D1">
        <w:trPr>
          <w:trHeight w:val="317"/>
        </w:trPr>
        <w:tc>
          <w:tcPr>
            <w:tcW w:w="9684" w:type="dxa"/>
            <w:gridSpan w:val="2"/>
            <w:shd w:val="clear" w:color="auto" w:fill="EDEDED" w:themeFill="accent3" w:themeFillTint="33"/>
          </w:tcPr>
          <w:p w14:paraId="64593C0A" w14:textId="65DEF61D" w:rsidR="00831C9D" w:rsidRPr="00A178D1" w:rsidRDefault="00831C9D" w:rsidP="00A178D1">
            <w:pPr>
              <w:spacing w:after="0" w:line="256" w:lineRule="auto"/>
              <w:rPr>
                <w:rFonts w:ascii="Arial" w:hAnsi="Arial" w:cs="Arial"/>
                <w:b/>
                <w:bCs/>
                <w:sz w:val="16"/>
              </w:rPr>
            </w:pPr>
            <w:r w:rsidRPr="00A178D1">
              <w:rPr>
                <w:rFonts w:ascii="Arial" w:hAnsi="Arial" w:cs="Arial"/>
                <w:b/>
                <w:bCs/>
                <w:sz w:val="16"/>
              </w:rPr>
              <w:t>Critical enablers</w:t>
            </w:r>
          </w:p>
        </w:tc>
      </w:tr>
      <w:tr w:rsidR="00831C9D" w:rsidRPr="00925A18" w14:paraId="40344C6D" w14:textId="77777777" w:rsidTr="00276364">
        <w:trPr>
          <w:trHeight w:val="317"/>
        </w:trPr>
        <w:tc>
          <w:tcPr>
            <w:tcW w:w="1255" w:type="dxa"/>
            <w:shd w:val="clear" w:color="auto" w:fill="FFFFFF" w:themeFill="background1"/>
          </w:tcPr>
          <w:p w14:paraId="52FE7D74" w14:textId="0B8CCD61" w:rsidR="00831C9D" w:rsidRPr="00831C9D" w:rsidRDefault="00534BDF" w:rsidP="00276364">
            <w:pPr>
              <w:spacing w:after="0" w:line="256" w:lineRule="auto"/>
              <w:rPr>
                <w:rFonts w:ascii="Arial" w:hAnsi="Arial" w:cs="Arial"/>
                <w:bCs/>
                <w:sz w:val="16"/>
              </w:rPr>
            </w:pPr>
            <w:r>
              <w:rPr>
                <w:rFonts w:ascii="Arial" w:hAnsi="Arial" w:cs="Arial"/>
                <w:bCs/>
                <w:sz w:val="16"/>
              </w:rPr>
              <w:t>Cross-cutting</w:t>
            </w:r>
          </w:p>
        </w:tc>
        <w:tc>
          <w:tcPr>
            <w:tcW w:w="8429" w:type="dxa"/>
            <w:shd w:val="clear" w:color="auto" w:fill="FFFFFF" w:themeFill="background1"/>
          </w:tcPr>
          <w:p w14:paraId="70676CC5" w14:textId="642500A5" w:rsidR="00222157" w:rsidRDefault="00E5101A" w:rsidP="00276364">
            <w:pPr>
              <w:pStyle w:val="ListParagraph"/>
              <w:numPr>
                <w:ilvl w:val="0"/>
                <w:numId w:val="6"/>
              </w:numPr>
              <w:spacing w:after="0" w:line="256" w:lineRule="auto"/>
              <w:rPr>
                <w:rFonts w:ascii="Arial" w:hAnsi="Arial" w:cs="Arial"/>
                <w:sz w:val="16"/>
              </w:rPr>
            </w:pPr>
            <w:r>
              <w:rPr>
                <w:rFonts w:ascii="Arial" w:hAnsi="Arial" w:cs="Arial"/>
                <w:sz w:val="16"/>
              </w:rPr>
              <w:t xml:space="preserve">Criminalization of </w:t>
            </w:r>
            <w:r w:rsidR="00222157">
              <w:rPr>
                <w:rFonts w:ascii="Arial" w:hAnsi="Arial" w:cs="Arial"/>
                <w:sz w:val="16"/>
              </w:rPr>
              <w:t>FSW, MSM, and PWID</w:t>
            </w:r>
            <w:r w:rsidR="00E26AD8">
              <w:rPr>
                <w:rFonts w:ascii="Arial" w:hAnsi="Arial" w:cs="Arial"/>
                <w:sz w:val="16"/>
              </w:rPr>
              <w:t xml:space="preserve"> </w:t>
            </w:r>
            <w:r>
              <w:rPr>
                <w:rFonts w:ascii="Arial" w:hAnsi="Arial" w:cs="Arial"/>
                <w:sz w:val="16"/>
              </w:rPr>
              <w:t>persists.</w:t>
            </w:r>
            <w:r w:rsidR="00534BDF">
              <w:rPr>
                <w:rFonts w:ascii="Arial" w:hAnsi="Arial" w:cs="Arial"/>
                <w:sz w:val="16"/>
              </w:rPr>
              <w:t xml:space="preserve"> Limited progress has been made in implementing the WHO and Tanzanian key-population guidelines that support community-based combination prevention packages</w:t>
            </w:r>
            <w:r>
              <w:rPr>
                <w:rFonts w:ascii="Arial" w:hAnsi="Arial" w:cs="Arial"/>
                <w:sz w:val="16"/>
              </w:rPr>
              <w:t xml:space="preserve"> for these groups</w:t>
            </w:r>
            <w:r w:rsidR="00534BDF">
              <w:rPr>
                <w:rFonts w:ascii="Arial" w:hAnsi="Arial" w:cs="Arial"/>
                <w:sz w:val="16"/>
              </w:rPr>
              <w:t>.</w:t>
            </w:r>
          </w:p>
          <w:p w14:paraId="1B3FB983" w14:textId="77777777" w:rsidR="00E5101A" w:rsidRDefault="00E5101A" w:rsidP="00E5101A">
            <w:pPr>
              <w:pStyle w:val="ListParagraph"/>
              <w:numPr>
                <w:ilvl w:val="0"/>
                <w:numId w:val="6"/>
              </w:numPr>
              <w:spacing w:after="0" w:line="256" w:lineRule="auto"/>
              <w:rPr>
                <w:rFonts w:ascii="Arial" w:hAnsi="Arial" w:cs="Arial"/>
                <w:sz w:val="16"/>
              </w:rPr>
            </w:pPr>
            <w:r>
              <w:rPr>
                <w:rFonts w:ascii="Arial" w:hAnsi="Arial" w:cs="Arial"/>
                <w:sz w:val="16"/>
              </w:rPr>
              <w:lastRenderedPageBreak/>
              <w:t>Education programs to reduce p</w:t>
            </w:r>
            <w:r w:rsidR="00222157">
              <w:rPr>
                <w:rFonts w:ascii="Arial" w:hAnsi="Arial" w:cs="Arial"/>
                <w:sz w:val="16"/>
              </w:rPr>
              <w:t>artner violence</w:t>
            </w:r>
            <w:r w:rsidR="00E26AD8">
              <w:rPr>
                <w:rFonts w:ascii="Arial" w:hAnsi="Arial" w:cs="Arial"/>
                <w:sz w:val="16"/>
              </w:rPr>
              <w:t xml:space="preserve"> and s</w:t>
            </w:r>
            <w:r w:rsidR="00222157">
              <w:rPr>
                <w:rFonts w:ascii="Arial" w:hAnsi="Arial" w:cs="Arial"/>
                <w:sz w:val="16"/>
              </w:rPr>
              <w:t xml:space="preserve">tigma </w:t>
            </w:r>
            <w:r>
              <w:rPr>
                <w:rFonts w:ascii="Arial" w:hAnsi="Arial" w:cs="Arial"/>
                <w:sz w:val="16"/>
              </w:rPr>
              <w:t>are in place but these issues are still widespread and continue to</w:t>
            </w:r>
            <w:r w:rsidR="00534BDF">
              <w:rPr>
                <w:rFonts w:ascii="Arial" w:hAnsi="Arial" w:cs="Arial"/>
                <w:sz w:val="16"/>
              </w:rPr>
              <w:t xml:space="preserve"> inhibit t</w:t>
            </w:r>
            <w:r w:rsidR="00222157">
              <w:rPr>
                <w:rFonts w:ascii="Arial" w:hAnsi="Arial" w:cs="Arial"/>
                <w:sz w:val="16"/>
              </w:rPr>
              <w:t>esting and linkage to care</w:t>
            </w:r>
            <w:r w:rsidR="00534BDF">
              <w:rPr>
                <w:rFonts w:ascii="Arial" w:hAnsi="Arial" w:cs="Arial"/>
                <w:sz w:val="16"/>
              </w:rPr>
              <w:t xml:space="preserve"> among women</w:t>
            </w:r>
          </w:p>
          <w:p w14:paraId="081F9F70" w14:textId="4A2AB9C1" w:rsidR="00222157" w:rsidRPr="00A178D1" w:rsidRDefault="00E5101A">
            <w:pPr>
              <w:pStyle w:val="ListParagraph"/>
              <w:numPr>
                <w:ilvl w:val="0"/>
                <w:numId w:val="6"/>
              </w:numPr>
              <w:spacing w:after="0" w:line="256" w:lineRule="auto"/>
              <w:rPr>
                <w:rFonts w:ascii="Arial" w:hAnsi="Arial" w:cs="Arial"/>
                <w:sz w:val="16"/>
              </w:rPr>
            </w:pPr>
            <w:r>
              <w:rPr>
                <w:rFonts w:ascii="Arial" w:hAnsi="Arial" w:cs="Arial"/>
                <w:sz w:val="16"/>
                <w:szCs w:val="16"/>
              </w:rPr>
              <w:t xml:space="preserve">Cash transfer programs improve the enabling environment </w:t>
            </w:r>
            <w:r w:rsidR="00222157" w:rsidRPr="00A178D1">
              <w:rPr>
                <w:rFonts w:ascii="Arial" w:hAnsi="Arial" w:cs="Arial"/>
                <w:sz w:val="16"/>
                <w:szCs w:val="16"/>
              </w:rPr>
              <w:t>through improved household economic status, increased secondary</w:t>
            </w:r>
            <w:r w:rsidR="00534BDF" w:rsidRPr="00A178D1">
              <w:rPr>
                <w:rFonts w:ascii="Arial" w:hAnsi="Arial" w:cs="Arial"/>
                <w:sz w:val="16"/>
                <w:szCs w:val="16"/>
              </w:rPr>
              <w:t xml:space="preserve"> </w:t>
            </w:r>
            <w:r w:rsidR="00222157" w:rsidRPr="00A178D1">
              <w:rPr>
                <w:rFonts w:ascii="Arial" w:hAnsi="Arial" w:cs="Arial"/>
                <w:sz w:val="16"/>
                <w:szCs w:val="16"/>
              </w:rPr>
              <w:t>school attendance, improved mental and physical health, delays in sexual debut and pregnancy, and reduced sexual risk behavio</w:t>
            </w:r>
            <w:r w:rsidR="00534BDF" w:rsidRPr="00A178D1">
              <w:rPr>
                <w:rFonts w:ascii="Arial" w:hAnsi="Arial" w:cs="Arial"/>
                <w:sz w:val="16"/>
                <w:szCs w:val="16"/>
              </w:rPr>
              <w:t>rs.</w:t>
            </w:r>
          </w:p>
        </w:tc>
      </w:tr>
    </w:tbl>
    <w:p w14:paraId="76D63A72" w14:textId="7CCABF47" w:rsidR="00813E82" w:rsidRDefault="00CD3475" w:rsidP="00C759BF">
      <w:pPr>
        <w:autoSpaceDE w:val="0"/>
        <w:autoSpaceDN w:val="0"/>
        <w:adjustRightInd w:val="0"/>
        <w:spacing w:after="0" w:line="240" w:lineRule="auto"/>
        <w:rPr>
          <w:rFonts w:ascii="Arial" w:hAnsi="Arial" w:cs="Arial"/>
          <w:iCs/>
          <w:color w:val="000000" w:themeColor="text1"/>
          <w:sz w:val="16"/>
        </w:rPr>
      </w:pPr>
      <w:r w:rsidRPr="001B30E2">
        <w:rPr>
          <w:rFonts w:ascii="Arial" w:hAnsi="Arial" w:cs="Arial"/>
          <w:color w:val="000000" w:themeColor="text1"/>
          <w:sz w:val="16"/>
        </w:rPr>
        <w:lastRenderedPageBreak/>
        <w:t xml:space="preserve">Source: </w:t>
      </w:r>
      <w:r w:rsidRPr="001B30E2">
        <w:rPr>
          <w:rFonts w:ascii="Arial" w:hAnsi="Arial" w:cs="Arial"/>
          <w:iCs/>
          <w:color w:val="000000" w:themeColor="text1"/>
          <w:sz w:val="16"/>
        </w:rPr>
        <w:t>TACAIDS and UNAIDS</w:t>
      </w:r>
      <w:r w:rsidR="00AE2808">
        <w:rPr>
          <w:rFonts w:ascii="Arial" w:hAnsi="Arial" w:cs="Arial"/>
          <w:iCs/>
          <w:color w:val="000000" w:themeColor="text1"/>
          <w:sz w:val="16"/>
        </w:rPr>
        <w:t xml:space="preserve"> </w:t>
      </w:r>
      <w:r w:rsidR="00AC73AD">
        <w:rPr>
          <w:rFonts w:ascii="Arial" w:hAnsi="Arial" w:cs="Arial"/>
          <w:iCs/>
          <w:color w:val="000000" w:themeColor="text1"/>
          <w:sz w:val="16"/>
        </w:rPr>
        <w:t>(</w:t>
      </w:r>
      <w:r w:rsidR="00AE2808">
        <w:rPr>
          <w:rFonts w:ascii="Arial" w:hAnsi="Arial" w:cs="Arial"/>
          <w:iCs/>
          <w:color w:val="000000" w:themeColor="text1"/>
          <w:sz w:val="16"/>
        </w:rPr>
        <w:t>2016</w:t>
      </w:r>
      <w:r w:rsidR="00AC73AD">
        <w:rPr>
          <w:rFonts w:ascii="Arial" w:hAnsi="Arial" w:cs="Arial"/>
          <w:iCs/>
          <w:color w:val="000000" w:themeColor="text1"/>
          <w:sz w:val="16"/>
        </w:rPr>
        <w:t>)</w:t>
      </w:r>
      <w:r w:rsidRPr="001B30E2">
        <w:rPr>
          <w:rFonts w:ascii="Arial" w:hAnsi="Arial" w:cs="Arial"/>
          <w:iCs/>
          <w:color w:val="000000" w:themeColor="text1"/>
          <w:sz w:val="16"/>
        </w:rPr>
        <w:t>. Tanzania HIV Investment Case Reference Report.</w:t>
      </w:r>
    </w:p>
    <w:p w14:paraId="39BED663" w14:textId="77777777" w:rsidR="00F0250D" w:rsidRDefault="00F0250D" w:rsidP="00276364">
      <w:pPr>
        <w:autoSpaceDE w:val="0"/>
        <w:autoSpaceDN w:val="0"/>
        <w:adjustRightInd w:val="0"/>
        <w:spacing w:after="0" w:line="240" w:lineRule="auto"/>
        <w:rPr>
          <w:rFonts w:ascii="Arial" w:hAnsi="Arial" w:cs="Arial"/>
        </w:rPr>
      </w:pPr>
    </w:p>
    <w:p w14:paraId="26A9733D" w14:textId="6194DABA" w:rsidR="009F79F0" w:rsidRDefault="00475182" w:rsidP="00F0250D">
      <w:pPr>
        <w:rPr>
          <w:rFonts w:ascii="Arial" w:hAnsi="Arial" w:cs="Arial"/>
        </w:rPr>
      </w:pPr>
      <w:r w:rsidRPr="00925A18">
        <w:rPr>
          <w:rFonts w:ascii="Arial" w:hAnsi="Arial" w:cs="Arial"/>
        </w:rPr>
        <w:t>Since the</w:t>
      </w:r>
      <w:r w:rsidR="00AD74AA">
        <w:rPr>
          <w:rFonts w:ascii="Arial" w:hAnsi="Arial" w:cs="Arial"/>
        </w:rPr>
        <w:t xml:space="preserve"> IC 1.0</w:t>
      </w:r>
      <w:r w:rsidRPr="00925A18">
        <w:rPr>
          <w:rFonts w:ascii="Arial" w:hAnsi="Arial" w:cs="Arial"/>
        </w:rPr>
        <w:t xml:space="preserve">, additional progress </w:t>
      </w:r>
      <w:r>
        <w:rPr>
          <w:rFonts w:ascii="Arial" w:hAnsi="Arial" w:cs="Arial"/>
        </w:rPr>
        <w:t>on scaling select prevention interventions has been strong, such as male circumcision for adolescent boys and young men and PMTCT</w:t>
      </w:r>
      <w:r w:rsidR="00AD74AA">
        <w:rPr>
          <w:rFonts w:ascii="Arial" w:hAnsi="Arial" w:cs="Arial"/>
        </w:rPr>
        <w:t>. The percentage of pregnant women aware of their status on ART has increased from 71% to 98%. VMMC among adolescent and young men has increased from 70 to 78% (</w:t>
      </w:r>
      <w:r w:rsidRPr="001B30E2">
        <w:rPr>
          <w:rFonts w:ascii="Arial" w:hAnsi="Arial" w:cs="Arial"/>
          <w:i/>
        </w:rPr>
        <w:t>Figure</w:t>
      </w:r>
      <w:r w:rsidR="00BD2E89">
        <w:rPr>
          <w:rFonts w:ascii="Arial" w:hAnsi="Arial" w:cs="Arial"/>
          <w:i/>
        </w:rPr>
        <w:t xml:space="preserve"> </w:t>
      </w:r>
      <w:r w:rsidR="00B61AA0">
        <w:rPr>
          <w:rFonts w:ascii="Arial" w:hAnsi="Arial" w:cs="Arial"/>
          <w:i/>
        </w:rPr>
        <w:t>2-</w:t>
      </w:r>
      <w:r w:rsidR="00BD2E89">
        <w:rPr>
          <w:rFonts w:ascii="Arial" w:hAnsi="Arial" w:cs="Arial"/>
          <w:i/>
        </w:rPr>
        <w:t>5</w:t>
      </w:r>
      <w:r w:rsidR="00AD74AA">
        <w:rPr>
          <w:rFonts w:ascii="Arial" w:hAnsi="Arial" w:cs="Arial"/>
          <w:i/>
        </w:rPr>
        <w:t>)</w:t>
      </w:r>
      <w:r w:rsidRPr="00925A18">
        <w:rPr>
          <w:rFonts w:ascii="Arial" w:hAnsi="Arial" w:cs="Arial"/>
        </w:rPr>
        <w:t>.</w:t>
      </w:r>
    </w:p>
    <w:p w14:paraId="6FD0E871" w14:textId="77777777" w:rsidR="00E5101A" w:rsidRDefault="00E5101A" w:rsidP="001421EB">
      <w:pPr>
        <w:spacing w:after="0" w:line="256" w:lineRule="auto"/>
        <w:rPr>
          <w:rFonts w:ascii="Arial" w:hAnsi="Arial" w:cs="Arial"/>
          <w:i/>
          <w:sz w:val="18"/>
        </w:rPr>
      </w:pPr>
    </w:p>
    <w:p w14:paraId="2CD4EFE1" w14:textId="7EB48EA2" w:rsidR="001421EB" w:rsidRDefault="001421EB" w:rsidP="001421EB">
      <w:pPr>
        <w:spacing w:after="0" w:line="256" w:lineRule="auto"/>
        <w:rPr>
          <w:rFonts w:ascii="Arial" w:hAnsi="Arial" w:cs="Arial"/>
          <w:noProof/>
        </w:rPr>
      </w:pPr>
      <w:r w:rsidRPr="001B30E2">
        <w:rPr>
          <w:rFonts w:ascii="Arial" w:hAnsi="Arial" w:cs="Arial"/>
          <w:i/>
          <w:sz w:val="18"/>
        </w:rPr>
        <w:t xml:space="preserve">Figure </w:t>
      </w:r>
      <w:r w:rsidR="00B61AA0">
        <w:rPr>
          <w:rFonts w:ascii="Arial" w:hAnsi="Arial" w:cs="Arial"/>
          <w:i/>
          <w:sz w:val="18"/>
        </w:rPr>
        <w:t>2-</w:t>
      </w:r>
      <w:r w:rsidR="00BD2E89">
        <w:rPr>
          <w:rFonts w:ascii="Arial" w:hAnsi="Arial" w:cs="Arial"/>
          <w:i/>
          <w:sz w:val="18"/>
        </w:rPr>
        <w:t>5</w:t>
      </w:r>
      <w:r>
        <w:rPr>
          <w:rFonts w:ascii="Arial" w:hAnsi="Arial" w:cs="Arial"/>
          <w:i/>
          <w:sz w:val="18"/>
        </w:rPr>
        <w:t>.</w:t>
      </w:r>
      <w:r w:rsidRPr="006C5F24">
        <w:rPr>
          <w:rFonts w:ascii="Arial" w:hAnsi="Arial" w:cs="Arial"/>
          <w:bCs/>
          <w:i/>
          <w:sz w:val="18"/>
        </w:rPr>
        <w:t xml:space="preserve"> </w:t>
      </w:r>
      <w:r w:rsidRPr="00925A18">
        <w:rPr>
          <w:rFonts w:ascii="Arial" w:hAnsi="Arial" w:cs="Arial"/>
          <w:bCs/>
          <w:i/>
          <w:sz w:val="18"/>
        </w:rPr>
        <w:t xml:space="preserve">Progress since 2016 </w:t>
      </w:r>
      <w:r>
        <w:rPr>
          <w:rFonts w:ascii="Arial" w:hAnsi="Arial" w:cs="Arial"/>
          <w:bCs/>
          <w:i/>
          <w:sz w:val="18"/>
        </w:rPr>
        <w:t>and remaining gaps for VMMC and PMTCT</w:t>
      </w:r>
    </w:p>
    <w:p w14:paraId="0003579E" w14:textId="42DA20B4" w:rsidR="001421EB" w:rsidRDefault="00C22808" w:rsidP="001421EB">
      <w:pPr>
        <w:spacing w:after="0" w:line="256" w:lineRule="auto"/>
        <w:rPr>
          <w:rFonts w:ascii="Arial" w:hAnsi="Arial" w:cs="Arial"/>
        </w:rPr>
      </w:pPr>
      <w:r>
        <w:rPr>
          <w:rFonts w:ascii="Arial" w:hAnsi="Arial" w:cs="Arial"/>
          <w:noProof/>
        </w:rPr>
        <w:drawing>
          <wp:inline distT="0" distB="0" distL="0" distR="0" wp14:anchorId="26EAD3EB" wp14:editId="3782F28C">
            <wp:extent cx="4574596" cy="2842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207" cy="2844503"/>
                    </a:xfrm>
                    <a:prstGeom prst="rect">
                      <a:avLst/>
                    </a:prstGeom>
                    <a:noFill/>
                    <a:ln>
                      <a:noFill/>
                    </a:ln>
                  </pic:spPr>
                </pic:pic>
              </a:graphicData>
            </a:graphic>
          </wp:inline>
        </w:drawing>
      </w:r>
    </w:p>
    <w:p w14:paraId="4A62C246" w14:textId="15950DAF" w:rsidR="00BD2E89" w:rsidRPr="00D505C4" w:rsidRDefault="001421EB" w:rsidP="001421EB">
      <w:pPr>
        <w:spacing w:after="0" w:line="256" w:lineRule="auto"/>
        <w:rPr>
          <w:rFonts w:ascii="Arial" w:hAnsi="Arial" w:cs="Arial"/>
          <w:color w:val="000000" w:themeColor="text1"/>
          <w:sz w:val="16"/>
          <w:szCs w:val="16"/>
        </w:rPr>
      </w:pPr>
      <w:r w:rsidRPr="00D505C4">
        <w:rPr>
          <w:rFonts w:ascii="Arial" w:hAnsi="Arial" w:cs="Arial"/>
          <w:sz w:val="16"/>
          <w:szCs w:val="16"/>
          <w:lang w:val="en-GB"/>
        </w:rPr>
        <w:t>Source:</w:t>
      </w:r>
      <w:r>
        <w:rPr>
          <w:rFonts w:ascii="Arial" w:hAnsi="Arial" w:cs="Arial"/>
          <w:sz w:val="16"/>
          <w:szCs w:val="16"/>
          <w:lang w:val="en-GB"/>
        </w:rPr>
        <w:t xml:space="preserve"> UNAIDS </w:t>
      </w:r>
      <w:r w:rsidR="00AC73AD">
        <w:rPr>
          <w:rFonts w:ascii="Arial" w:hAnsi="Arial" w:cs="Arial"/>
          <w:sz w:val="16"/>
          <w:szCs w:val="16"/>
          <w:lang w:val="en-GB"/>
        </w:rPr>
        <w:t>(</w:t>
      </w:r>
      <w:r>
        <w:rPr>
          <w:rFonts w:ascii="Arial" w:hAnsi="Arial" w:cs="Arial"/>
          <w:sz w:val="16"/>
          <w:szCs w:val="16"/>
          <w:lang w:val="en-GB"/>
        </w:rPr>
        <w:t>2018</w:t>
      </w:r>
      <w:r w:rsidR="00AC73AD">
        <w:rPr>
          <w:rFonts w:ascii="Arial" w:hAnsi="Arial" w:cs="Arial"/>
          <w:sz w:val="16"/>
          <w:szCs w:val="16"/>
          <w:lang w:val="en-GB"/>
        </w:rPr>
        <w:t>). Aidsinfo data</w:t>
      </w:r>
      <w:r>
        <w:rPr>
          <w:rFonts w:ascii="Arial" w:hAnsi="Arial" w:cs="Arial"/>
          <w:sz w:val="16"/>
          <w:szCs w:val="16"/>
          <w:lang w:val="en-GB"/>
        </w:rPr>
        <w:t xml:space="preserve">; </w:t>
      </w:r>
      <w:r w:rsidR="00AC73AD" w:rsidRPr="001B30E2">
        <w:rPr>
          <w:rFonts w:ascii="Arial" w:hAnsi="Arial" w:cs="Arial"/>
          <w:iCs/>
          <w:color w:val="000000" w:themeColor="text1"/>
          <w:sz w:val="16"/>
        </w:rPr>
        <w:t>TACAIDS and UNAIDS</w:t>
      </w:r>
      <w:r w:rsidR="00AC73AD">
        <w:rPr>
          <w:rFonts w:ascii="Arial" w:hAnsi="Arial" w:cs="Arial"/>
          <w:iCs/>
          <w:color w:val="000000" w:themeColor="text1"/>
          <w:sz w:val="16"/>
        </w:rPr>
        <w:t xml:space="preserve"> (2016)</w:t>
      </w:r>
      <w:r w:rsidR="00AC73AD" w:rsidRPr="001B30E2">
        <w:rPr>
          <w:rFonts w:ascii="Arial" w:hAnsi="Arial" w:cs="Arial"/>
          <w:iCs/>
          <w:color w:val="000000" w:themeColor="text1"/>
          <w:sz w:val="16"/>
        </w:rPr>
        <w:t>. Tanzania HIV Investment Case Reference Report</w:t>
      </w:r>
      <w:r w:rsidR="00AC73AD">
        <w:rPr>
          <w:rFonts w:ascii="Arial" w:hAnsi="Arial" w:cs="Arial"/>
          <w:iCs/>
          <w:color w:val="000000" w:themeColor="text1"/>
          <w:sz w:val="16"/>
        </w:rPr>
        <w:t xml:space="preserve">; </w:t>
      </w:r>
      <w:r w:rsidR="00AC73AD">
        <w:rPr>
          <w:rFonts w:ascii="Arial" w:hAnsi="Arial" w:cs="Arial"/>
          <w:color w:val="000000" w:themeColor="text1"/>
          <w:sz w:val="16"/>
          <w:szCs w:val="16"/>
        </w:rPr>
        <w:t xml:space="preserve">ICAP et al (2017). </w:t>
      </w:r>
      <w:r>
        <w:rPr>
          <w:rFonts w:ascii="Arial" w:hAnsi="Arial" w:cs="Arial"/>
          <w:color w:val="000000" w:themeColor="text1"/>
          <w:sz w:val="16"/>
          <w:szCs w:val="16"/>
        </w:rPr>
        <w:t>Tanzania Population-based HIV Impact Assessment 2016-</w:t>
      </w:r>
      <w:r w:rsidRPr="00B86B3B">
        <w:rPr>
          <w:rFonts w:ascii="Arial" w:hAnsi="Arial" w:cs="Arial"/>
          <w:color w:val="000000" w:themeColor="text1"/>
          <w:sz w:val="16"/>
          <w:szCs w:val="16"/>
        </w:rPr>
        <w:t>201</w:t>
      </w:r>
      <w:r w:rsidR="00AC73AD">
        <w:rPr>
          <w:rFonts w:ascii="Arial" w:hAnsi="Arial" w:cs="Arial"/>
          <w:color w:val="000000" w:themeColor="text1"/>
          <w:sz w:val="16"/>
          <w:szCs w:val="16"/>
        </w:rPr>
        <w:t>7 Summary Sheet: Preliminary finding</w:t>
      </w:r>
      <w:r w:rsidR="006415B8">
        <w:rPr>
          <w:rFonts w:ascii="Arial" w:hAnsi="Arial" w:cs="Arial"/>
          <w:color w:val="000000" w:themeColor="text1"/>
          <w:sz w:val="16"/>
          <w:szCs w:val="16"/>
        </w:rPr>
        <w:t>s</w:t>
      </w:r>
      <w:r>
        <w:rPr>
          <w:rFonts w:ascii="Arial" w:hAnsi="Arial" w:cs="Arial"/>
          <w:color w:val="000000" w:themeColor="text1"/>
          <w:sz w:val="16"/>
          <w:szCs w:val="16"/>
        </w:rPr>
        <w:t xml:space="preserve">; </w:t>
      </w:r>
      <w:r w:rsidR="00AC73AD">
        <w:rPr>
          <w:rFonts w:ascii="Arial" w:hAnsi="Arial" w:cs="Arial"/>
          <w:color w:val="000000" w:themeColor="text1"/>
          <w:sz w:val="16"/>
          <w:szCs w:val="16"/>
        </w:rPr>
        <w:t xml:space="preserve">TACAIDS (2018). </w:t>
      </w:r>
      <w:r>
        <w:rPr>
          <w:rFonts w:ascii="Arial" w:hAnsi="Arial" w:cs="Arial"/>
          <w:color w:val="000000" w:themeColor="text1"/>
          <w:sz w:val="16"/>
          <w:szCs w:val="16"/>
        </w:rPr>
        <w:t>NMSF IV</w:t>
      </w:r>
      <w:r w:rsidR="00AC73AD">
        <w:rPr>
          <w:rFonts w:ascii="Arial" w:hAnsi="Arial" w:cs="Arial"/>
          <w:color w:val="000000" w:themeColor="text1"/>
          <w:sz w:val="16"/>
          <w:szCs w:val="16"/>
        </w:rPr>
        <w:t>.</w:t>
      </w:r>
    </w:p>
    <w:p w14:paraId="7563D439" w14:textId="77777777" w:rsidR="001421EB" w:rsidRPr="00F0250D" w:rsidRDefault="001421EB" w:rsidP="00444084">
      <w:pPr>
        <w:spacing w:after="0" w:line="256" w:lineRule="auto"/>
        <w:rPr>
          <w:rFonts w:ascii="Arial" w:hAnsi="Arial" w:cs="Arial"/>
        </w:rPr>
      </w:pPr>
    </w:p>
    <w:p w14:paraId="685C2CFD" w14:textId="371BE737" w:rsidR="00475182" w:rsidRDefault="009F79F0" w:rsidP="00505F88">
      <w:pPr>
        <w:spacing w:after="0"/>
        <w:rPr>
          <w:rFonts w:ascii="Arial" w:hAnsi="Arial" w:cs="Arial"/>
        </w:rPr>
      </w:pPr>
      <w:r>
        <w:rPr>
          <w:rFonts w:ascii="Arial" w:hAnsi="Arial" w:cs="Arial"/>
        </w:rPr>
        <w:t>P</w:t>
      </w:r>
      <w:r w:rsidR="00475182">
        <w:rPr>
          <w:rFonts w:ascii="Arial" w:hAnsi="Arial" w:cs="Arial"/>
        </w:rPr>
        <w:t>rogress on condom promotion and PrEP has not been expanded significantly. Coverage of cash transfers is not well known.</w:t>
      </w:r>
      <w:r w:rsidR="00AD74AA">
        <w:rPr>
          <w:rFonts w:ascii="Arial" w:hAnsi="Arial" w:cs="Arial"/>
        </w:rPr>
        <w:t xml:space="preserve"> </w:t>
      </w:r>
      <w:r w:rsidR="00B95653">
        <w:rPr>
          <w:rFonts w:ascii="Arial" w:hAnsi="Arial" w:cs="Arial"/>
          <w:i/>
        </w:rPr>
        <w:t>Figure</w:t>
      </w:r>
      <w:r w:rsidR="00AD74AA" w:rsidRPr="00B95653">
        <w:rPr>
          <w:rFonts w:ascii="Arial" w:hAnsi="Arial" w:cs="Arial"/>
          <w:i/>
        </w:rPr>
        <w:t xml:space="preserve"> </w:t>
      </w:r>
      <w:r w:rsidR="00B95653" w:rsidRPr="00B95653">
        <w:rPr>
          <w:rFonts w:ascii="Arial" w:hAnsi="Arial" w:cs="Arial"/>
          <w:i/>
        </w:rPr>
        <w:t>3A-5</w:t>
      </w:r>
      <w:r w:rsidR="00AD74AA">
        <w:rPr>
          <w:rFonts w:ascii="Arial" w:hAnsi="Arial" w:cs="Arial"/>
        </w:rPr>
        <w:t xml:space="preserve"> in the annex compares coverage levels for key interventions from the IC 1.0 </w:t>
      </w:r>
      <w:r>
        <w:rPr>
          <w:rFonts w:ascii="Arial" w:hAnsi="Arial" w:cs="Arial"/>
        </w:rPr>
        <w:t xml:space="preserve">with those in </w:t>
      </w:r>
      <w:r w:rsidR="00AD74AA">
        <w:rPr>
          <w:rFonts w:ascii="Arial" w:hAnsi="Arial" w:cs="Arial"/>
        </w:rPr>
        <w:t>2018.</w:t>
      </w:r>
    </w:p>
    <w:p w14:paraId="4481F495" w14:textId="77777777" w:rsidR="00CF1B34" w:rsidRDefault="00CF1B34" w:rsidP="00505F88">
      <w:pPr>
        <w:spacing w:after="0"/>
        <w:rPr>
          <w:rFonts w:ascii="Arial" w:hAnsi="Arial" w:cs="Arial"/>
        </w:rPr>
      </w:pPr>
    </w:p>
    <w:p w14:paraId="2C2380F4" w14:textId="77777777" w:rsidR="00475182" w:rsidRDefault="00475182" w:rsidP="00505F88">
      <w:pPr>
        <w:pStyle w:val="Heading3"/>
        <w:rPr>
          <w:rFonts w:ascii="Arial" w:hAnsi="Arial" w:cs="Arial"/>
          <w:i/>
          <w:color w:val="000000" w:themeColor="text1"/>
        </w:rPr>
      </w:pPr>
      <w:bookmarkStart w:id="46" w:name="_Toc57035143"/>
      <w:r w:rsidRPr="00D869BE">
        <w:rPr>
          <w:rFonts w:ascii="Arial" w:hAnsi="Arial" w:cs="Arial"/>
          <w:i/>
          <w:color w:val="000000" w:themeColor="text1"/>
        </w:rPr>
        <w:t>Progress towards 90-90-90 and 95-95-95</w:t>
      </w:r>
      <w:r>
        <w:rPr>
          <w:rFonts w:ascii="Arial" w:hAnsi="Arial" w:cs="Arial"/>
          <w:i/>
          <w:color w:val="000000" w:themeColor="text1"/>
        </w:rPr>
        <w:t xml:space="preserve"> – the current treatment cascade</w:t>
      </w:r>
      <w:bookmarkEnd w:id="46"/>
    </w:p>
    <w:p w14:paraId="6916CB28" w14:textId="77777777" w:rsidR="00475182" w:rsidRPr="001A39C8" w:rsidRDefault="00475182" w:rsidP="00505F88">
      <w:pPr>
        <w:spacing w:after="0"/>
      </w:pPr>
    </w:p>
    <w:p w14:paraId="2A7CB86A" w14:textId="123AA9A6" w:rsidR="00475182" w:rsidRDefault="009F79F0" w:rsidP="00475182">
      <w:pPr>
        <w:spacing w:after="0" w:line="256" w:lineRule="auto"/>
        <w:rPr>
          <w:rFonts w:ascii="Arial" w:hAnsi="Arial" w:cs="Arial"/>
        </w:rPr>
      </w:pPr>
      <w:r>
        <w:rPr>
          <w:rFonts w:ascii="Arial" w:hAnsi="Arial" w:cs="Arial"/>
        </w:rPr>
        <w:t>P</w:t>
      </w:r>
      <w:r w:rsidR="00475182" w:rsidRPr="00925A18">
        <w:rPr>
          <w:rFonts w:ascii="Arial" w:hAnsi="Arial" w:cs="Arial"/>
        </w:rPr>
        <w:t xml:space="preserve">rogress is promising but </w:t>
      </w:r>
      <w:r w:rsidR="00475182" w:rsidRPr="001B30E2">
        <w:rPr>
          <w:rFonts w:ascii="Arial" w:hAnsi="Arial" w:cs="Arial"/>
          <w:i/>
        </w:rPr>
        <w:t xml:space="preserve">Figure </w:t>
      </w:r>
      <w:r w:rsidR="00A215B7">
        <w:rPr>
          <w:rFonts w:ascii="Arial" w:hAnsi="Arial" w:cs="Arial"/>
          <w:i/>
        </w:rPr>
        <w:t>2-</w:t>
      </w:r>
      <w:r w:rsidR="00BD2E89">
        <w:rPr>
          <w:rFonts w:ascii="Arial" w:hAnsi="Arial" w:cs="Arial"/>
          <w:i/>
        </w:rPr>
        <w:t>6</w:t>
      </w:r>
      <w:r w:rsidR="00475182" w:rsidRPr="00925A18">
        <w:rPr>
          <w:rFonts w:ascii="Arial" w:hAnsi="Arial" w:cs="Arial"/>
        </w:rPr>
        <w:t xml:space="preserve"> also shows how large the</w:t>
      </w:r>
      <w:r w:rsidR="00475182">
        <w:rPr>
          <w:rFonts w:ascii="Arial" w:hAnsi="Arial" w:cs="Arial"/>
        </w:rPr>
        <w:t xml:space="preserve"> remaining</w:t>
      </w:r>
      <w:r w:rsidR="00475182" w:rsidRPr="00925A18">
        <w:rPr>
          <w:rFonts w:ascii="Arial" w:hAnsi="Arial" w:cs="Arial"/>
        </w:rPr>
        <w:t xml:space="preserve"> </w:t>
      </w:r>
      <w:r w:rsidR="00475182">
        <w:rPr>
          <w:rFonts w:ascii="Arial" w:hAnsi="Arial" w:cs="Arial"/>
        </w:rPr>
        <w:t>ART coverage gaps are for 90-90-90 and 95-95-95 targets.</w:t>
      </w:r>
      <w:r w:rsidR="00475182" w:rsidRPr="00925A18">
        <w:rPr>
          <w:rFonts w:ascii="Arial" w:hAnsi="Arial" w:cs="Arial"/>
        </w:rPr>
        <w:t xml:space="preserve"> </w:t>
      </w:r>
    </w:p>
    <w:p w14:paraId="0DBB9027" w14:textId="77777777" w:rsidR="00475182" w:rsidRDefault="00475182" w:rsidP="00475182">
      <w:pPr>
        <w:spacing w:after="0" w:line="256" w:lineRule="auto"/>
        <w:rPr>
          <w:rFonts w:ascii="Arial" w:hAnsi="Arial" w:cs="Arial"/>
          <w:i/>
          <w:sz w:val="18"/>
        </w:rPr>
      </w:pPr>
    </w:p>
    <w:p w14:paraId="6F95F33E" w14:textId="212371AF" w:rsidR="00475182" w:rsidRDefault="00475182" w:rsidP="00475182">
      <w:pPr>
        <w:spacing w:after="0"/>
        <w:rPr>
          <w:rFonts w:ascii="Arial" w:hAnsi="Arial" w:cs="Arial"/>
        </w:rPr>
      </w:pPr>
      <w:r w:rsidRPr="00925A18">
        <w:rPr>
          <w:rFonts w:ascii="Arial" w:hAnsi="Arial" w:cs="Arial"/>
          <w:lang w:val="en-GB"/>
        </w:rPr>
        <w:t xml:space="preserve">The </w:t>
      </w:r>
      <w:r w:rsidR="00CD6A8E">
        <w:rPr>
          <w:rFonts w:ascii="Arial" w:hAnsi="Arial" w:cs="Arial"/>
          <w:lang w:val="en-GB"/>
        </w:rPr>
        <w:t xml:space="preserve">latest </w:t>
      </w:r>
      <w:r w:rsidRPr="00925A18">
        <w:rPr>
          <w:rFonts w:ascii="Arial" w:hAnsi="Arial" w:cs="Arial"/>
          <w:lang w:val="en-GB"/>
        </w:rPr>
        <w:t>Tanzania HIV Impact Survey in 2016-2017</w:t>
      </w:r>
      <w:r w:rsidR="009F79F0">
        <w:rPr>
          <w:rFonts w:ascii="Arial" w:hAnsi="Arial" w:cs="Arial"/>
          <w:lang w:val="en-GB"/>
        </w:rPr>
        <w:t xml:space="preserve"> </w:t>
      </w:r>
      <w:r w:rsidRPr="00925A18">
        <w:rPr>
          <w:rFonts w:ascii="Arial" w:hAnsi="Arial" w:cs="Arial"/>
          <w:lang w:val="en-GB"/>
        </w:rPr>
        <w:t xml:space="preserve">found that </w:t>
      </w:r>
      <w:r>
        <w:rPr>
          <w:rFonts w:ascii="Arial" w:hAnsi="Arial" w:cs="Arial"/>
          <w:lang w:val="en-GB"/>
        </w:rPr>
        <w:t>61</w:t>
      </w:r>
      <w:r w:rsidRPr="00925A18">
        <w:rPr>
          <w:rFonts w:ascii="Arial" w:hAnsi="Arial" w:cs="Arial"/>
          <w:lang w:val="en-GB"/>
        </w:rPr>
        <w:t>% of PLHIV reported that they are aware of their HIV status, of which 9</w:t>
      </w:r>
      <w:r>
        <w:rPr>
          <w:rFonts w:ascii="Arial" w:hAnsi="Arial" w:cs="Arial"/>
          <w:lang w:val="en-GB"/>
        </w:rPr>
        <w:t>4</w:t>
      </w:r>
      <w:r w:rsidRPr="00925A18">
        <w:rPr>
          <w:rFonts w:ascii="Arial" w:hAnsi="Arial" w:cs="Arial"/>
          <w:lang w:val="en-GB"/>
        </w:rPr>
        <w:t>% had started ART and 8</w:t>
      </w:r>
      <w:r>
        <w:rPr>
          <w:rFonts w:ascii="Arial" w:hAnsi="Arial" w:cs="Arial"/>
          <w:lang w:val="en-GB"/>
        </w:rPr>
        <w:t>7</w:t>
      </w:r>
      <w:r w:rsidRPr="00925A18">
        <w:rPr>
          <w:rFonts w:ascii="Arial" w:hAnsi="Arial" w:cs="Arial"/>
          <w:lang w:val="en-GB"/>
        </w:rPr>
        <w:t>% were virally suppressed (</w:t>
      </w:r>
      <w:r w:rsidR="002F7FD7">
        <w:rPr>
          <w:rFonts w:ascii="Arial" w:hAnsi="Arial" w:cs="Arial"/>
          <w:lang w:val="en-GB"/>
        </w:rPr>
        <w:t>TACAIDS and ZAC 2018</w:t>
      </w:r>
      <w:r w:rsidRPr="00925A18">
        <w:rPr>
          <w:rFonts w:ascii="Arial" w:hAnsi="Arial" w:cs="Arial"/>
          <w:lang w:val="en-GB"/>
        </w:rPr>
        <w:t xml:space="preserve">). With only </w:t>
      </w:r>
      <w:r w:rsidR="009F79F0">
        <w:rPr>
          <w:rFonts w:ascii="Arial" w:hAnsi="Arial" w:cs="Arial"/>
          <w:lang w:val="en-GB"/>
        </w:rPr>
        <w:t xml:space="preserve">three-fifths </w:t>
      </w:r>
      <w:r w:rsidRPr="00925A18">
        <w:rPr>
          <w:rFonts w:ascii="Arial" w:hAnsi="Arial" w:cs="Arial"/>
          <w:lang w:val="en-GB"/>
        </w:rPr>
        <w:t xml:space="preserve">of PLHIV aware of their status, there is a </w:t>
      </w:r>
      <w:r w:rsidR="009F79F0">
        <w:rPr>
          <w:rFonts w:ascii="Arial" w:hAnsi="Arial" w:cs="Arial"/>
          <w:lang w:val="en-GB"/>
        </w:rPr>
        <w:t xml:space="preserve">major </w:t>
      </w:r>
      <w:r w:rsidRPr="00925A18">
        <w:rPr>
          <w:rFonts w:ascii="Arial" w:hAnsi="Arial" w:cs="Arial"/>
          <w:lang w:val="en-GB"/>
        </w:rPr>
        <w:t xml:space="preserve">need to improve testing strategies (UNICEF </w:t>
      </w:r>
      <w:r w:rsidR="001332DF">
        <w:rPr>
          <w:rFonts w:ascii="Arial" w:hAnsi="Arial" w:cs="Arial"/>
          <w:lang w:val="en-GB"/>
        </w:rPr>
        <w:t xml:space="preserve">and MoHCDGEC </w:t>
      </w:r>
      <w:r w:rsidRPr="00925A18">
        <w:rPr>
          <w:rFonts w:ascii="Arial" w:hAnsi="Arial" w:cs="Arial"/>
          <w:lang w:val="en-GB"/>
        </w:rPr>
        <w:t xml:space="preserve">2018). </w:t>
      </w:r>
      <w:r>
        <w:rPr>
          <w:rFonts w:ascii="Arial" w:hAnsi="Arial" w:cs="Arial"/>
        </w:rPr>
        <w:t>P</w:t>
      </w:r>
      <w:r w:rsidRPr="00925A18">
        <w:rPr>
          <w:rFonts w:ascii="Arial" w:hAnsi="Arial" w:cs="Arial"/>
        </w:rPr>
        <w:t xml:space="preserve">rogram data suggest that HIV testing yields have been falling, </w:t>
      </w:r>
      <w:r w:rsidR="009F79F0">
        <w:rPr>
          <w:rFonts w:ascii="Arial" w:hAnsi="Arial" w:cs="Arial"/>
        </w:rPr>
        <w:t xml:space="preserve">pointing to </w:t>
      </w:r>
      <w:r w:rsidRPr="00925A18">
        <w:rPr>
          <w:rFonts w:ascii="Arial" w:hAnsi="Arial" w:cs="Arial"/>
        </w:rPr>
        <w:t xml:space="preserve">a need for more </w:t>
      </w:r>
      <w:r w:rsidRPr="00D27BCC">
        <w:rPr>
          <w:rFonts w:ascii="Arial" w:hAnsi="Arial" w:cs="Arial"/>
        </w:rPr>
        <w:t xml:space="preserve">evidence-based targeting of </w:t>
      </w:r>
      <w:r>
        <w:rPr>
          <w:rFonts w:ascii="Arial" w:hAnsi="Arial" w:cs="Arial"/>
        </w:rPr>
        <w:t xml:space="preserve">outreach towards populations with limited access to testing services including adult men, adolescents, and key populations </w:t>
      </w:r>
      <w:r w:rsidRPr="00D27BCC">
        <w:rPr>
          <w:rFonts w:ascii="Arial" w:hAnsi="Arial" w:cs="Arial"/>
        </w:rPr>
        <w:t>(</w:t>
      </w:r>
      <w:r w:rsidR="002F7FD7">
        <w:rPr>
          <w:rFonts w:ascii="Arial" w:hAnsi="Arial" w:cs="Arial"/>
        </w:rPr>
        <w:t>PEPFAR</w:t>
      </w:r>
      <w:r w:rsidRPr="00D27BCC">
        <w:rPr>
          <w:rFonts w:ascii="Arial" w:hAnsi="Arial" w:cs="Arial"/>
        </w:rPr>
        <w:t xml:space="preserve"> 2018</w:t>
      </w:r>
      <w:r w:rsidR="005B7907">
        <w:rPr>
          <w:rFonts w:ascii="Arial" w:hAnsi="Arial" w:cs="Arial"/>
        </w:rPr>
        <w:t>a</w:t>
      </w:r>
      <w:r w:rsidRPr="00D27BCC">
        <w:rPr>
          <w:rFonts w:ascii="Arial" w:hAnsi="Arial" w:cs="Arial"/>
        </w:rPr>
        <w:t>).</w:t>
      </w:r>
    </w:p>
    <w:p w14:paraId="35AB1CCC" w14:textId="77777777" w:rsidR="00CD6A8E" w:rsidRDefault="00CD6A8E" w:rsidP="00475182">
      <w:pPr>
        <w:spacing w:after="0"/>
        <w:rPr>
          <w:rFonts w:ascii="Arial" w:hAnsi="Arial" w:cs="Arial"/>
        </w:rPr>
      </w:pPr>
    </w:p>
    <w:p w14:paraId="66A191E0" w14:textId="2DBBCB16" w:rsidR="00475182" w:rsidRDefault="00475182" w:rsidP="00475182">
      <w:pPr>
        <w:spacing w:after="0"/>
        <w:rPr>
          <w:rFonts w:ascii="Arial" w:hAnsi="Arial" w:cs="Arial"/>
        </w:rPr>
      </w:pPr>
      <w:r>
        <w:rPr>
          <w:rFonts w:ascii="Arial" w:hAnsi="Arial" w:cs="Arial"/>
        </w:rPr>
        <w:lastRenderedPageBreak/>
        <w:t>F</w:t>
      </w:r>
      <w:r w:rsidRPr="00D27BCC">
        <w:rPr>
          <w:rFonts w:ascii="Arial" w:hAnsi="Arial" w:cs="Arial"/>
        </w:rPr>
        <w:t>rom 2013 to 2016, the number of PLHIV on ART doubled from 432,000 to 847,00</w:t>
      </w:r>
      <w:r>
        <w:rPr>
          <w:rFonts w:ascii="Arial" w:hAnsi="Arial" w:cs="Arial"/>
        </w:rPr>
        <w:t xml:space="preserve">0 </w:t>
      </w:r>
      <w:r w:rsidRPr="00D27BCC">
        <w:rPr>
          <w:rFonts w:ascii="Arial" w:hAnsi="Arial" w:cs="Arial"/>
        </w:rPr>
        <w:t>(</w:t>
      </w:r>
      <w:r w:rsidR="002F7FD7">
        <w:rPr>
          <w:rFonts w:ascii="Arial" w:hAnsi="Arial" w:cs="Arial"/>
        </w:rPr>
        <w:t>NACP 201</w:t>
      </w:r>
      <w:r w:rsidR="00B3662D">
        <w:rPr>
          <w:rFonts w:ascii="Arial" w:hAnsi="Arial" w:cs="Arial"/>
        </w:rPr>
        <w:t>7</w:t>
      </w:r>
      <w:r w:rsidRPr="00D27BCC">
        <w:rPr>
          <w:rFonts w:ascii="Arial" w:hAnsi="Arial" w:cs="Arial"/>
        </w:rPr>
        <w:t xml:space="preserve">). </w:t>
      </w:r>
      <w:r w:rsidR="00CD6A8E">
        <w:rPr>
          <w:rFonts w:ascii="Arial" w:hAnsi="Arial" w:cs="Arial"/>
        </w:rPr>
        <w:t>But d</w:t>
      </w:r>
      <w:r w:rsidRPr="00D27BCC">
        <w:rPr>
          <w:rFonts w:ascii="Arial" w:hAnsi="Arial" w:cs="Arial"/>
        </w:rPr>
        <w:t xml:space="preserve">ue to poor testing coverage </w:t>
      </w:r>
      <w:r w:rsidR="00CD6A8E">
        <w:rPr>
          <w:rFonts w:ascii="Arial" w:hAnsi="Arial" w:cs="Arial"/>
        </w:rPr>
        <w:t>and a low first 90</w:t>
      </w:r>
      <w:r w:rsidRPr="00D27BCC">
        <w:rPr>
          <w:rFonts w:ascii="Arial" w:hAnsi="Arial" w:cs="Arial"/>
        </w:rPr>
        <w:t xml:space="preserve">, this suggests that only </w:t>
      </w:r>
      <w:r>
        <w:rPr>
          <w:rFonts w:ascii="Arial" w:hAnsi="Arial" w:cs="Arial"/>
        </w:rPr>
        <w:t>57% of all PLHIV</w:t>
      </w:r>
      <w:r w:rsidR="00131C54">
        <w:rPr>
          <w:rFonts w:ascii="Arial" w:hAnsi="Arial" w:cs="Arial"/>
        </w:rPr>
        <w:t xml:space="preserve"> (</w:t>
      </w:r>
      <w:r>
        <w:rPr>
          <w:rFonts w:ascii="Arial" w:hAnsi="Arial" w:cs="Arial"/>
        </w:rPr>
        <w:t>both aware and unaware of their status</w:t>
      </w:r>
      <w:r w:rsidR="00131C54">
        <w:rPr>
          <w:rFonts w:ascii="Arial" w:hAnsi="Arial" w:cs="Arial"/>
        </w:rPr>
        <w:t>)</w:t>
      </w:r>
      <w:r>
        <w:rPr>
          <w:rFonts w:ascii="Arial" w:hAnsi="Arial" w:cs="Arial"/>
        </w:rPr>
        <w:t xml:space="preserve"> are on ART. For males this figure is worse, at only 47% of all males living with HIV on ART. About 62% of women living with HIV are on ART (</w:t>
      </w:r>
      <w:r w:rsidRPr="00650F2B">
        <w:rPr>
          <w:rFonts w:ascii="Arial" w:hAnsi="Arial" w:cs="Arial"/>
          <w:i/>
        </w:rPr>
        <w:t>Figure 2-</w:t>
      </w:r>
      <w:r w:rsidR="00F77BBE" w:rsidRPr="00650F2B">
        <w:rPr>
          <w:rFonts w:ascii="Arial" w:hAnsi="Arial" w:cs="Arial"/>
          <w:i/>
        </w:rPr>
        <w:t>7</w:t>
      </w:r>
      <w:r>
        <w:rPr>
          <w:rFonts w:ascii="Arial" w:hAnsi="Arial" w:cs="Arial"/>
        </w:rPr>
        <w:t xml:space="preserve">). </w:t>
      </w:r>
      <w:r w:rsidRPr="00925A18">
        <w:rPr>
          <w:rFonts w:ascii="Arial" w:hAnsi="Arial" w:cs="Arial"/>
        </w:rPr>
        <w:t xml:space="preserve">Relatedly, </w:t>
      </w:r>
      <w:r w:rsidRPr="00925A18">
        <w:rPr>
          <w:rFonts w:ascii="Arial" w:hAnsi="Arial" w:cs="Arial"/>
          <w:lang w:val="en-GB"/>
        </w:rPr>
        <w:t xml:space="preserve">among all PLHIV, viral load suppression has been achieved in only </w:t>
      </w:r>
      <w:r>
        <w:rPr>
          <w:rFonts w:ascii="Arial" w:hAnsi="Arial" w:cs="Arial"/>
          <w:lang w:val="en-GB"/>
        </w:rPr>
        <w:t>50</w:t>
      </w:r>
      <w:r w:rsidRPr="00925A18">
        <w:rPr>
          <w:rFonts w:ascii="Arial" w:hAnsi="Arial" w:cs="Arial"/>
          <w:lang w:val="en-GB"/>
        </w:rPr>
        <w:t xml:space="preserve">% </w:t>
      </w:r>
      <w:r>
        <w:rPr>
          <w:rFonts w:ascii="Arial" w:hAnsi="Arial" w:cs="Arial"/>
          <w:lang w:val="en-GB"/>
        </w:rPr>
        <w:t xml:space="preserve">of all PLHIV, despite high </w:t>
      </w:r>
      <w:r w:rsidR="00131C54">
        <w:rPr>
          <w:rFonts w:ascii="Arial" w:hAnsi="Arial" w:cs="Arial"/>
          <w:lang w:val="en-GB"/>
        </w:rPr>
        <w:t>rates of suppress</w:t>
      </w:r>
      <w:r w:rsidR="00B61AA0">
        <w:rPr>
          <w:rFonts w:ascii="Arial" w:hAnsi="Arial" w:cs="Arial"/>
          <w:lang w:val="en-GB"/>
        </w:rPr>
        <w:t>i</w:t>
      </w:r>
      <w:r w:rsidR="00131C54">
        <w:rPr>
          <w:rFonts w:ascii="Arial" w:hAnsi="Arial" w:cs="Arial"/>
          <w:lang w:val="en-GB"/>
        </w:rPr>
        <w:t>on</w:t>
      </w:r>
      <w:r>
        <w:rPr>
          <w:rFonts w:ascii="Arial" w:hAnsi="Arial" w:cs="Arial"/>
          <w:lang w:val="en-GB"/>
        </w:rPr>
        <w:t xml:space="preserve"> among those currently on ART (87%) </w:t>
      </w:r>
      <w:r w:rsidRPr="00925A18">
        <w:rPr>
          <w:rFonts w:ascii="Arial" w:hAnsi="Arial" w:cs="Arial"/>
          <w:lang w:val="en-GB"/>
        </w:rPr>
        <w:t>(</w:t>
      </w:r>
      <w:r w:rsidR="002F7FD7">
        <w:rPr>
          <w:rFonts w:ascii="Arial" w:hAnsi="Arial" w:cs="Arial"/>
          <w:lang w:val="en-GB"/>
        </w:rPr>
        <w:t>PEPFAR</w:t>
      </w:r>
      <w:r w:rsidR="005B7907">
        <w:rPr>
          <w:rFonts w:ascii="Arial" w:hAnsi="Arial" w:cs="Arial"/>
          <w:lang w:val="en-GB"/>
        </w:rPr>
        <w:t xml:space="preserve"> </w:t>
      </w:r>
      <w:r w:rsidRPr="00925A18">
        <w:rPr>
          <w:rFonts w:ascii="Arial" w:hAnsi="Arial" w:cs="Arial"/>
          <w:lang w:val="en-GB"/>
        </w:rPr>
        <w:t>2018</w:t>
      </w:r>
      <w:r w:rsidR="005B7907">
        <w:rPr>
          <w:rFonts w:ascii="Arial" w:hAnsi="Arial" w:cs="Arial"/>
          <w:lang w:val="en-GB"/>
        </w:rPr>
        <w:t>a</w:t>
      </w:r>
      <w:r w:rsidRPr="00925A18">
        <w:rPr>
          <w:rFonts w:ascii="Arial" w:hAnsi="Arial" w:cs="Arial"/>
          <w:lang w:val="en-GB"/>
        </w:rPr>
        <w:t xml:space="preserve">). </w:t>
      </w:r>
      <w:r w:rsidRPr="00925A18">
        <w:rPr>
          <w:rFonts w:ascii="Arial" w:hAnsi="Arial" w:cs="Arial"/>
        </w:rPr>
        <w:t xml:space="preserve">Viral load suppression is especially low in children </w:t>
      </w:r>
      <w:r>
        <w:rPr>
          <w:rFonts w:ascii="Arial" w:hAnsi="Arial" w:cs="Arial"/>
        </w:rPr>
        <w:t xml:space="preserve">with HIV </w:t>
      </w:r>
      <w:r w:rsidRPr="00925A18">
        <w:rPr>
          <w:rFonts w:ascii="Arial" w:hAnsi="Arial" w:cs="Arial"/>
        </w:rPr>
        <w:t xml:space="preserve">(UNICEF </w:t>
      </w:r>
      <w:r w:rsidR="001332DF">
        <w:rPr>
          <w:rFonts w:ascii="Arial" w:hAnsi="Arial" w:cs="Arial"/>
        </w:rPr>
        <w:t>and MoHCDGEC</w:t>
      </w:r>
      <w:r w:rsidRPr="00925A18">
        <w:rPr>
          <w:rFonts w:ascii="Arial" w:hAnsi="Arial" w:cs="Arial"/>
        </w:rPr>
        <w:t xml:space="preserve"> 2018).</w:t>
      </w:r>
      <w:r w:rsidRPr="004979B4">
        <w:rPr>
          <w:rFonts w:ascii="Arial" w:hAnsi="Arial" w:cs="Arial"/>
        </w:rPr>
        <w:t xml:space="preserve"> </w:t>
      </w:r>
      <w:r w:rsidRPr="00925A18">
        <w:rPr>
          <w:rFonts w:ascii="Arial" w:hAnsi="Arial" w:cs="Arial"/>
        </w:rPr>
        <w:t>Loss to follow among PLHIV</w:t>
      </w:r>
      <w:r>
        <w:rPr>
          <w:rFonts w:ascii="Arial" w:hAnsi="Arial" w:cs="Arial"/>
        </w:rPr>
        <w:t xml:space="preserve"> could </w:t>
      </w:r>
      <w:r w:rsidR="00131C54">
        <w:rPr>
          <w:rFonts w:ascii="Arial" w:hAnsi="Arial" w:cs="Arial"/>
        </w:rPr>
        <w:t xml:space="preserve">also </w:t>
      </w:r>
      <w:r>
        <w:rPr>
          <w:rFonts w:ascii="Arial" w:hAnsi="Arial" w:cs="Arial"/>
        </w:rPr>
        <w:t xml:space="preserve">be improved with a </w:t>
      </w:r>
      <w:r w:rsidRPr="00925A18">
        <w:rPr>
          <w:rFonts w:ascii="Arial" w:hAnsi="Arial" w:cs="Arial"/>
        </w:rPr>
        <w:t>12-month retention rate for ART patients only at 74% (</w:t>
      </w:r>
      <w:r w:rsidR="002F7FD7">
        <w:rPr>
          <w:rFonts w:ascii="Arial" w:hAnsi="Arial" w:cs="Arial"/>
        </w:rPr>
        <w:t>PEPFAR</w:t>
      </w:r>
      <w:r w:rsidRPr="00925A18">
        <w:rPr>
          <w:rFonts w:ascii="Arial" w:hAnsi="Arial" w:cs="Arial"/>
        </w:rPr>
        <w:t xml:space="preserve"> 2018</w:t>
      </w:r>
      <w:r w:rsidR="005B7907">
        <w:rPr>
          <w:rFonts w:ascii="Arial" w:hAnsi="Arial" w:cs="Arial"/>
        </w:rPr>
        <w:t>a</w:t>
      </w:r>
      <w:r w:rsidRPr="00925A18">
        <w:rPr>
          <w:rFonts w:ascii="Arial" w:hAnsi="Arial" w:cs="Arial"/>
        </w:rPr>
        <w:t xml:space="preserve">).  </w:t>
      </w:r>
      <w:r>
        <w:rPr>
          <w:rFonts w:ascii="Arial" w:hAnsi="Arial" w:cs="Arial"/>
        </w:rPr>
        <w:t>As screening expands, treatment, retention, and viral load suppression coverage of those diagnosed must keep pace to sustain current progress. To ultimately reach 95-95-95 targets, over 450,000 more individuals will have to be put on ART.</w:t>
      </w:r>
    </w:p>
    <w:p w14:paraId="5F661E0F" w14:textId="77777777" w:rsidR="00475182" w:rsidRDefault="00475182" w:rsidP="00475182">
      <w:pPr>
        <w:spacing w:after="0"/>
        <w:rPr>
          <w:rFonts w:ascii="Arial" w:hAnsi="Arial" w:cs="Arial"/>
        </w:rPr>
      </w:pPr>
    </w:p>
    <w:p w14:paraId="5A5B6E87" w14:textId="2EE67836" w:rsidR="00475182" w:rsidRPr="0004598D" w:rsidRDefault="00475182" w:rsidP="00276364">
      <w:pPr>
        <w:spacing w:after="0" w:line="256" w:lineRule="auto"/>
        <w:rPr>
          <w:rFonts w:ascii="Arial" w:hAnsi="Arial" w:cs="Arial"/>
          <w:b/>
        </w:rPr>
      </w:pPr>
      <w:r w:rsidRPr="00925A18">
        <w:rPr>
          <w:rFonts w:ascii="Arial" w:hAnsi="Arial" w:cs="Arial"/>
          <w:i/>
          <w:sz w:val="18"/>
        </w:rPr>
        <w:t xml:space="preserve">Figure </w:t>
      </w:r>
      <w:r>
        <w:rPr>
          <w:rFonts w:ascii="Arial" w:hAnsi="Arial" w:cs="Arial"/>
          <w:i/>
          <w:sz w:val="18"/>
        </w:rPr>
        <w:t>2-</w:t>
      </w:r>
      <w:r w:rsidR="00BD2E89">
        <w:rPr>
          <w:rFonts w:ascii="Arial" w:hAnsi="Arial" w:cs="Arial"/>
          <w:i/>
          <w:sz w:val="18"/>
        </w:rPr>
        <w:t>6</w:t>
      </w:r>
      <w:r w:rsidRPr="00925A18">
        <w:rPr>
          <w:rFonts w:ascii="Arial" w:hAnsi="Arial" w:cs="Arial"/>
          <w:i/>
          <w:sz w:val="18"/>
        </w:rPr>
        <w:t xml:space="preserve">. </w:t>
      </w:r>
      <w:r w:rsidRPr="00925A18">
        <w:rPr>
          <w:rFonts w:ascii="Arial" w:hAnsi="Arial" w:cs="Arial"/>
          <w:bCs/>
          <w:i/>
          <w:sz w:val="18"/>
        </w:rPr>
        <w:t>Progress</w:t>
      </w:r>
      <w:r w:rsidR="006C0CC0">
        <w:rPr>
          <w:rFonts w:ascii="Arial" w:hAnsi="Arial" w:cs="Arial"/>
          <w:bCs/>
          <w:i/>
          <w:sz w:val="18"/>
        </w:rPr>
        <w:t xml:space="preserve"> on ART coverage</w:t>
      </w:r>
      <w:r w:rsidRPr="00925A18">
        <w:rPr>
          <w:rFonts w:ascii="Arial" w:hAnsi="Arial" w:cs="Arial"/>
          <w:bCs/>
          <w:i/>
          <w:sz w:val="18"/>
        </w:rPr>
        <w:t xml:space="preserve"> since 2016 </w:t>
      </w:r>
      <w:r>
        <w:rPr>
          <w:rFonts w:ascii="Arial" w:hAnsi="Arial" w:cs="Arial"/>
          <w:bCs/>
          <w:i/>
          <w:sz w:val="18"/>
        </w:rPr>
        <w:t xml:space="preserve">and remaining gaps for </w:t>
      </w:r>
      <w:r w:rsidR="006C0CC0">
        <w:rPr>
          <w:rFonts w:ascii="Arial" w:hAnsi="Arial" w:cs="Arial"/>
          <w:bCs/>
          <w:i/>
          <w:sz w:val="18"/>
        </w:rPr>
        <w:t>90-90-90 and 95-95-95 for</w:t>
      </w:r>
      <w:r>
        <w:rPr>
          <w:rFonts w:ascii="Arial" w:hAnsi="Arial" w:cs="Arial"/>
          <w:bCs/>
          <w:i/>
          <w:sz w:val="18"/>
        </w:rPr>
        <w:t xml:space="preserve"> Total 15+, Males 15+, and Females 15+</w:t>
      </w:r>
    </w:p>
    <w:p w14:paraId="12799085" w14:textId="758B037A" w:rsidR="00475182" w:rsidRPr="00217609" w:rsidRDefault="006C0CC0" w:rsidP="00276364">
      <w:pPr>
        <w:spacing w:after="0" w:line="256" w:lineRule="auto"/>
        <w:rPr>
          <w:rFonts w:ascii="Arial" w:hAnsi="Arial" w:cs="Arial"/>
          <w:i/>
          <w:sz w:val="18"/>
        </w:rPr>
      </w:pPr>
      <w:r>
        <w:rPr>
          <w:rFonts w:ascii="Arial" w:hAnsi="Arial" w:cs="Arial"/>
          <w:i/>
          <w:noProof/>
          <w:sz w:val="18"/>
        </w:rPr>
        <w:drawing>
          <wp:inline distT="0" distB="0" distL="0" distR="0" wp14:anchorId="27B0A5A6" wp14:editId="0FB5CAF9">
            <wp:extent cx="6124412" cy="26392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9708" cy="2641572"/>
                    </a:xfrm>
                    <a:prstGeom prst="rect">
                      <a:avLst/>
                    </a:prstGeom>
                    <a:noFill/>
                  </pic:spPr>
                </pic:pic>
              </a:graphicData>
            </a:graphic>
          </wp:inline>
        </w:drawing>
      </w:r>
    </w:p>
    <w:p w14:paraId="5CA9FD54" w14:textId="55E9DD6B" w:rsidR="00475182" w:rsidRDefault="00475182" w:rsidP="00475182">
      <w:pPr>
        <w:spacing w:after="0" w:line="256" w:lineRule="auto"/>
        <w:rPr>
          <w:rFonts w:ascii="Arial" w:hAnsi="Arial" w:cs="Arial"/>
          <w:color w:val="000000" w:themeColor="text1"/>
          <w:sz w:val="16"/>
          <w:szCs w:val="16"/>
        </w:rPr>
      </w:pPr>
      <w:r w:rsidRPr="00D505C4">
        <w:rPr>
          <w:rFonts w:ascii="Arial" w:hAnsi="Arial" w:cs="Arial"/>
          <w:color w:val="000000" w:themeColor="text1"/>
          <w:sz w:val="16"/>
          <w:szCs w:val="16"/>
        </w:rPr>
        <w:t xml:space="preserve">Source: Tanzania HIV Investment Case 2016 (1.0); Tanzania HIV Impact Survey </w:t>
      </w:r>
      <w:r>
        <w:rPr>
          <w:rFonts w:ascii="Arial" w:hAnsi="Arial" w:cs="Arial"/>
          <w:color w:val="000000" w:themeColor="text1"/>
          <w:sz w:val="16"/>
          <w:szCs w:val="16"/>
        </w:rPr>
        <w:t>2016-</w:t>
      </w:r>
      <w:r w:rsidRPr="00D505C4">
        <w:rPr>
          <w:rFonts w:ascii="Arial" w:hAnsi="Arial" w:cs="Arial"/>
          <w:color w:val="000000" w:themeColor="text1"/>
          <w:sz w:val="16"/>
          <w:szCs w:val="16"/>
        </w:rPr>
        <w:t>2017</w:t>
      </w:r>
      <w:r w:rsidR="006C0CC0">
        <w:rPr>
          <w:rFonts w:ascii="Arial" w:hAnsi="Arial" w:cs="Arial"/>
          <w:color w:val="000000" w:themeColor="text1"/>
          <w:sz w:val="16"/>
          <w:szCs w:val="16"/>
        </w:rPr>
        <w:t xml:space="preserve"> Final Report. </w:t>
      </w:r>
    </w:p>
    <w:p w14:paraId="444F8838" w14:textId="77777777" w:rsidR="00C33B8D" w:rsidRDefault="00C33B8D" w:rsidP="00505F88">
      <w:pPr>
        <w:spacing w:after="0" w:line="256" w:lineRule="auto"/>
        <w:rPr>
          <w:rFonts w:ascii="Arial" w:hAnsi="Arial" w:cs="Arial"/>
          <w:b/>
          <w:color w:val="4472C4" w:themeColor="accent1"/>
        </w:rPr>
      </w:pPr>
    </w:p>
    <w:p w14:paraId="0EA8358C" w14:textId="4BAB3219" w:rsidR="00C33B8D" w:rsidRDefault="00CD6A8E" w:rsidP="00505F88">
      <w:pPr>
        <w:pStyle w:val="Heading3"/>
        <w:spacing w:before="0"/>
        <w:rPr>
          <w:rFonts w:ascii="Arial" w:hAnsi="Arial" w:cs="Arial"/>
          <w:i/>
          <w:color w:val="000000" w:themeColor="text1"/>
        </w:rPr>
      </w:pPr>
      <w:bookmarkStart w:id="47" w:name="_Toc57035144"/>
      <w:r>
        <w:rPr>
          <w:rFonts w:ascii="Arial" w:hAnsi="Arial" w:cs="Arial"/>
          <w:i/>
          <w:color w:val="000000" w:themeColor="text1"/>
        </w:rPr>
        <w:t>Overcoming key program gaps and challenges 2020-2030</w:t>
      </w:r>
      <w:bookmarkEnd w:id="47"/>
    </w:p>
    <w:p w14:paraId="01ADD415" w14:textId="04ADEBCB" w:rsidR="00CD6A8E" w:rsidRPr="00505F88" w:rsidRDefault="00CD6A8E" w:rsidP="00505F88">
      <w:pPr>
        <w:spacing w:after="0"/>
        <w:rPr>
          <w:rFonts w:ascii="Arial" w:hAnsi="Arial" w:cs="Arial"/>
        </w:rPr>
      </w:pPr>
    </w:p>
    <w:p w14:paraId="6FC419EE" w14:textId="7DC0D72F" w:rsidR="00353B57" w:rsidRDefault="00353B57" w:rsidP="00CD6A8E">
      <w:pPr>
        <w:rPr>
          <w:rFonts w:ascii="Arial" w:hAnsi="Arial" w:cs="Arial"/>
        </w:rPr>
      </w:pPr>
      <w:r>
        <w:rPr>
          <w:rFonts w:ascii="Arial" w:hAnsi="Arial" w:cs="Arial"/>
        </w:rPr>
        <w:t xml:space="preserve">In addition to </w:t>
      </w:r>
      <w:r w:rsidR="00BA24EF">
        <w:rPr>
          <w:rFonts w:ascii="Arial" w:hAnsi="Arial" w:cs="Arial"/>
        </w:rPr>
        <w:t xml:space="preserve">addressing </w:t>
      </w:r>
      <w:r>
        <w:rPr>
          <w:rFonts w:ascii="Arial" w:hAnsi="Arial" w:cs="Arial"/>
        </w:rPr>
        <w:t xml:space="preserve">high </w:t>
      </w:r>
      <w:r w:rsidR="00BA24EF">
        <w:rPr>
          <w:rFonts w:ascii="Arial" w:hAnsi="Arial" w:cs="Arial"/>
        </w:rPr>
        <w:t xml:space="preserve">HIV </w:t>
      </w:r>
      <w:r>
        <w:rPr>
          <w:rFonts w:ascii="Arial" w:hAnsi="Arial" w:cs="Arial"/>
        </w:rPr>
        <w:t>incidence among AGYW and strengthen</w:t>
      </w:r>
      <w:r w:rsidR="00BA24EF">
        <w:rPr>
          <w:rFonts w:ascii="Arial" w:hAnsi="Arial" w:cs="Arial"/>
        </w:rPr>
        <w:t>ing</w:t>
      </w:r>
      <w:r>
        <w:rPr>
          <w:rFonts w:ascii="Arial" w:hAnsi="Arial" w:cs="Arial"/>
        </w:rPr>
        <w:t xml:space="preserve"> prevention efforts, testing and treatment coverage are also major challenges for the program</w:t>
      </w:r>
      <w:r w:rsidR="00CD6A8E" w:rsidRPr="00505F88">
        <w:rPr>
          <w:rFonts w:ascii="Arial" w:hAnsi="Arial" w:cs="Arial"/>
        </w:rPr>
        <w:t>.</w:t>
      </w:r>
      <w:r>
        <w:rPr>
          <w:rFonts w:ascii="Arial" w:hAnsi="Arial" w:cs="Arial"/>
        </w:rPr>
        <w:t xml:space="preserve"> The IC 1.0 identified specific bottlenecks and possible innovations to help overcome these program gaps.</w:t>
      </w:r>
      <w:r w:rsidR="00CD6A8E" w:rsidRPr="00505F88">
        <w:rPr>
          <w:rFonts w:ascii="Arial" w:hAnsi="Arial" w:cs="Arial"/>
        </w:rPr>
        <w:t xml:space="preserve"> </w:t>
      </w:r>
    </w:p>
    <w:p w14:paraId="6211D6D2" w14:textId="709EAB09" w:rsidR="005E7EF4" w:rsidRDefault="005E7EF4" w:rsidP="005E7EF4">
      <w:pPr>
        <w:spacing w:after="0" w:line="256" w:lineRule="auto"/>
        <w:rPr>
          <w:rFonts w:ascii="Arial" w:hAnsi="Arial" w:cs="Arial"/>
        </w:rPr>
      </w:pPr>
      <w:r>
        <w:rPr>
          <w:rFonts w:ascii="Arial" w:hAnsi="Arial" w:cs="Arial"/>
        </w:rPr>
        <w:t>The most progress has been made on integrated programs</w:t>
      </w:r>
      <w:r w:rsidRPr="005E7EF4">
        <w:rPr>
          <w:rFonts w:ascii="Arial" w:hAnsi="Arial" w:cs="Arial"/>
          <w:i/>
          <w:color w:val="000000" w:themeColor="text1"/>
        </w:rPr>
        <w:t xml:space="preserve"> </w:t>
      </w:r>
      <w:r w:rsidRPr="005E7EF4">
        <w:rPr>
          <w:rFonts w:ascii="Arial" w:hAnsi="Arial" w:cs="Arial"/>
          <w:color w:val="000000" w:themeColor="text1"/>
        </w:rPr>
        <w:t xml:space="preserve">for </w:t>
      </w:r>
      <w:r w:rsidR="004F38C6">
        <w:rPr>
          <w:rFonts w:ascii="Arial" w:hAnsi="Arial" w:cs="Arial"/>
          <w:color w:val="000000" w:themeColor="text1"/>
        </w:rPr>
        <w:t>AGYW</w:t>
      </w:r>
      <w:r w:rsidR="009B18D6">
        <w:rPr>
          <w:rFonts w:ascii="Arial" w:hAnsi="Arial" w:cs="Arial"/>
          <w:color w:val="000000" w:themeColor="text1"/>
        </w:rPr>
        <w:t>.</w:t>
      </w:r>
      <w:r>
        <w:rPr>
          <w:rFonts w:ascii="Arial" w:hAnsi="Arial" w:cs="Arial"/>
          <w:color w:val="000000" w:themeColor="text1"/>
        </w:rPr>
        <w:t xml:space="preserve"> </w:t>
      </w:r>
      <w:r w:rsidRPr="005E7EF4">
        <w:rPr>
          <w:rFonts w:ascii="Arial" w:hAnsi="Arial" w:cs="Arial"/>
        </w:rPr>
        <w:t>Since 2015 PEPFAR has intensified efforts to reduce new infections in AGYW and young females ages</w:t>
      </w:r>
      <w:r w:rsidR="00A22479">
        <w:rPr>
          <w:rFonts w:ascii="Arial" w:hAnsi="Arial" w:cs="Arial"/>
        </w:rPr>
        <w:t xml:space="preserve"> 15-2</w:t>
      </w:r>
      <w:r w:rsidRPr="005E7EF4">
        <w:rPr>
          <w:rFonts w:ascii="Arial" w:hAnsi="Arial" w:cs="Arial"/>
        </w:rPr>
        <w:t>4 years through the DREAMS initiative. DREAMS comprises a comprehensive set of biomedical, behavioral, and structural interventions such as targeted HIV testing, HIV/violence prevention, sexual and reproductive health education and services, business and financial literacy, and young parenting skill building. By end of 2018, PEPFAR aimed to reach 176,310 adolescent girls and young women in nine sub-national units (SNUs) (</w:t>
      </w:r>
      <w:r w:rsidR="006415B8">
        <w:rPr>
          <w:rFonts w:ascii="Arial" w:hAnsi="Arial" w:cs="Arial"/>
        </w:rPr>
        <w:t xml:space="preserve">PEPFAR </w:t>
      </w:r>
      <w:r w:rsidRPr="005E7EF4">
        <w:rPr>
          <w:rFonts w:ascii="Arial" w:hAnsi="Arial" w:cs="Arial"/>
        </w:rPr>
        <w:t>2018</w:t>
      </w:r>
      <w:r w:rsidR="00E46860">
        <w:rPr>
          <w:rFonts w:ascii="Arial" w:hAnsi="Arial" w:cs="Arial"/>
        </w:rPr>
        <w:t>a</w:t>
      </w:r>
      <w:r w:rsidRPr="005E7EF4">
        <w:rPr>
          <w:rFonts w:ascii="Arial" w:hAnsi="Arial" w:cs="Arial"/>
        </w:rPr>
        <w:t>).</w:t>
      </w:r>
      <w:r w:rsidR="00A833CF">
        <w:rPr>
          <w:rStyle w:val="FootnoteReference"/>
          <w:rFonts w:ascii="Arial" w:hAnsi="Arial" w:cs="Arial"/>
        </w:rPr>
        <w:footnoteReference w:id="1"/>
      </w:r>
      <w:r w:rsidRPr="005E7EF4">
        <w:rPr>
          <w:rFonts w:ascii="Arial" w:hAnsi="Arial" w:cs="Arial"/>
        </w:rPr>
        <w:t xml:space="preserve"> </w:t>
      </w:r>
      <w:r w:rsidR="009B18D6">
        <w:rPr>
          <w:rFonts w:ascii="Arial" w:hAnsi="Arial" w:cs="Arial"/>
          <w:color w:val="000000" w:themeColor="text1"/>
        </w:rPr>
        <w:t>Some districts showed a decline of greater than 25% in the 2018 evaluation (PEPFAR 2018</w:t>
      </w:r>
      <w:r w:rsidR="00E46860">
        <w:rPr>
          <w:rFonts w:ascii="Arial" w:hAnsi="Arial" w:cs="Arial"/>
          <w:color w:val="000000" w:themeColor="text1"/>
        </w:rPr>
        <w:t>b</w:t>
      </w:r>
      <w:r w:rsidR="009B18D6">
        <w:rPr>
          <w:rFonts w:ascii="Arial" w:hAnsi="Arial" w:cs="Arial"/>
          <w:color w:val="000000" w:themeColor="text1"/>
        </w:rPr>
        <w:t>).</w:t>
      </w:r>
    </w:p>
    <w:p w14:paraId="7FB2899C" w14:textId="77777777" w:rsidR="005E7EF4" w:rsidRPr="005E7EF4" w:rsidRDefault="005E7EF4" w:rsidP="005E7EF4">
      <w:pPr>
        <w:spacing w:after="0" w:line="256" w:lineRule="auto"/>
        <w:rPr>
          <w:rFonts w:ascii="Arial" w:hAnsi="Arial" w:cs="Arial"/>
        </w:rPr>
      </w:pPr>
    </w:p>
    <w:p w14:paraId="60D64D06" w14:textId="50D25BD5" w:rsidR="00353B57" w:rsidRDefault="00353B57" w:rsidP="005E7EF4">
      <w:pPr>
        <w:spacing w:after="0" w:line="256" w:lineRule="auto"/>
        <w:rPr>
          <w:rFonts w:ascii="Arial" w:hAnsi="Arial" w:cs="Arial"/>
        </w:rPr>
      </w:pPr>
      <w:r w:rsidRPr="005E7EF4">
        <w:rPr>
          <w:rFonts w:ascii="Arial" w:hAnsi="Arial" w:cs="Arial"/>
        </w:rPr>
        <w:t xml:space="preserve">Some progress on </w:t>
      </w:r>
      <w:r w:rsidR="00BA24EF">
        <w:rPr>
          <w:rFonts w:ascii="Arial" w:hAnsi="Arial" w:cs="Arial"/>
        </w:rPr>
        <w:t xml:space="preserve">HIV </w:t>
      </w:r>
      <w:r w:rsidRPr="005E7EF4">
        <w:rPr>
          <w:rFonts w:ascii="Arial" w:hAnsi="Arial" w:cs="Arial"/>
        </w:rPr>
        <w:t>testing and counseling has been made. NACP has released a new HTC strategy</w:t>
      </w:r>
      <w:r w:rsidR="005E7EF4" w:rsidRPr="005E7EF4">
        <w:rPr>
          <w:rFonts w:ascii="Arial" w:hAnsi="Arial" w:cs="Arial"/>
          <w:i/>
          <w:color w:val="000000" w:themeColor="text1"/>
        </w:rPr>
        <w:t xml:space="preserve"> </w:t>
      </w:r>
      <w:r w:rsidR="005E7EF4" w:rsidRPr="005E7EF4">
        <w:rPr>
          <w:rFonts w:ascii="Arial" w:hAnsi="Arial" w:cs="Arial"/>
          <w:color w:val="000000" w:themeColor="text1"/>
        </w:rPr>
        <w:t>for diversified and targeted approaches to testing and counseling</w:t>
      </w:r>
      <w:r w:rsidR="005E7EF4" w:rsidRPr="005E7EF4">
        <w:rPr>
          <w:rFonts w:ascii="Arial" w:hAnsi="Arial" w:cs="Arial"/>
          <w:i/>
          <w:color w:val="000000" w:themeColor="text1"/>
        </w:rPr>
        <w:t>.</w:t>
      </w:r>
      <w:r w:rsidR="005E7EF4" w:rsidRPr="005E7EF4">
        <w:rPr>
          <w:rFonts w:ascii="Arial" w:hAnsi="Arial" w:cs="Arial"/>
        </w:rPr>
        <w:t xml:space="preserve"> Coverage for HIV testing and counseling (HTC) has increased to over 9 million Tanzanians annually by 2016 (</w:t>
      </w:r>
      <w:r w:rsidR="006415B8">
        <w:rPr>
          <w:rFonts w:ascii="Arial" w:hAnsi="Arial" w:cs="Arial"/>
        </w:rPr>
        <w:t>TACAIDS 2018</w:t>
      </w:r>
      <w:r w:rsidR="005E7EF4" w:rsidRPr="005E7EF4">
        <w:rPr>
          <w:rFonts w:ascii="Arial" w:hAnsi="Arial" w:cs="Arial"/>
        </w:rPr>
        <w:t xml:space="preserve">; </w:t>
      </w:r>
      <w:r w:rsidR="006415B8">
        <w:rPr>
          <w:rFonts w:ascii="Arial" w:hAnsi="Arial" w:cs="Arial"/>
        </w:rPr>
        <w:lastRenderedPageBreak/>
        <w:t xml:space="preserve">PEPFAR </w:t>
      </w:r>
      <w:r w:rsidR="00E46860">
        <w:rPr>
          <w:rFonts w:ascii="Arial" w:hAnsi="Arial" w:cs="Arial"/>
        </w:rPr>
        <w:t>2018a</w:t>
      </w:r>
      <w:r w:rsidR="005E7EF4" w:rsidRPr="005E7EF4">
        <w:rPr>
          <w:rFonts w:ascii="Arial" w:hAnsi="Arial" w:cs="Arial"/>
        </w:rPr>
        <w:t>), but with only 52% of PLHIV self-report</w:t>
      </w:r>
      <w:r w:rsidR="00BA24EF">
        <w:rPr>
          <w:rFonts w:ascii="Arial" w:hAnsi="Arial" w:cs="Arial"/>
        </w:rPr>
        <w:t>ing</w:t>
      </w:r>
      <w:r w:rsidR="005E7EF4" w:rsidRPr="005E7EF4">
        <w:rPr>
          <w:rFonts w:ascii="Arial" w:hAnsi="Arial" w:cs="Arial"/>
        </w:rPr>
        <w:t xml:space="preserve"> </w:t>
      </w:r>
      <w:r w:rsidR="00BA24EF">
        <w:rPr>
          <w:rFonts w:ascii="Arial" w:hAnsi="Arial" w:cs="Arial"/>
        </w:rPr>
        <w:t xml:space="preserve">that they </w:t>
      </w:r>
      <w:r w:rsidR="005E7EF4" w:rsidRPr="005E7EF4">
        <w:rPr>
          <w:rFonts w:ascii="Arial" w:hAnsi="Arial" w:cs="Arial"/>
        </w:rPr>
        <w:t xml:space="preserve">know their status, </w:t>
      </w:r>
      <w:r w:rsidR="00BA24EF">
        <w:rPr>
          <w:rFonts w:ascii="Arial" w:hAnsi="Arial" w:cs="Arial"/>
        </w:rPr>
        <w:t xml:space="preserve">other </w:t>
      </w:r>
      <w:r w:rsidR="005E7EF4" w:rsidRPr="005E7EF4">
        <w:rPr>
          <w:rFonts w:ascii="Arial" w:hAnsi="Arial" w:cs="Arial"/>
        </w:rPr>
        <w:t>targeted approaches are needed (</w:t>
      </w:r>
      <w:r w:rsidR="006415B8">
        <w:rPr>
          <w:rFonts w:ascii="Arial" w:hAnsi="Arial" w:cs="Arial"/>
        </w:rPr>
        <w:t>TACAIDS 2018</w:t>
      </w:r>
      <w:r w:rsidR="005E7EF4" w:rsidRPr="005E7EF4">
        <w:rPr>
          <w:rFonts w:ascii="Arial" w:hAnsi="Arial" w:cs="Arial"/>
        </w:rPr>
        <w:t xml:space="preserve">). NACP’s testing strategy focuses on scaling up services such as index-based testing, community-based approaches, HTC among key populations, and HTC integration into other health services (i.e. STI, TB, etc). </w:t>
      </w:r>
      <w:r>
        <w:rPr>
          <w:rFonts w:ascii="Arial" w:hAnsi="Arial" w:cs="Arial"/>
        </w:rPr>
        <w:t xml:space="preserve">PEPFAR has </w:t>
      </w:r>
      <w:r w:rsidR="005E7EF4">
        <w:rPr>
          <w:rFonts w:ascii="Arial" w:hAnsi="Arial" w:cs="Arial"/>
        </w:rPr>
        <w:t xml:space="preserve">intensified HTC efforts and </w:t>
      </w:r>
      <w:r w:rsidR="00BA24EF">
        <w:rPr>
          <w:rFonts w:ascii="Arial" w:hAnsi="Arial" w:cs="Arial"/>
        </w:rPr>
        <w:t xml:space="preserve">is pursuing more </w:t>
      </w:r>
      <w:r w:rsidR="005E7EF4">
        <w:rPr>
          <w:rFonts w:ascii="Arial" w:hAnsi="Arial" w:cs="Arial"/>
        </w:rPr>
        <w:t>efficient strategies</w:t>
      </w:r>
      <w:r w:rsidR="000A1997">
        <w:rPr>
          <w:rFonts w:ascii="Arial" w:hAnsi="Arial" w:cs="Arial"/>
        </w:rPr>
        <w:t xml:space="preserve">. </w:t>
      </w:r>
      <w:r w:rsidR="005E7EF4">
        <w:rPr>
          <w:rFonts w:ascii="Arial" w:hAnsi="Arial" w:cs="Arial"/>
        </w:rPr>
        <w:t>More limited progress has been made on ART bottlenecks. Community-based adherence has been explored by government; a study on cost and efficiency has been commissioned but no initiatives have been scaled.</w:t>
      </w:r>
    </w:p>
    <w:p w14:paraId="7351B84C" w14:textId="77777777" w:rsidR="009B18D6" w:rsidRDefault="009B18D6" w:rsidP="005E7EF4">
      <w:pPr>
        <w:spacing w:after="0" w:line="256" w:lineRule="auto"/>
        <w:rPr>
          <w:rFonts w:ascii="Arial" w:hAnsi="Arial" w:cs="Arial"/>
        </w:rPr>
      </w:pPr>
    </w:p>
    <w:p w14:paraId="4812A82C" w14:textId="7AE23070" w:rsidR="00475182" w:rsidRPr="00B61AA0" w:rsidRDefault="00C86D0D" w:rsidP="00B61AA0">
      <w:pPr>
        <w:rPr>
          <w:rFonts w:ascii="Arial" w:hAnsi="Arial" w:cs="Arial"/>
          <w:i/>
          <w:sz w:val="18"/>
        </w:rPr>
      </w:pPr>
      <w:r>
        <w:rPr>
          <w:rFonts w:ascii="Arial" w:hAnsi="Arial" w:cs="Arial"/>
          <w:i/>
          <w:sz w:val="18"/>
        </w:rPr>
        <w:t>Figure</w:t>
      </w:r>
      <w:r w:rsidR="00D5288C" w:rsidRPr="008544A5">
        <w:rPr>
          <w:rFonts w:ascii="Arial" w:hAnsi="Arial" w:cs="Arial"/>
          <w:i/>
          <w:sz w:val="18"/>
        </w:rPr>
        <w:t xml:space="preserve"> 2-</w:t>
      </w:r>
      <w:r w:rsidR="00BD2E89">
        <w:rPr>
          <w:rFonts w:ascii="Arial" w:hAnsi="Arial" w:cs="Arial"/>
          <w:i/>
          <w:sz w:val="18"/>
        </w:rPr>
        <w:t>7</w:t>
      </w:r>
      <w:r w:rsidR="00D5288C" w:rsidRPr="008544A5">
        <w:rPr>
          <w:rFonts w:ascii="Arial" w:hAnsi="Arial" w:cs="Arial"/>
          <w:i/>
          <w:sz w:val="18"/>
        </w:rPr>
        <w:t xml:space="preserve"> </w:t>
      </w:r>
      <w:r w:rsidR="00993478" w:rsidRPr="008544A5">
        <w:rPr>
          <w:rFonts w:ascii="Arial" w:hAnsi="Arial" w:cs="Arial"/>
          <w:i/>
          <w:sz w:val="18"/>
        </w:rPr>
        <w:t>Innovations considered in</w:t>
      </w:r>
      <w:r w:rsidR="00353B57">
        <w:rPr>
          <w:rFonts w:ascii="Arial" w:hAnsi="Arial" w:cs="Arial"/>
          <w:i/>
          <w:sz w:val="18"/>
        </w:rPr>
        <w:t xml:space="preserve"> IC 1.0</w:t>
      </w:r>
      <w:r w:rsidR="00993478" w:rsidRPr="008544A5">
        <w:rPr>
          <w:rFonts w:ascii="Arial" w:hAnsi="Arial" w:cs="Arial"/>
          <w:i/>
          <w:sz w:val="18"/>
        </w:rPr>
        <w:t xml:space="preserve"> </w:t>
      </w:r>
      <w:r w:rsidR="00353B57">
        <w:rPr>
          <w:rFonts w:ascii="Arial" w:hAnsi="Arial" w:cs="Arial"/>
          <w:i/>
          <w:sz w:val="18"/>
        </w:rPr>
        <w:t>and progress to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40"/>
        <w:gridCol w:w="2430"/>
        <w:gridCol w:w="2965"/>
      </w:tblGrid>
      <w:tr w:rsidR="00A955DD" w:rsidRPr="00925A18" w14:paraId="1AC083D1" w14:textId="2E2656A3" w:rsidTr="00276364">
        <w:trPr>
          <w:trHeight w:val="926"/>
        </w:trPr>
        <w:tc>
          <w:tcPr>
            <w:tcW w:w="1615" w:type="dxa"/>
            <w:shd w:val="clear" w:color="auto" w:fill="C00000"/>
          </w:tcPr>
          <w:p w14:paraId="7D702BEF" w14:textId="77777777" w:rsidR="00A215B7" w:rsidRPr="00925A18" w:rsidRDefault="00A215B7" w:rsidP="00276364">
            <w:pPr>
              <w:spacing w:after="0" w:line="256" w:lineRule="auto"/>
              <w:rPr>
                <w:rFonts w:ascii="Arial" w:hAnsi="Arial" w:cs="Arial"/>
                <w:color w:val="FFFFFF" w:themeColor="background1"/>
                <w:sz w:val="16"/>
              </w:rPr>
            </w:pPr>
          </w:p>
        </w:tc>
        <w:tc>
          <w:tcPr>
            <w:tcW w:w="2340" w:type="dxa"/>
            <w:shd w:val="clear" w:color="auto" w:fill="C00000"/>
            <w:vAlign w:val="center"/>
          </w:tcPr>
          <w:p w14:paraId="53526383" w14:textId="77777777" w:rsidR="00A215B7" w:rsidRPr="00925A18" w:rsidRDefault="00A215B7" w:rsidP="00276364">
            <w:pPr>
              <w:spacing w:after="0" w:line="256" w:lineRule="auto"/>
              <w:rPr>
                <w:rFonts w:ascii="Arial" w:hAnsi="Arial" w:cs="Arial"/>
                <w:b/>
                <w:color w:val="FFFFFF" w:themeColor="background1"/>
                <w:sz w:val="16"/>
              </w:rPr>
            </w:pPr>
            <w:r w:rsidRPr="00925A18">
              <w:rPr>
                <w:rFonts w:ascii="Arial" w:hAnsi="Arial" w:cs="Arial"/>
                <w:b/>
                <w:color w:val="FFFFFF" w:themeColor="background1"/>
                <w:sz w:val="16"/>
              </w:rPr>
              <w:t xml:space="preserve">Bottlenecks </w:t>
            </w:r>
          </w:p>
        </w:tc>
        <w:tc>
          <w:tcPr>
            <w:tcW w:w="2430" w:type="dxa"/>
            <w:shd w:val="clear" w:color="auto" w:fill="C00000"/>
            <w:vAlign w:val="center"/>
          </w:tcPr>
          <w:p w14:paraId="4E5ACF1C" w14:textId="4691088D" w:rsidR="00A215B7" w:rsidRPr="00925A18" w:rsidRDefault="00A215B7" w:rsidP="00276364">
            <w:pPr>
              <w:spacing w:after="0" w:line="256" w:lineRule="auto"/>
              <w:rPr>
                <w:rFonts w:ascii="Arial" w:hAnsi="Arial" w:cs="Arial"/>
                <w:b/>
                <w:color w:val="FFFFFF" w:themeColor="background1"/>
                <w:sz w:val="16"/>
              </w:rPr>
            </w:pPr>
            <w:r>
              <w:rPr>
                <w:rFonts w:ascii="Arial" w:hAnsi="Arial" w:cs="Arial"/>
                <w:b/>
                <w:color w:val="FFFFFF" w:themeColor="background1"/>
                <w:sz w:val="16"/>
              </w:rPr>
              <w:t>Innovations considered</w:t>
            </w:r>
          </w:p>
        </w:tc>
        <w:tc>
          <w:tcPr>
            <w:tcW w:w="2965" w:type="dxa"/>
            <w:shd w:val="clear" w:color="auto" w:fill="C00000"/>
            <w:vAlign w:val="center"/>
          </w:tcPr>
          <w:p w14:paraId="2072B0FE" w14:textId="77777777" w:rsidR="00A215B7" w:rsidRPr="00C655FB" w:rsidRDefault="00A215B7" w:rsidP="00276364">
            <w:pPr>
              <w:spacing w:after="0" w:line="256" w:lineRule="auto"/>
              <w:rPr>
                <w:rFonts w:ascii="Arial" w:hAnsi="Arial" w:cs="Arial"/>
                <w:b/>
                <w:color w:val="FFFFFF" w:themeColor="background1"/>
                <w:sz w:val="16"/>
              </w:rPr>
            </w:pPr>
            <w:r w:rsidRPr="00C655FB">
              <w:rPr>
                <w:rFonts w:ascii="Arial" w:hAnsi="Arial" w:cs="Arial"/>
                <w:b/>
                <w:color w:val="FFFFFF" w:themeColor="background1"/>
                <w:sz w:val="16"/>
              </w:rPr>
              <w:t>Progress in implementation to date</w:t>
            </w:r>
          </w:p>
          <w:p w14:paraId="6AFCBAA4" w14:textId="77777777" w:rsidR="00A215B7" w:rsidRPr="00C655FB" w:rsidRDefault="00A215B7" w:rsidP="00276364">
            <w:pPr>
              <w:spacing w:after="0" w:line="256" w:lineRule="auto"/>
              <w:rPr>
                <w:rFonts w:ascii="Arial" w:hAnsi="Arial" w:cs="Arial"/>
                <w:color w:val="FFFFFF" w:themeColor="background1"/>
                <w:sz w:val="16"/>
              </w:rPr>
            </w:pPr>
            <w:r w:rsidRPr="00C655FB">
              <w:rPr>
                <w:rFonts w:ascii="Arial" w:hAnsi="Arial" w:cs="Arial"/>
                <w:color w:val="FFFFFF" w:themeColor="background1"/>
                <w:sz w:val="16"/>
              </w:rPr>
              <w:t>Green= Progress achieved</w:t>
            </w:r>
          </w:p>
          <w:p w14:paraId="7C911285" w14:textId="7C6A8368" w:rsidR="00A215B7" w:rsidRPr="00C655FB" w:rsidRDefault="00A215B7" w:rsidP="00276364">
            <w:pPr>
              <w:spacing w:after="0" w:line="256" w:lineRule="auto"/>
              <w:rPr>
                <w:rFonts w:ascii="Arial" w:hAnsi="Arial" w:cs="Arial"/>
                <w:color w:val="FFFFFF" w:themeColor="background1"/>
                <w:sz w:val="16"/>
              </w:rPr>
            </w:pPr>
            <w:r w:rsidRPr="00C655FB">
              <w:rPr>
                <w:rFonts w:ascii="Arial" w:hAnsi="Arial" w:cs="Arial"/>
                <w:color w:val="FFFFFF" w:themeColor="background1"/>
                <w:sz w:val="16"/>
              </w:rPr>
              <w:t xml:space="preserve">Yellow= </w:t>
            </w:r>
            <w:r w:rsidR="005E7EF4">
              <w:rPr>
                <w:rFonts w:ascii="Arial" w:hAnsi="Arial" w:cs="Arial"/>
                <w:color w:val="FFFFFF" w:themeColor="background1"/>
                <w:sz w:val="16"/>
              </w:rPr>
              <w:t xml:space="preserve">Some </w:t>
            </w:r>
            <w:r w:rsidRPr="00C655FB">
              <w:rPr>
                <w:rFonts w:ascii="Arial" w:hAnsi="Arial" w:cs="Arial"/>
                <w:color w:val="FFFFFF" w:themeColor="background1"/>
                <w:sz w:val="16"/>
              </w:rPr>
              <w:t>progress achieved</w:t>
            </w:r>
          </w:p>
          <w:p w14:paraId="0FD67F96" w14:textId="2BFFDD0D" w:rsidR="00A215B7" w:rsidRPr="00925A18" w:rsidRDefault="00A215B7" w:rsidP="00276364">
            <w:pPr>
              <w:spacing w:after="0" w:line="256" w:lineRule="auto"/>
              <w:rPr>
                <w:rFonts w:ascii="Arial" w:hAnsi="Arial" w:cs="Arial"/>
                <w:b/>
                <w:color w:val="FFFFFF" w:themeColor="background1"/>
                <w:sz w:val="16"/>
              </w:rPr>
            </w:pPr>
            <w:r w:rsidRPr="00C655FB">
              <w:rPr>
                <w:rFonts w:ascii="Arial" w:hAnsi="Arial" w:cs="Arial"/>
                <w:color w:val="FFFFFF" w:themeColor="background1"/>
                <w:sz w:val="16"/>
              </w:rPr>
              <w:t>Red= No</w:t>
            </w:r>
            <w:r w:rsidR="005E7EF4">
              <w:rPr>
                <w:rFonts w:ascii="Arial" w:hAnsi="Arial" w:cs="Arial"/>
                <w:color w:val="FFFFFF" w:themeColor="background1"/>
                <w:sz w:val="16"/>
              </w:rPr>
              <w:t xml:space="preserve"> or limited</w:t>
            </w:r>
            <w:r w:rsidRPr="00C655FB">
              <w:rPr>
                <w:rFonts w:ascii="Arial" w:hAnsi="Arial" w:cs="Arial"/>
                <w:color w:val="FFFFFF" w:themeColor="background1"/>
                <w:sz w:val="16"/>
              </w:rPr>
              <w:t xml:space="preserve"> progress achieved</w:t>
            </w:r>
          </w:p>
        </w:tc>
      </w:tr>
      <w:tr w:rsidR="00CD6A8E" w:rsidRPr="00925A18" w14:paraId="390DC9CB" w14:textId="77777777" w:rsidTr="0028213B">
        <w:trPr>
          <w:trHeight w:val="242"/>
        </w:trPr>
        <w:tc>
          <w:tcPr>
            <w:tcW w:w="9350" w:type="dxa"/>
            <w:gridSpan w:val="4"/>
            <w:shd w:val="clear" w:color="auto" w:fill="F2F2F2" w:themeFill="background1" w:themeFillShade="F2"/>
            <w:vAlign w:val="center"/>
          </w:tcPr>
          <w:p w14:paraId="20CECFFC" w14:textId="21293582" w:rsidR="00CD6A8E" w:rsidRPr="00505F88" w:rsidRDefault="00CD6A8E">
            <w:pPr>
              <w:spacing w:after="0" w:line="256" w:lineRule="auto"/>
              <w:rPr>
                <w:rFonts w:ascii="Arial" w:hAnsi="Arial" w:cs="Arial"/>
                <w:b/>
                <w:sz w:val="16"/>
              </w:rPr>
            </w:pPr>
            <w:r w:rsidRPr="00505F88">
              <w:rPr>
                <w:rFonts w:ascii="Arial" w:hAnsi="Arial" w:cs="Arial"/>
                <w:b/>
                <w:sz w:val="16"/>
              </w:rPr>
              <w:t>Testing and counseling</w:t>
            </w:r>
          </w:p>
        </w:tc>
      </w:tr>
      <w:tr w:rsidR="00A215B7" w:rsidRPr="00925A18" w14:paraId="46FF4F22" w14:textId="32E96533" w:rsidTr="00276364">
        <w:trPr>
          <w:trHeight w:val="336"/>
        </w:trPr>
        <w:tc>
          <w:tcPr>
            <w:tcW w:w="1615" w:type="dxa"/>
            <w:vMerge w:val="restart"/>
          </w:tcPr>
          <w:p w14:paraId="668D99A1" w14:textId="77777777" w:rsidR="00A215B7" w:rsidRPr="00925A18" w:rsidRDefault="00A215B7" w:rsidP="00276364">
            <w:pPr>
              <w:spacing w:after="0" w:line="256" w:lineRule="auto"/>
              <w:rPr>
                <w:rFonts w:ascii="Arial" w:hAnsi="Arial" w:cs="Arial"/>
                <w:b/>
                <w:sz w:val="16"/>
              </w:rPr>
            </w:pPr>
            <w:r w:rsidRPr="00925A18">
              <w:rPr>
                <w:rFonts w:ascii="Arial" w:hAnsi="Arial" w:cs="Arial"/>
                <w:b/>
                <w:sz w:val="16"/>
              </w:rPr>
              <w:t>HIV testing and counseling</w:t>
            </w:r>
            <w:r>
              <w:rPr>
                <w:rFonts w:ascii="Arial" w:hAnsi="Arial" w:cs="Arial"/>
                <w:b/>
                <w:sz w:val="16"/>
              </w:rPr>
              <w:t xml:space="preserve"> (HTC)</w:t>
            </w:r>
          </w:p>
        </w:tc>
        <w:tc>
          <w:tcPr>
            <w:tcW w:w="2340" w:type="dxa"/>
            <w:vMerge w:val="restart"/>
          </w:tcPr>
          <w:p w14:paraId="614B91E0" w14:textId="77777777" w:rsidR="00A215B7" w:rsidRPr="00925A18" w:rsidRDefault="00A215B7" w:rsidP="00276364">
            <w:pPr>
              <w:pStyle w:val="ListParagraph"/>
              <w:numPr>
                <w:ilvl w:val="0"/>
                <w:numId w:val="4"/>
              </w:numPr>
              <w:spacing w:after="0" w:line="256" w:lineRule="auto"/>
              <w:rPr>
                <w:rFonts w:ascii="Arial" w:hAnsi="Arial" w:cs="Arial"/>
                <w:sz w:val="16"/>
              </w:rPr>
            </w:pPr>
            <w:r w:rsidRPr="00925A18">
              <w:rPr>
                <w:rFonts w:ascii="Arial" w:hAnsi="Arial" w:cs="Arial"/>
                <w:sz w:val="16"/>
              </w:rPr>
              <w:t>Regional variation in testing uptake</w:t>
            </w:r>
          </w:p>
          <w:p w14:paraId="2B2816CB" w14:textId="77777777" w:rsidR="00A215B7" w:rsidRPr="00925A18" w:rsidRDefault="00A215B7" w:rsidP="00276364">
            <w:pPr>
              <w:pStyle w:val="ListParagraph"/>
              <w:numPr>
                <w:ilvl w:val="0"/>
                <w:numId w:val="4"/>
              </w:numPr>
              <w:spacing w:after="0" w:line="256" w:lineRule="auto"/>
              <w:rPr>
                <w:rFonts w:ascii="Arial" w:hAnsi="Arial" w:cs="Arial"/>
                <w:sz w:val="16"/>
              </w:rPr>
            </w:pPr>
            <w:r w:rsidRPr="00925A18">
              <w:rPr>
                <w:rFonts w:ascii="Arial" w:hAnsi="Arial" w:cs="Arial"/>
                <w:sz w:val="16"/>
              </w:rPr>
              <w:t xml:space="preserve">Linkage to care </w:t>
            </w:r>
          </w:p>
          <w:p w14:paraId="3BFF2A1C" w14:textId="77777777" w:rsidR="00A215B7" w:rsidRPr="00925A18" w:rsidRDefault="00A215B7" w:rsidP="00276364">
            <w:pPr>
              <w:pStyle w:val="ListParagraph"/>
              <w:numPr>
                <w:ilvl w:val="0"/>
                <w:numId w:val="4"/>
              </w:numPr>
              <w:spacing w:after="0" w:line="256" w:lineRule="auto"/>
              <w:rPr>
                <w:rFonts w:ascii="Arial" w:hAnsi="Arial" w:cs="Arial"/>
                <w:sz w:val="16"/>
              </w:rPr>
            </w:pPr>
            <w:r w:rsidRPr="00925A18">
              <w:rPr>
                <w:rFonts w:ascii="Arial" w:hAnsi="Arial" w:cs="Arial"/>
                <w:sz w:val="16"/>
              </w:rPr>
              <w:t>Low coverage for key populations</w:t>
            </w:r>
          </w:p>
        </w:tc>
        <w:tc>
          <w:tcPr>
            <w:tcW w:w="2430" w:type="dxa"/>
          </w:tcPr>
          <w:p w14:paraId="47257D67" w14:textId="74E9B3A3" w:rsidR="00A215B7" w:rsidRPr="00925A18" w:rsidRDefault="00A215B7" w:rsidP="00276364">
            <w:pPr>
              <w:pStyle w:val="ListParagraph"/>
              <w:numPr>
                <w:ilvl w:val="0"/>
                <w:numId w:val="4"/>
              </w:numPr>
              <w:spacing w:after="0" w:line="256" w:lineRule="auto"/>
              <w:rPr>
                <w:rFonts w:ascii="Arial" w:hAnsi="Arial" w:cs="Arial"/>
                <w:sz w:val="16"/>
              </w:rPr>
            </w:pPr>
            <w:r w:rsidRPr="00C23ACB">
              <w:rPr>
                <w:rFonts w:ascii="Arial" w:hAnsi="Arial" w:cs="Arial"/>
                <w:sz w:val="16"/>
              </w:rPr>
              <w:t xml:space="preserve">Scale-up of index testing or partner notification </w:t>
            </w:r>
          </w:p>
        </w:tc>
        <w:tc>
          <w:tcPr>
            <w:tcW w:w="2965" w:type="dxa"/>
            <w:shd w:val="clear" w:color="auto" w:fill="FFE599" w:themeFill="accent4" w:themeFillTint="66"/>
          </w:tcPr>
          <w:p w14:paraId="3EDC28D9" w14:textId="1F4FA326" w:rsidR="00A215B7" w:rsidRPr="00925A18" w:rsidRDefault="00A215B7" w:rsidP="00276364">
            <w:pPr>
              <w:pStyle w:val="ListParagraph"/>
              <w:numPr>
                <w:ilvl w:val="0"/>
                <w:numId w:val="4"/>
              </w:numPr>
              <w:spacing w:after="0" w:line="256" w:lineRule="auto"/>
              <w:rPr>
                <w:rFonts w:ascii="Arial" w:hAnsi="Arial" w:cs="Arial"/>
                <w:sz w:val="16"/>
              </w:rPr>
            </w:pPr>
            <w:r w:rsidRPr="00C23ACB">
              <w:rPr>
                <w:rFonts w:ascii="Arial" w:hAnsi="Arial" w:cs="Arial"/>
                <w:sz w:val="16"/>
              </w:rPr>
              <w:t>Index testing is featured in NACP’s 2019 HTC Strategy</w:t>
            </w:r>
            <w:r>
              <w:rPr>
                <w:rFonts w:ascii="Arial" w:hAnsi="Arial" w:cs="Arial"/>
                <w:sz w:val="16"/>
              </w:rPr>
              <w:t xml:space="preserve"> and is a PEPFAR priority. But Testing coverage remains low</w:t>
            </w:r>
          </w:p>
        </w:tc>
      </w:tr>
      <w:tr w:rsidR="00A215B7" w:rsidRPr="00925A18" w14:paraId="66BE1494" w14:textId="77777777" w:rsidTr="00276364">
        <w:trPr>
          <w:trHeight w:val="336"/>
        </w:trPr>
        <w:tc>
          <w:tcPr>
            <w:tcW w:w="1615" w:type="dxa"/>
            <w:vMerge/>
          </w:tcPr>
          <w:p w14:paraId="6CA70BC3" w14:textId="77777777" w:rsidR="00A215B7" w:rsidRPr="00925A18" w:rsidRDefault="00A215B7" w:rsidP="00276364">
            <w:pPr>
              <w:spacing w:after="0" w:line="256" w:lineRule="auto"/>
              <w:rPr>
                <w:rFonts w:ascii="Arial" w:hAnsi="Arial" w:cs="Arial"/>
                <w:b/>
                <w:sz w:val="16"/>
              </w:rPr>
            </w:pPr>
          </w:p>
        </w:tc>
        <w:tc>
          <w:tcPr>
            <w:tcW w:w="2340" w:type="dxa"/>
            <w:vMerge/>
          </w:tcPr>
          <w:p w14:paraId="5F7B2503" w14:textId="77777777" w:rsidR="00A215B7" w:rsidRPr="00925A18" w:rsidRDefault="00A215B7" w:rsidP="00276364">
            <w:pPr>
              <w:pStyle w:val="ListParagraph"/>
              <w:numPr>
                <w:ilvl w:val="0"/>
                <w:numId w:val="4"/>
              </w:numPr>
              <w:spacing w:after="0" w:line="256" w:lineRule="auto"/>
              <w:rPr>
                <w:rFonts w:ascii="Arial" w:hAnsi="Arial" w:cs="Arial"/>
                <w:sz w:val="16"/>
              </w:rPr>
            </w:pPr>
          </w:p>
        </w:tc>
        <w:tc>
          <w:tcPr>
            <w:tcW w:w="2430" w:type="dxa"/>
          </w:tcPr>
          <w:p w14:paraId="57B31214" w14:textId="449D5758" w:rsidR="00A215B7" w:rsidRPr="00925A18" w:rsidRDefault="00A215B7" w:rsidP="00276364">
            <w:pPr>
              <w:pStyle w:val="ListParagraph"/>
              <w:numPr>
                <w:ilvl w:val="0"/>
                <w:numId w:val="4"/>
              </w:numPr>
              <w:spacing w:after="0" w:line="256" w:lineRule="auto"/>
              <w:rPr>
                <w:rFonts w:ascii="Arial" w:hAnsi="Arial" w:cs="Arial"/>
                <w:sz w:val="16"/>
              </w:rPr>
            </w:pPr>
            <w:r w:rsidRPr="00C23ACB">
              <w:rPr>
                <w:rFonts w:ascii="Arial" w:hAnsi="Arial" w:cs="Arial"/>
                <w:sz w:val="16"/>
              </w:rPr>
              <w:t>Community-testing (vs facility-based testing)</w:t>
            </w:r>
          </w:p>
        </w:tc>
        <w:tc>
          <w:tcPr>
            <w:tcW w:w="2965" w:type="dxa"/>
            <w:shd w:val="clear" w:color="auto" w:fill="FFE599" w:themeFill="accent4" w:themeFillTint="66"/>
          </w:tcPr>
          <w:p w14:paraId="1247C786" w14:textId="2750C60A" w:rsidR="00A215B7" w:rsidRPr="00925A18" w:rsidRDefault="00A215B7" w:rsidP="00276364">
            <w:pPr>
              <w:pStyle w:val="ListParagraph"/>
              <w:numPr>
                <w:ilvl w:val="0"/>
                <w:numId w:val="4"/>
              </w:numPr>
              <w:spacing w:after="0" w:line="256" w:lineRule="auto"/>
              <w:rPr>
                <w:rFonts w:ascii="Arial" w:hAnsi="Arial" w:cs="Arial"/>
                <w:sz w:val="16"/>
              </w:rPr>
            </w:pPr>
            <w:r w:rsidRPr="00C23ACB">
              <w:rPr>
                <w:rFonts w:ascii="Arial" w:hAnsi="Arial" w:cs="Arial"/>
                <w:sz w:val="16"/>
              </w:rPr>
              <w:t>Community-based testing strategies prioritized in NACP HTC Strategy</w:t>
            </w:r>
            <w:r>
              <w:rPr>
                <w:rFonts w:ascii="Arial" w:hAnsi="Arial" w:cs="Arial"/>
                <w:sz w:val="16"/>
              </w:rPr>
              <w:t>. But testing coverage remains low.</w:t>
            </w:r>
          </w:p>
        </w:tc>
      </w:tr>
      <w:tr w:rsidR="00A215B7" w:rsidRPr="00925A18" w14:paraId="3227065E" w14:textId="77777777" w:rsidTr="00276364">
        <w:trPr>
          <w:trHeight w:val="152"/>
        </w:trPr>
        <w:tc>
          <w:tcPr>
            <w:tcW w:w="1615" w:type="dxa"/>
            <w:vMerge/>
          </w:tcPr>
          <w:p w14:paraId="252854BF" w14:textId="77777777" w:rsidR="00A215B7" w:rsidRPr="00925A18" w:rsidRDefault="00A215B7" w:rsidP="00276364">
            <w:pPr>
              <w:spacing w:after="0" w:line="256" w:lineRule="auto"/>
              <w:rPr>
                <w:rFonts w:ascii="Arial" w:hAnsi="Arial" w:cs="Arial"/>
                <w:b/>
                <w:sz w:val="16"/>
              </w:rPr>
            </w:pPr>
          </w:p>
        </w:tc>
        <w:tc>
          <w:tcPr>
            <w:tcW w:w="2340" w:type="dxa"/>
            <w:vMerge/>
          </w:tcPr>
          <w:p w14:paraId="1747FB35" w14:textId="77777777" w:rsidR="00A215B7" w:rsidRPr="00925A18" w:rsidRDefault="00A215B7" w:rsidP="00276364">
            <w:pPr>
              <w:pStyle w:val="ListParagraph"/>
              <w:numPr>
                <w:ilvl w:val="0"/>
                <w:numId w:val="4"/>
              </w:numPr>
              <w:spacing w:after="0" w:line="256" w:lineRule="auto"/>
              <w:rPr>
                <w:rFonts w:ascii="Arial" w:hAnsi="Arial" w:cs="Arial"/>
                <w:sz w:val="16"/>
              </w:rPr>
            </w:pPr>
          </w:p>
        </w:tc>
        <w:tc>
          <w:tcPr>
            <w:tcW w:w="2430" w:type="dxa"/>
          </w:tcPr>
          <w:p w14:paraId="29B26B4D" w14:textId="632CB0CB" w:rsidR="00A215B7" w:rsidRPr="00925A18" w:rsidRDefault="00A215B7" w:rsidP="00276364">
            <w:pPr>
              <w:pStyle w:val="ListParagraph"/>
              <w:numPr>
                <w:ilvl w:val="0"/>
                <w:numId w:val="4"/>
              </w:numPr>
              <w:spacing w:after="0" w:line="256" w:lineRule="auto"/>
              <w:rPr>
                <w:rFonts w:ascii="Arial" w:hAnsi="Arial" w:cs="Arial"/>
                <w:sz w:val="16"/>
              </w:rPr>
            </w:pPr>
            <w:r w:rsidRPr="00C23ACB">
              <w:rPr>
                <w:rFonts w:ascii="Arial" w:hAnsi="Arial" w:cs="Arial"/>
                <w:sz w:val="16"/>
              </w:rPr>
              <w:t>Workplace HTC</w:t>
            </w:r>
          </w:p>
        </w:tc>
        <w:tc>
          <w:tcPr>
            <w:tcW w:w="2965" w:type="dxa"/>
            <w:shd w:val="clear" w:color="auto" w:fill="FFE599" w:themeFill="accent4" w:themeFillTint="66"/>
          </w:tcPr>
          <w:p w14:paraId="3F7CCF3C" w14:textId="499AF059" w:rsidR="00A215B7" w:rsidRPr="00925A18" w:rsidRDefault="00A215B7" w:rsidP="00276364">
            <w:pPr>
              <w:pStyle w:val="ListParagraph"/>
              <w:numPr>
                <w:ilvl w:val="0"/>
                <w:numId w:val="4"/>
              </w:numPr>
              <w:spacing w:after="0" w:line="256" w:lineRule="auto"/>
              <w:rPr>
                <w:rFonts w:ascii="Arial" w:hAnsi="Arial" w:cs="Arial"/>
                <w:sz w:val="16"/>
              </w:rPr>
            </w:pPr>
            <w:r>
              <w:rPr>
                <w:rFonts w:ascii="Arial" w:hAnsi="Arial" w:cs="Arial"/>
                <w:sz w:val="16"/>
              </w:rPr>
              <w:t>Workplace HTC included in NACP HTC Strategy</w:t>
            </w:r>
          </w:p>
        </w:tc>
      </w:tr>
    </w:tbl>
    <w:p w14:paraId="61819859" w14:textId="77777777" w:rsidR="00353B57" w:rsidRDefault="00353B57" w:rsidP="00833D12">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40"/>
        <w:gridCol w:w="2430"/>
        <w:gridCol w:w="2965"/>
      </w:tblGrid>
      <w:tr w:rsidR="00353B57" w:rsidRPr="00925A18" w14:paraId="693DB593" w14:textId="77777777" w:rsidTr="00353B57">
        <w:trPr>
          <w:trHeight w:val="152"/>
        </w:trPr>
        <w:tc>
          <w:tcPr>
            <w:tcW w:w="9350" w:type="dxa"/>
            <w:gridSpan w:val="4"/>
            <w:shd w:val="clear" w:color="auto" w:fill="EDEDED" w:themeFill="accent3" w:themeFillTint="33"/>
            <w:vAlign w:val="center"/>
          </w:tcPr>
          <w:p w14:paraId="4D5FA4AF" w14:textId="3D1CD958" w:rsidR="00353B57" w:rsidRPr="00353B57" w:rsidRDefault="00353B57">
            <w:pPr>
              <w:spacing w:after="0" w:line="256" w:lineRule="auto"/>
              <w:rPr>
                <w:rFonts w:ascii="Arial" w:hAnsi="Arial" w:cs="Arial"/>
                <w:sz w:val="16"/>
              </w:rPr>
            </w:pPr>
            <w:r w:rsidRPr="00353B57">
              <w:rPr>
                <w:rFonts w:ascii="Arial" w:hAnsi="Arial" w:cs="Arial"/>
                <w:b/>
                <w:sz w:val="16"/>
              </w:rPr>
              <w:t>Prevention</w:t>
            </w:r>
          </w:p>
        </w:tc>
      </w:tr>
      <w:tr w:rsidR="00353B57" w:rsidRPr="00925A18" w14:paraId="7402DF4B" w14:textId="77777777" w:rsidTr="002C5C97">
        <w:trPr>
          <w:trHeight w:val="791"/>
        </w:trPr>
        <w:tc>
          <w:tcPr>
            <w:tcW w:w="1615" w:type="dxa"/>
            <w:vMerge w:val="restart"/>
            <w:vAlign w:val="center"/>
          </w:tcPr>
          <w:p w14:paraId="162BA5CB" w14:textId="46262DE6" w:rsidR="00353B57" w:rsidRPr="00925A18" w:rsidRDefault="00353B57" w:rsidP="00276364">
            <w:pPr>
              <w:spacing w:after="0" w:line="256" w:lineRule="auto"/>
              <w:rPr>
                <w:rFonts w:ascii="Arial" w:hAnsi="Arial" w:cs="Arial"/>
                <w:b/>
                <w:sz w:val="16"/>
              </w:rPr>
            </w:pPr>
            <w:r w:rsidRPr="00DA7143">
              <w:rPr>
                <w:rFonts w:ascii="Arial" w:hAnsi="Arial" w:cs="Arial"/>
                <w:b/>
                <w:sz w:val="16"/>
              </w:rPr>
              <w:t>Adolescent girls and young women (AGYW)</w:t>
            </w:r>
          </w:p>
        </w:tc>
        <w:tc>
          <w:tcPr>
            <w:tcW w:w="2340" w:type="dxa"/>
            <w:vMerge w:val="restart"/>
            <w:vAlign w:val="center"/>
          </w:tcPr>
          <w:p w14:paraId="23841FF5" w14:textId="41BBA30D" w:rsidR="00353B57" w:rsidRPr="00925A18" w:rsidRDefault="00353B57" w:rsidP="00276364">
            <w:pPr>
              <w:pStyle w:val="ListParagraph"/>
              <w:numPr>
                <w:ilvl w:val="0"/>
                <w:numId w:val="4"/>
              </w:numPr>
              <w:spacing w:after="0" w:line="256" w:lineRule="auto"/>
              <w:rPr>
                <w:rFonts w:ascii="Arial" w:hAnsi="Arial" w:cs="Arial"/>
                <w:sz w:val="16"/>
              </w:rPr>
            </w:pPr>
            <w:r>
              <w:rPr>
                <w:rFonts w:ascii="Arial" w:hAnsi="Arial" w:cs="Arial"/>
                <w:sz w:val="16"/>
              </w:rPr>
              <w:t>High incidence</w:t>
            </w:r>
          </w:p>
        </w:tc>
        <w:tc>
          <w:tcPr>
            <w:tcW w:w="2430" w:type="dxa"/>
          </w:tcPr>
          <w:p w14:paraId="1ECAD139" w14:textId="7E08FC1D" w:rsidR="00353B57" w:rsidRPr="00C23ACB" w:rsidRDefault="00353B57" w:rsidP="00276364">
            <w:pPr>
              <w:pStyle w:val="ListParagraph"/>
              <w:numPr>
                <w:ilvl w:val="0"/>
                <w:numId w:val="4"/>
              </w:numPr>
              <w:spacing w:after="0" w:line="256" w:lineRule="auto"/>
              <w:rPr>
                <w:rFonts w:ascii="Arial" w:hAnsi="Arial" w:cs="Arial"/>
                <w:sz w:val="16"/>
              </w:rPr>
            </w:pPr>
            <w:r w:rsidRPr="00C23ACB">
              <w:rPr>
                <w:rFonts w:ascii="Arial" w:hAnsi="Arial" w:cs="Arial"/>
                <w:sz w:val="16"/>
              </w:rPr>
              <w:t xml:space="preserve">Prioritize women ages </w:t>
            </w:r>
            <w:r w:rsidR="00A22479">
              <w:rPr>
                <w:rFonts w:ascii="Arial" w:hAnsi="Arial" w:cs="Arial"/>
                <w:sz w:val="16"/>
              </w:rPr>
              <w:t>15</w:t>
            </w:r>
            <w:r w:rsidRPr="00C23ACB">
              <w:rPr>
                <w:rFonts w:ascii="Arial" w:hAnsi="Arial" w:cs="Arial"/>
                <w:sz w:val="16"/>
              </w:rPr>
              <w:t>-24 years old engaged in cross-generational or transactional sex</w:t>
            </w:r>
          </w:p>
        </w:tc>
        <w:tc>
          <w:tcPr>
            <w:tcW w:w="2965" w:type="dxa"/>
            <w:shd w:val="clear" w:color="auto" w:fill="C5E0B3" w:themeFill="accent6" w:themeFillTint="66"/>
            <w:vAlign w:val="center"/>
          </w:tcPr>
          <w:p w14:paraId="65C93BAA" w14:textId="0E380CA1" w:rsidR="00353B57" w:rsidRDefault="00353B57" w:rsidP="00276364">
            <w:pPr>
              <w:pStyle w:val="ListParagraph"/>
              <w:numPr>
                <w:ilvl w:val="0"/>
                <w:numId w:val="4"/>
              </w:numPr>
              <w:spacing w:after="0" w:line="256" w:lineRule="auto"/>
              <w:rPr>
                <w:rFonts w:ascii="Arial" w:hAnsi="Arial" w:cs="Arial"/>
                <w:sz w:val="16"/>
              </w:rPr>
            </w:pPr>
            <w:r w:rsidRPr="00C23ACB">
              <w:rPr>
                <w:rFonts w:ascii="Arial" w:hAnsi="Arial" w:cs="Arial"/>
                <w:sz w:val="16"/>
              </w:rPr>
              <w:t>DREAMS program implemented and expanded</w:t>
            </w:r>
            <w:r>
              <w:rPr>
                <w:rFonts w:ascii="Arial" w:hAnsi="Arial" w:cs="Arial"/>
                <w:sz w:val="16"/>
              </w:rPr>
              <w:t xml:space="preserve">. </w:t>
            </w:r>
          </w:p>
        </w:tc>
      </w:tr>
      <w:tr w:rsidR="00353B57" w:rsidRPr="00925A18" w14:paraId="483BC863" w14:textId="77777777" w:rsidTr="00276364">
        <w:trPr>
          <w:trHeight w:val="152"/>
        </w:trPr>
        <w:tc>
          <w:tcPr>
            <w:tcW w:w="1615" w:type="dxa"/>
            <w:vMerge/>
          </w:tcPr>
          <w:p w14:paraId="3C1AE205" w14:textId="77777777" w:rsidR="00353B57" w:rsidRPr="00925A18" w:rsidRDefault="00353B57" w:rsidP="00276364">
            <w:pPr>
              <w:spacing w:after="0" w:line="256" w:lineRule="auto"/>
              <w:rPr>
                <w:rFonts w:ascii="Arial" w:hAnsi="Arial" w:cs="Arial"/>
                <w:b/>
                <w:sz w:val="16"/>
              </w:rPr>
            </w:pPr>
          </w:p>
        </w:tc>
        <w:tc>
          <w:tcPr>
            <w:tcW w:w="2340" w:type="dxa"/>
            <w:vMerge/>
          </w:tcPr>
          <w:p w14:paraId="6E5DABB6" w14:textId="77777777" w:rsidR="00353B57" w:rsidRPr="00925A18" w:rsidRDefault="00353B57" w:rsidP="00276364">
            <w:pPr>
              <w:pStyle w:val="ListParagraph"/>
              <w:numPr>
                <w:ilvl w:val="0"/>
                <w:numId w:val="4"/>
              </w:numPr>
              <w:spacing w:after="0" w:line="256" w:lineRule="auto"/>
              <w:rPr>
                <w:rFonts w:ascii="Arial" w:hAnsi="Arial" w:cs="Arial"/>
                <w:sz w:val="16"/>
              </w:rPr>
            </w:pPr>
          </w:p>
        </w:tc>
        <w:tc>
          <w:tcPr>
            <w:tcW w:w="2430" w:type="dxa"/>
          </w:tcPr>
          <w:p w14:paraId="1A91536A" w14:textId="649AA242" w:rsidR="00353B57" w:rsidRPr="00C23ACB" w:rsidRDefault="00353B57" w:rsidP="00276364">
            <w:pPr>
              <w:pStyle w:val="ListParagraph"/>
              <w:numPr>
                <w:ilvl w:val="0"/>
                <w:numId w:val="4"/>
              </w:numPr>
              <w:spacing w:after="0" w:line="256" w:lineRule="auto"/>
              <w:rPr>
                <w:rFonts w:ascii="Arial" w:hAnsi="Arial" w:cs="Arial"/>
                <w:sz w:val="16"/>
              </w:rPr>
            </w:pPr>
            <w:r w:rsidRPr="00C23ACB">
              <w:rPr>
                <w:rFonts w:ascii="Arial" w:hAnsi="Arial" w:cs="Arial"/>
                <w:sz w:val="16"/>
              </w:rPr>
              <w:t>Scale-up cash transfers for young women</w:t>
            </w:r>
          </w:p>
        </w:tc>
        <w:tc>
          <w:tcPr>
            <w:tcW w:w="2965" w:type="dxa"/>
            <w:shd w:val="clear" w:color="auto" w:fill="C5E0B3" w:themeFill="accent6" w:themeFillTint="66"/>
            <w:vAlign w:val="center"/>
          </w:tcPr>
          <w:p w14:paraId="5439CB5E" w14:textId="3D48E49E" w:rsidR="00353B57" w:rsidRDefault="00353B57" w:rsidP="00276364">
            <w:pPr>
              <w:pStyle w:val="ListParagraph"/>
              <w:numPr>
                <w:ilvl w:val="0"/>
                <w:numId w:val="4"/>
              </w:numPr>
              <w:spacing w:after="0" w:line="256" w:lineRule="auto"/>
              <w:rPr>
                <w:rFonts w:ascii="Arial" w:hAnsi="Arial" w:cs="Arial"/>
                <w:sz w:val="16"/>
              </w:rPr>
            </w:pPr>
            <w:r w:rsidRPr="00C23ACB">
              <w:rPr>
                <w:rFonts w:ascii="Arial" w:hAnsi="Arial" w:cs="Arial"/>
                <w:sz w:val="16"/>
              </w:rPr>
              <w:t>DREAMS program implemented and expanded</w:t>
            </w:r>
            <w:r>
              <w:rPr>
                <w:rFonts w:ascii="Arial" w:hAnsi="Arial" w:cs="Arial"/>
                <w:sz w:val="16"/>
              </w:rPr>
              <w:t>. Global Fund working with UNCIEF and government on cash transfer pilot.</w:t>
            </w:r>
          </w:p>
        </w:tc>
      </w:tr>
    </w:tbl>
    <w:p w14:paraId="68499A76" w14:textId="77777777" w:rsidR="00C47A7A" w:rsidRDefault="00C47A7A" w:rsidP="00444084">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40"/>
        <w:gridCol w:w="2430"/>
        <w:gridCol w:w="2965"/>
      </w:tblGrid>
      <w:tr w:rsidR="00CD6A8E" w:rsidRPr="00925A18" w14:paraId="3007D58F" w14:textId="77777777" w:rsidTr="0028213B">
        <w:trPr>
          <w:trHeight w:val="241"/>
        </w:trPr>
        <w:tc>
          <w:tcPr>
            <w:tcW w:w="9350" w:type="dxa"/>
            <w:gridSpan w:val="4"/>
            <w:shd w:val="clear" w:color="auto" w:fill="F2F2F2" w:themeFill="background1" w:themeFillShade="F2"/>
            <w:vAlign w:val="center"/>
          </w:tcPr>
          <w:p w14:paraId="626AA34E" w14:textId="035E31F8" w:rsidR="00CD6A8E" w:rsidRPr="00505F88" w:rsidRDefault="00CD6A8E">
            <w:pPr>
              <w:spacing w:after="0" w:line="256" w:lineRule="auto"/>
              <w:rPr>
                <w:rFonts w:ascii="Arial" w:hAnsi="Arial" w:cs="Arial"/>
                <w:sz w:val="16"/>
              </w:rPr>
            </w:pPr>
            <w:r w:rsidRPr="00925A18">
              <w:rPr>
                <w:rFonts w:ascii="Arial" w:hAnsi="Arial" w:cs="Arial"/>
                <w:b/>
                <w:sz w:val="16"/>
              </w:rPr>
              <w:t>Treatment</w:t>
            </w:r>
            <w:r>
              <w:rPr>
                <w:rFonts w:ascii="Arial" w:hAnsi="Arial" w:cs="Arial"/>
                <w:b/>
                <w:sz w:val="16"/>
              </w:rPr>
              <w:t>, care, and support</w:t>
            </w:r>
          </w:p>
        </w:tc>
      </w:tr>
      <w:tr w:rsidR="00993478" w:rsidRPr="00925A18" w14:paraId="43F90C54" w14:textId="48FB1042" w:rsidTr="002C5C97">
        <w:trPr>
          <w:trHeight w:val="260"/>
        </w:trPr>
        <w:tc>
          <w:tcPr>
            <w:tcW w:w="1615" w:type="dxa"/>
            <w:vMerge w:val="restart"/>
          </w:tcPr>
          <w:p w14:paraId="76D83A23" w14:textId="77777777" w:rsidR="00993478" w:rsidRPr="00925A18" w:rsidRDefault="00993478" w:rsidP="00276364">
            <w:pPr>
              <w:spacing w:after="0" w:line="256" w:lineRule="auto"/>
              <w:rPr>
                <w:rFonts w:ascii="Arial" w:hAnsi="Arial" w:cs="Arial"/>
                <w:b/>
                <w:sz w:val="16"/>
              </w:rPr>
            </w:pPr>
            <w:r w:rsidRPr="00925A18">
              <w:rPr>
                <w:rFonts w:ascii="Arial" w:hAnsi="Arial" w:cs="Arial"/>
                <w:b/>
                <w:sz w:val="16"/>
              </w:rPr>
              <w:t>Treatment</w:t>
            </w:r>
            <w:r>
              <w:rPr>
                <w:rFonts w:ascii="Arial" w:hAnsi="Arial" w:cs="Arial"/>
                <w:b/>
                <w:sz w:val="16"/>
              </w:rPr>
              <w:t>, care, and support</w:t>
            </w:r>
          </w:p>
        </w:tc>
        <w:tc>
          <w:tcPr>
            <w:tcW w:w="2340" w:type="dxa"/>
            <w:vMerge w:val="restart"/>
          </w:tcPr>
          <w:p w14:paraId="603B3724" w14:textId="77777777" w:rsidR="00993478" w:rsidRPr="00925A18" w:rsidRDefault="00993478" w:rsidP="00276364">
            <w:pPr>
              <w:pStyle w:val="ListParagraph"/>
              <w:numPr>
                <w:ilvl w:val="0"/>
                <w:numId w:val="5"/>
              </w:numPr>
              <w:spacing w:after="0" w:line="256" w:lineRule="auto"/>
              <w:rPr>
                <w:rFonts w:ascii="Arial" w:hAnsi="Arial" w:cs="Arial"/>
                <w:sz w:val="16"/>
              </w:rPr>
            </w:pPr>
            <w:r w:rsidRPr="00925A18">
              <w:rPr>
                <w:rFonts w:ascii="Arial" w:hAnsi="Arial" w:cs="Arial"/>
                <w:sz w:val="16"/>
              </w:rPr>
              <w:t>Pediatric coverage</w:t>
            </w:r>
            <w:r>
              <w:rPr>
                <w:rFonts w:ascii="Arial" w:hAnsi="Arial" w:cs="Arial"/>
                <w:sz w:val="16"/>
              </w:rPr>
              <w:t xml:space="preserve"> </w:t>
            </w:r>
            <w:r w:rsidRPr="00925A18">
              <w:rPr>
                <w:rFonts w:ascii="Arial" w:hAnsi="Arial" w:cs="Arial"/>
                <w:sz w:val="16"/>
              </w:rPr>
              <w:t>only 30.1% (2014) of eligible children</w:t>
            </w:r>
          </w:p>
          <w:p w14:paraId="5ABF459B" w14:textId="77777777" w:rsidR="00993478" w:rsidRPr="00925A18" w:rsidRDefault="00993478" w:rsidP="00276364">
            <w:pPr>
              <w:pStyle w:val="ListParagraph"/>
              <w:numPr>
                <w:ilvl w:val="0"/>
                <w:numId w:val="5"/>
              </w:numPr>
              <w:spacing w:after="0" w:line="256" w:lineRule="auto"/>
              <w:rPr>
                <w:rFonts w:ascii="Arial" w:hAnsi="Arial" w:cs="Arial"/>
                <w:sz w:val="16"/>
              </w:rPr>
            </w:pPr>
            <w:r w:rsidRPr="00925A18">
              <w:rPr>
                <w:rFonts w:ascii="Arial" w:hAnsi="Arial" w:cs="Arial"/>
                <w:sz w:val="16"/>
              </w:rPr>
              <w:t>Retention and adherence among children and mobile populations</w:t>
            </w:r>
          </w:p>
          <w:p w14:paraId="76DE29DD" w14:textId="08D3A246" w:rsidR="00993478" w:rsidRPr="00925A18" w:rsidRDefault="00993478" w:rsidP="00276364">
            <w:pPr>
              <w:pStyle w:val="ListParagraph"/>
              <w:numPr>
                <w:ilvl w:val="0"/>
                <w:numId w:val="5"/>
              </w:numPr>
              <w:spacing w:after="0" w:line="256" w:lineRule="auto"/>
              <w:rPr>
                <w:rFonts w:ascii="Arial" w:hAnsi="Arial" w:cs="Arial"/>
                <w:sz w:val="16"/>
              </w:rPr>
            </w:pPr>
            <w:r w:rsidRPr="00925A18">
              <w:rPr>
                <w:rFonts w:ascii="Arial" w:hAnsi="Arial" w:cs="Arial"/>
                <w:sz w:val="16"/>
              </w:rPr>
              <w:t>Increasing treatment failure and unmet need for second line drugs/ VL testing</w:t>
            </w:r>
          </w:p>
        </w:tc>
        <w:tc>
          <w:tcPr>
            <w:tcW w:w="2430" w:type="dxa"/>
          </w:tcPr>
          <w:p w14:paraId="442D0055" w14:textId="3E7B25C1"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 xml:space="preserve">Home-based ART </w:t>
            </w:r>
          </w:p>
        </w:tc>
        <w:tc>
          <w:tcPr>
            <w:tcW w:w="2965" w:type="dxa"/>
            <w:shd w:val="clear" w:color="auto" w:fill="C00000"/>
          </w:tcPr>
          <w:p w14:paraId="62AB8978" w14:textId="2E8EB03E"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 xml:space="preserve">No </w:t>
            </w:r>
            <w:r>
              <w:rPr>
                <w:rFonts w:ascii="Arial" w:hAnsi="Arial" w:cs="Arial"/>
                <w:sz w:val="16"/>
              </w:rPr>
              <w:t>progress due to legal barriers</w:t>
            </w:r>
          </w:p>
        </w:tc>
      </w:tr>
      <w:tr w:rsidR="00993478" w:rsidRPr="00925A18" w14:paraId="71CAFD06" w14:textId="77777777" w:rsidTr="002C5C97">
        <w:trPr>
          <w:trHeight w:val="350"/>
        </w:trPr>
        <w:tc>
          <w:tcPr>
            <w:tcW w:w="1615" w:type="dxa"/>
            <w:vMerge/>
          </w:tcPr>
          <w:p w14:paraId="24F8D5BA" w14:textId="77777777" w:rsidR="00993478" w:rsidRPr="00925A18" w:rsidRDefault="00993478" w:rsidP="00276364">
            <w:pPr>
              <w:spacing w:after="0" w:line="256" w:lineRule="auto"/>
              <w:rPr>
                <w:rFonts w:ascii="Arial" w:hAnsi="Arial" w:cs="Arial"/>
                <w:b/>
                <w:sz w:val="16"/>
              </w:rPr>
            </w:pPr>
          </w:p>
        </w:tc>
        <w:tc>
          <w:tcPr>
            <w:tcW w:w="2340" w:type="dxa"/>
            <w:vMerge/>
          </w:tcPr>
          <w:p w14:paraId="792C15E9" w14:textId="77777777" w:rsidR="00993478" w:rsidRPr="00925A18" w:rsidRDefault="00993478" w:rsidP="00276364">
            <w:pPr>
              <w:pStyle w:val="ListParagraph"/>
              <w:numPr>
                <w:ilvl w:val="0"/>
                <w:numId w:val="5"/>
              </w:numPr>
              <w:spacing w:after="0" w:line="256" w:lineRule="auto"/>
              <w:rPr>
                <w:rFonts w:ascii="Arial" w:hAnsi="Arial" w:cs="Arial"/>
                <w:sz w:val="16"/>
              </w:rPr>
            </w:pPr>
          </w:p>
        </w:tc>
        <w:tc>
          <w:tcPr>
            <w:tcW w:w="2430" w:type="dxa"/>
          </w:tcPr>
          <w:p w14:paraId="2391AF97" w14:textId="15642845"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 xml:space="preserve">Community ART delivery </w:t>
            </w:r>
          </w:p>
        </w:tc>
        <w:tc>
          <w:tcPr>
            <w:tcW w:w="2965" w:type="dxa"/>
            <w:shd w:val="clear" w:color="auto" w:fill="C00000"/>
          </w:tcPr>
          <w:p w14:paraId="2B518794" w14:textId="330C0753"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 xml:space="preserve">No progress </w:t>
            </w:r>
            <w:r>
              <w:rPr>
                <w:rFonts w:ascii="Arial" w:hAnsi="Arial" w:cs="Arial"/>
                <w:sz w:val="16"/>
              </w:rPr>
              <w:t>due to legal barriers</w:t>
            </w:r>
          </w:p>
        </w:tc>
      </w:tr>
      <w:tr w:rsidR="00993478" w:rsidRPr="00925A18" w14:paraId="4C1565E7" w14:textId="77777777" w:rsidTr="00276364">
        <w:trPr>
          <w:trHeight w:val="439"/>
        </w:trPr>
        <w:tc>
          <w:tcPr>
            <w:tcW w:w="1615" w:type="dxa"/>
            <w:vMerge/>
          </w:tcPr>
          <w:p w14:paraId="1359BB3B" w14:textId="77777777" w:rsidR="00993478" w:rsidRPr="00925A18" w:rsidRDefault="00993478" w:rsidP="00276364">
            <w:pPr>
              <w:spacing w:after="0" w:line="256" w:lineRule="auto"/>
              <w:rPr>
                <w:rFonts w:ascii="Arial" w:hAnsi="Arial" w:cs="Arial"/>
                <w:b/>
                <w:sz w:val="16"/>
              </w:rPr>
            </w:pPr>
          </w:p>
        </w:tc>
        <w:tc>
          <w:tcPr>
            <w:tcW w:w="2340" w:type="dxa"/>
            <w:vMerge/>
          </w:tcPr>
          <w:p w14:paraId="74707736" w14:textId="77777777" w:rsidR="00993478" w:rsidRPr="00925A18" w:rsidRDefault="00993478" w:rsidP="00276364">
            <w:pPr>
              <w:pStyle w:val="ListParagraph"/>
              <w:numPr>
                <w:ilvl w:val="0"/>
                <w:numId w:val="5"/>
              </w:numPr>
              <w:spacing w:after="0" w:line="256" w:lineRule="auto"/>
              <w:rPr>
                <w:rFonts w:ascii="Arial" w:hAnsi="Arial" w:cs="Arial"/>
                <w:sz w:val="16"/>
              </w:rPr>
            </w:pPr>
          </w:p>
        </w:tc>
        <w:tc>
          <w:tcPr>
            <w:tcW w:w="2430" w:type="dxa"/>
          </w:tcPr>
          <w:p w14:paraId="72FC97AC" w14:textId="3E6999A9"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Community adherence groups</w:t>
            </w:r>
          </w:p>
        </w:tc>
        <w:tc>
          <w:tcPr>
            <w:tcW w:w="2965" w:type="dxa"/>
            <w:shd w:val="clear" w:color="auto" w:fill="FFE599" w:themeFill="accent4" w:themeFillTint="66"/>
          </w:tcPr>
          <w:p w14:paraId="199A35FA" w14:textId="6F81DBF5"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Limited progress; NACP conducted costing and efficiency study</w:t>
            </w:r>
          </w:p>
        </w:tc>
      </w:tr>
      <w:tr w:rsidR="00993478" w:rsidRPr="00925A18" w14:paraId="2E42C90D" w14:textId="77777777" w:rsidTr="00276364">
        <w:trPr>
          <w:trHeight w:val="439"/>
        </w:trPr>
        <w:tc>
          <w:tcPr>
            <w:tcW w:w="1615" w:type="dxa"/>
            <w:vMerge/>
          </w:tcPr>
          <w:p w14:paraId="6BF31D97" w14:textId="77777777" w:rsidR="00993478" w:rsidRPr="00925A18" w:rsidRDefault="00993478" w:rsidP="00276364">
            <w:pPr>
              <w:spacing w:after="0" w:line="256" w:lineRule="auto"/>
              <w:rPr>
                <w:rFonts w:ascii="Arial" w:hAnsi="Arial" w:cs="Arial"/>
                <w:b/>
                <w:sz w:val="16"/>
              </w:rPr>
            </w:pPr>
          </w:p>
        </w:tc>
        <w:tc>
          <w:tcPr>
            <w:tcW w:w="2340" w:type="dxa"/>
            <w:vMerge/>
          </w:tcPr>
          <w:p w14:paraId="68C31F6A" w14:textId="77777777" w:rsidR="00993478" w:rsidRPr="00925A18" w:rsidRDefault="00993478" w:rsidP="00276364">
            <w:pPr>
              <w:pStyle w:val="ListParagraph"/>
              <w:numPr>
                <w:ilvl w:val="0"/>
                <w:numId w:val="5"/>
              </w:numPr>
              <w:spacing w:after="0" w:line="256" w:lineRule="auto"/>
              <w:rPr>
                <w:rFonts w:ascii="Arial" w:hAnsi="Arial" w:cs="Arial"/>
                <w:sz w:val="16"/>
              </w:rPr>
            </w:pPr>
          </w:p>
        </w:tc>
        <w:tc>
          <w:tcPr>
            <w:tcW w:w="2430" w:type="dxa"/>
          </w:tcPr>
          <w:p w14:paraId="1ED0D4B6" w14:textId="7438C3E1"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mHealth adherence groups</w:t>
            </w:r>
          </w:p>
        </w:tc>
        <w:tc>
          <w:tcPr>
            <w:tcW w:w="2965" w:type="dxa"/>
            <w:shd w:val="clear" w:color="auto" w:fill="C00000"/>
          </w:tcPr>
          <w:p w14:paraId="20992590" w14:textId="63E039EB"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Limited progress</w:t>
            </w:r>
            <w:r>
              <w:rPr>
                <w:rFonts w:ascii="Arial" w:hAnsi="Arial" w:cs="Arial"/>
                <w:sz w:val="16"/>
              </w:rPr>
              <w:t xml:space="preserve"> due to not being a national priority</w:t>
            </w:r>
          </w:p>
        </w:tc>
      </w:tr>
      <w:tr w:rsidR="00993478" w:rsidRPr="00925A18" w14:paraId="49BD00AF" w14:textId="77777777" w:rsidTr="00276364">
        <w:trPr>
          <w:trHeight w:val="439"/>
        </w:trPr>
        <w:tc>
          <w:tcPr>
            <w:tcW w:w="1615" w:type="dxa"/>
            <w:vMerge/>
          </w:tcPr>
          <w:p w14:paraId="5327B2FD" w14:textId="77777777" w:rsidR="00993478" w:rsidRPr="00925A18" w:rsidRDefault="00993478" w:rsidP="00276364">
            <w:pPr>
              <w:spacing w:after="0" w:line="256" w:lineRule="auto"/>
              <w:rPr>
                <w:rFonts w:ascii="Arial" w:hAnsi="Arial" w:cs="Arial"/>
                <w:b/>
                <w:sz w:val="16"/>
              </w:rPr>
            </w:pPr>
          </w:p>
        </w:tc>
        <w:tc>
          <w:tcPr>
            <w:tcW w:w="2340" w:type="dxa"/>
            <w:vMerge/>
          </w:tcPr>
          <w:p w14:paraId="350A87C0" w14:textId="77777777" w:rsidR="00993478" w:rsidRPr="00925A18" w:rsidRDefault="00993478" w:rsidP="00276364">
            <w:pPr>
              <w:pStyle w:val="ListParagraph"/>
              <w:numPr>
                <w:ilvl w:val="0"/>
                <w:numId w:val="5"/>
              </w:numPr>
              <w:spacing w:after="0" w:line="256" w:lineRule="auto"/>
              <w:rPr>
                <w:rFonts w:ascii="Arial" w:hAnsi="Arial" w:cs="Arial"/>
                <w:sz w:val="16"/>
              </w:rPr>
            </w:pPr>
          </w:p>
        </w:tc>
        <w:tc>
          <w:tcPr>
            <w:tcW w:w="2430" w:type="dxa"/>
          </w:tcPr>
          <w:p w14:paraId="3B179DC0" w14:textId="40BF86A0"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CHW adherence groups</w:t>
            </w:r>
          </w:p>
        </w:tc>
        <w:tc>
          <w:tcPr>
            <w:tcW w:w="2965" w:type="dxa"/>
            <w:shd w:val="clear" w:color="auto" w:fill="FFE599" w:themeFill="accent4" w:themeFillTint="66"/>
          </w:tcPr>
          <w:p w14:paraId="7006A38B" w14:textId="2C1AC636" w:rsidR="00993478" w:rsidRPr="00925A18" w:rsidRDefault="00993478" w:rsidP="00276364">
            <w:pPr>
              <w:pStyle w:val="ListParagraph"/>
              <w:numPr>
                <w:ilvl w:val="0"/>
                <w:numId w:val="5"/>
              </w:numPr>
              <w:spacing w:after="0" w:line="256" w:lineRule="auto"/>
              <w:rPr>
                <w:rFonts w:ascii="Arial" w:hAnsi="Arial" w:cs="Arial"/>
                <w:sz w:val="16"/>
              </w:rPr>
            </w:pPr>
            <w:r w:rsidRPr="00C23ACB">
              <w:rPr>
                <w:rFonts w:ascii="Arial" w:hAnsi="Arial" w:cs="Arial"/>
                <w:sz w:val="16"/>
              </w:rPr>
              <w:t>Limited progress; NACP conducted costing and efficiency study</w:t>
            </w:r>
            <w:r>
              <w:rPr>
                <w:rFonts w:ascii="Arial" w:hAnsi="Arial" w:cs="Arial"/>
                <w:sz w:val="16"/>
              </w:rPr>
              <w:t xml:space="preserve"> </w:t>
            </w:r>
          </w:p>
        </w:tc>
      </w:tr>
    </w:tbl>
    <w:p w14:paraId="1381E8D2" w14:textId="77777777" w:rsidR="006B494F" w:rsidRDefault="006B494F" w:rsidP="00993478">
      <w:pPr>
        <w:spacing w:after="0" w:line="256" w:lineRule="auto"/>
        <w:rPr>
          <w:rFonts w:ascii="Arial" w:hAnsi="Arial" w:cs="Arial"/>
          <w:b/>
          <w:sz w:val="16"/>
        </w:rPr>
      </w:pPr>
    </w:p>
    <w:p w14:paraId="7A76AF43" w14:textId="107C8188" w:rsidR="00993478" w:rsidRPr="00F6611C" w:rsidRDefault="00993478" w:rsidP="00993478">
      <w:pPr>
        <w:spacing w:after="0" w:line="256" w:lineRule="auto"/>
        <w:rPr>
          <w:rFonts w:ascii="Arial" w:hAnsi="Arial" w:cs="Arial"/>
          <w:b/>
          <w:sz w:val="16"/>
        </w:rPr>
      </w:pPr>
      <w:r w:rsidRPr="00F6611C">
        <w:rPr>
          <w:rFonts w:ascii="Arial" w:hAnsi="Arial" w:cs="Arial"/>
          <w:b/>
          <w:sz w:val="16"/>
        </w:rPr>
        <w:t>Key</w:t>
      </w:r>
      <w:r>
        <w:rPr>
          <w:rFonts w:ascii="Arial" w:hAnsi="Arial" w:cs="Arial"/>
          <w:b/>
          <w:sz w:val="16"/>
        </w:rPr>
        <w:t>:</w:t>
      </w:r>
    </w:p>
    <w:tbl>
      <w:tblPr>
        <w:tblW w:w="3551" w:type="dxa"/>
        <w:tblLook w:val="04A0" w:firstRow="1" w:lastRow="0" w:firstColumn="1" w:lastColumn="0" w:noHBand="0" w:noVBand="1"/>
      </w:tblPr>
      <w:tblGrid>
        <w:gridCol w:w="1390"/>
        <w:gridCol w:w="2161"/>
      </w:tblGrid>
      <w:tr w:rsidR="00993478" w:rsidRPr="00F6611C" w14:paraId="6EF57811" w14:textId="77777777" w:rsidTr="00276364">
        <w:trPr>
          <w:trHeight w:val="267"/>
        </w:trPr>
        <w:tc>
          <w:tcPr>
            <w:tcW w:w="1390" w:type="dxa"/>
            <w:shd w:val="clear" w:color="auto" w:fill="C5E0B3" w:themeFill="accent6" w:themeFillTint="66"/>
            <w:vAlign w:val="center"/>
          </w:tcPr>
          <w:p w14:paraId="362E9C0B" w14:textId="77777777" w:rsidR="00993478" w:rsidRPr="00F6611C" w:rsidRDefault="00993478" w:rsidP="008E4A35">
            <w:pPr>
              <w:spacing w:line="256" w:lineRule="auto"/>
              <w:rPr>
                <w:rFonts w:ascii="Arial" w:hAnsi="Arial" w:cs="Arial"/>
                <w:b/>
                <w:color w:val="000000" w:themeColor="text1"/>
                <w:sz w:val="16"/>
              </w:rPr>
            </w:pPr>
            <w:r w:rsidRPr="00F6611C">
              <w:rPr>
                <w:rFonts w:ascii="Arial" w:hAnsi="Arial" w:cs="Arial"/>
                <w:b/>
                <w:color w:val="000000" w:themeColor="text1"/>
                <w:sz w:val="16"/>
              </w:rPr>
              <w:t>Green</w:t>
            </w:r>
          </w:p>
        </w:tc>
        <w:tc>
          <w:tcPr>
            <w:tcW w:w="2161" w:type="dxa"/>
            <w:vAlign w:val="center"/>
          </w:tcPr>
          <w:p w14:paraId="352531D5" w14:textId="77777777" w:rsidR="00993478" w:rsidRPr="00F6611C" w:rsidRDefault="00993478" w:rsidP="008E4A35">
            <w:pPr>
              <w:spacing w:line="256" w:lineRule="auto"/>
              <w:rPr>
                <w:rFonts w:ascii="Arial" w:hAnsi="Arial" w:cs="Arial"/>
                <w:sz w:val="16"/>
              </w:rPr>
            </w:pPr>
            <w:r w:rsidRPr="00F6611C">
              <w:rPr>
                <w:rFonts w:ascii="Arial" w:hAnsi="Arial" w:cs="Arial"/>
                <w:sz w:val="16"/>
              </w:rPr>
              <w:t>Progress achieved</w:t>
            </w:r>
          </w:p>
        </w:tc>
      </w:tr>
      <w:tr w:rsidR="00993478" w:rsidRPr="00F6611C" w14:paraId="00565FCE" w14:textId="77777777" w:rsidTr="00276364">
        <w:trPr>
          <w:trHeight w:val="280"/>
        </w:trPr>
        <w:tc>
          <w:tcPr>
            <w:tcW w:w="1390" w:type="dxa"/>
            <w:shd w:val="clear" w:color="auto" w:fill="FFE599" w:themeFill="accent4" w:themeFillTint="66"/>
            <w:vAlign w:val="center"/>
          </w:tcPr>
          <w:p w14:paraId="5A0C0D26" w14:textId="77777777" w:rsidR="00993478" w:rsidRPr="00F6611C" w:rsidRDefault="00993478" w:rsidP="008E4A35">
            <w:pPr>
              <w:spacing w:line="256" w:lineRule="auto"/>
              <w:rPr>
                <w:rFonts w:ascii="Arial" w:hAnsi="Arial" w:cs="Arial"/>
                <w:b/>
                <w:color w:val="000000" w:themeColor="text1"/>
                <w:sz w:val="16"/>
              </w:rPr>
            </w:pPr>
            <w:r w:rsidRPr="00F6611C">
              <w:rPr>
                <w:rFonts w:ascii="Arial" w:hAnsi="Arial" w:cs="Arial"/>
                <w:b/>
                <w:color w:val="000000" w:themeColor="text1"/>
                <w:sz w:val="16"/>
              </w:rPr>
              <w:t xml:space="preserve">Yellow </w:t>
            </w:r>
          </w:p>
        </w:tc>
        <w:tc>
          <w:tcPr>
            <w:tcW w:w="2161" w:type="dxa"/>
            <w:vAlign w:val="center"/>
          </w:tcPr>
          <w:p w14:paraId="1B615714" w14:textId="77777777" w:rsidR="00993478" w:rsidRPr="00F6611C" w:rsidRDefault="00993478" w:rsidP="008E4A35">
            <w:pPr>
              <w:spacing w:line="256" w:lineRule="auto"/>
              <w:rPr>
                <w:rFonts w:ascii="Arial" w:hAnsi="Arial" w:cs="Arial"/>
                <w:sz w:val="16"/>
              </w:rPr>
            </w:pPr>
            <w:r w:rsidRPr="00F6611C">
              <w:rPr>
                <w:rFonts w:ascii="Arial" w:hAnsi="Arial" w:cs="Arial"/>
                <w:sz w:val="16"/>
              </w:rPr>
              <w:t>Limited progress achieved</w:t>
            </w:r>
          </w:p>
        </w:tc>
      </w:tr>
      <w:tr w:rsidR="00993478" w:rsidRPr="00F6611C" w14:paraId="5B0ABF8E" w14:textId="77777777" w:rsidTr="00276364">
        <w:trPr>
          <w:trHeight w:val="267"/>
        </w:trPr>
        <w:tc>
          <w:tcPr>
            <w:tcW w:w="1390" w:type="dxa"/>
            <w:shd w:val="clear" w:color="auto" w:fill="C00000"/>
            <w:vAlign w:val="center"/>
          </w:tcPr>
          <w:p w14:paraId="0CA60488" w14:textId="77777777" w:rsidR="00993478" w:rsidRPr="00F6611C" w:rsidRDefault="00993478" w:rsidP="008E4A35">
            <w:pPr>
              <w:spacing w:line="256" w:lineRule="auto"/>
              <w:rPr>
                <w:rFonts w:ascii="Arial" w:hAnsi="Arial" w:cs="Arial"/>
                <w:b/>
                <w:color w:val="000000" w:themeColor="text1"/>
                <w:sz w:val="16"/>
              </w:rPr>
            </w:pPr>
            <w:r w:rsidRPr="00276364">
              <w:rPr>
                <w:rFonts w:ascii="Arial" w:hAnsi="Arial" w:cs="Arial"/>
                <w:b/>
                <w:color w:val="FFFFFF" w:themeColor="background1"/>
                <w:sz w:val="16"/>
              </w:rPr>
              <w:t xml:space="preserve">Red </w:t>
            </w:r>
          </w:p>
        </w:tc>
        <w:tc>
          <w:tcPr>
            <w:tcW w:w="2161" w:type="dxa"/>
            <w:vAlign w:val="center"/>
          </w:tcPr>
          <w:p w14:paraId="58088CB4" w14:textId="77777777" w:rsidR="00993478" w:rsidRPr="00F6611C" w:rsidRDefault="00993478" w:rsidP="008E4A35">
            <w:pPr>
              <w:spacing w:line="256" w:lineRule="auto"/>
              <w:rPr>
                <w:rFonts w:ascii="Arial" w:hAnsi="Arial" w:cs="Arial"/>
                <w:sz w:val="16"/>
              </w:rPr>
            </w:pPr>
            <w:r w:rsidRPr="00F6611C">
              <w:rPr>
                <w:rFonts w:ascii="Arial" w:hAnsi="Arial" w:cs="Arial"/>
                <w:sz w:val="16"/>
              </w:rPr>
              <w:t xml:space="preserve">No progress achieved </w:t>
            </w:r>
          </w:p>
        </w:tc>
      </w:tr>
    </w:tbl>
    <w:p w14:paraId="466383E7" w14:textId="77777777" w:rsidR="00993478" w:rsidRPr="00925A18" w:rsidRDefault="00993478" w:rsidP="00993478">
      <w:pPr>
        <w:spacing w:after="0" w:line="256" w:lineRule="auto"/>
        <w:rPr>
          <w:rFonts w:ascii="Arial" w:hAnsi="Arial" w:cs="Arial"/>
          <w:i/>
          <w:sz w:val="18"/>
        </w:rPr>
      </w:pPr>
    </w:p>
    <w:p w14:paraId="7C096C1E" w14:textId="52692722" w:rsidR="00B5128C" w:rsidRPr="00812C85" w:rsidRDefault="005E7EF4" w:rsidP="00B5128C">
      <w:pPr>
        <w:spacing w:after="0" w:line="256" w:lineRule="auto"/>
        <w:rPr>
          <w:rFonts w:ascii="Arial" w:hAnsi="Arial" w:cs="Arial"/>
          <w:i/>
        </w:rPr>
      </w:pPr>
      <w:r>
        <w:rPr>
          <w:rFonts w:ascii="Arial" w:hAnsi="Arial" w:cs="Arial"/>
        </w:rPr>
        <w:t>In addition to those innovations considered in the first IC, other new developments have occurred in the last 3-4 years</w:t>
      </w:r>
      <w:r w:rsidR="00BA24EF">
        <w:rPr>
          <w:rFonts w:ascii="Arial" w:hAnsi="Arial" w:cs="Arial"/>
        </w:rPr>
        <w:t xml:space="preserve">, as </w:t>
      </w:r>
      <w:r>
        <w:rPr>
          <w:rFonts w:ascii="Arial" w:hAnsi="Arial" w:cs="Arial"/>
        </w:rPr>
        <w:t>described below</w:t>
      </w:r>
      <w:r w:rsidR="00B5128C">
        <w:rPr>
          <w:rFonts w:ascii="Arial" w:hAnsi="Arial" w:cs="Arial"/>
        </w:rPr>
        <w:t xml:space="preserve">.  A summary of these developments is shown in the timeline in </w:t>
      </w:r>
      <w:r w:rsidR="00B5128C" w:rsidRPr="00812C85">
        <w:rPr>
          <w:rFonts w:ascii="Arial" w:hAnsi="Arial" w:cs="Arial"/>
          <w:i/>
        </w:rPr>
        <w:t>Figure 2-</w:t>
      </w:r>
      <w:r w:rsidR="00BD2E89">
        <w:rPr>
          <w:rFonts w:ascii="Arial" w:hAnsi="Arial" w:cs="Arial"/>
          <w:i/>
        </w:rPr>
        <w:t>8</w:t>
      </w:r>
      <w:r w:rsidR="00B5128C" w:rsidRPr="00812C85">
        <w:rPr>
          <w:rFonts w:ascii="Arial" w:hAnsi="Arial" w:cs="Arial"/>
          <w:i/>
        </w:rPr>
        <w:t>.</w:t>
      </w:r>
    </w:p>
    <w:p w14:paraId="438CAD20" w14:textId="600259AC" w:rsidR="00A215B7" w:rsidRDefault="00A215B7" w:rsidP="00A215B7">
      <w:pPr>
        <w:spacing w:after="0" w:line="256" w:lineRule="auto"/>
        <w:rPr>
          <w:rFonts w:ascii="Arial" w:hAnsi="Arial" w:cs="Arial"/>
        </w:rPr>
      </w:pPr>
    </w:p>
    <w:p w14:paraId="6A529B02" w14:textId="77777777" w:rsidR="00A215B7" w:rsidRPr="00505F88" w:rsidRDefault="00A215B7" w:rsidP="00A215B7">
      <w:pPr>
        <w:spacing w:after="0" w:line="256" w:lineRule="auto"/>
        <w:rPr>
          <w:rFonts w:ascii="Arial" w:hAnsi="Arial" w:cs="Arial"/>
          <w:u w:val="single"/>
        </w:rPr>
      </w:pPr>
      <w:r w:rsidRPr="00505F88">
        <w:rPr>
          <w:rFonts w:ascii="Arial" w:hAnsi="Arial" w:cs="Arial"/>
          <w:u w:val="single"/>
        </w:rPr>
        <w:t>HIV testing and counseling</w:t>
      </w:r>
    </w:p>
    <w:p w14:paraId="443B9D3B" w14:textId="3A04FA59" w:rsidR="003E1382" w:rsidRPr="002C5C97" w:rsidRDefault="00A215B7" w:rsidP="00A178D1">
      <w:pPr>
        <w:pStyle w:val="ListParagraph"/>
        <w:spacing w:after="0" w:line="256" w:lineRule="auto"/>
        <w:rPr>
          <w:rFonts w:ascii="Arial" w:hAnsi="Arial" w:cs="Arial"/>
        </w:rPr>
      </w:pPr>
      <w:r w:rsidRPr="007C1976">
        <w:rPr>
          <w:rFonts w:ascii="Arial" w:hAnsi="Arial" w:cs="Arial"/>
          <w:i/>
          <w:color w:val="000000" w:themeColor="text1"/>
        </w:rPr>
        <w:t>Self-testing is being explored.</w:t>
      </w:r>
      <w:r>
        <w:rPr>
          <w:rFonts w:ascii="Arial" w:hAnsi="Arial" w:cs="Arial"/>
        </w:rPr>
        <w:t xml:space="preserve"> </w:t>
      </w:r>
      <w:r w:rsidRPr="007C1976">
        <w:rPr>
          <w:rFonts w:ascii="Arial" w:hAnsi="Arial" w:cs="Arial"/>
        </w:rPr>
        <w:t>The government is working on addressing the legal barriers in HIV care provision laws to self-testing (</w:t>
      </w:r>
      <w:r w:rsidR="006415B8">
        <w:rPr>
          <w:rFonts w:ascii="Arial" w:hAnsi="Arial" w:cs="Arial"/>
        </w:rPr>
        <w:t xml:space="preserve">PEPFAR </w:t>
      </w:r>
      <w:r w:rsidRPr="007C1976">
        <w:rPr>
          <w:rFonts w:ascii="Arial" w:hAnsi="Arial" w:cs="Arial"/>
        </w:rPr>
        <w:t>2018</w:t>
      </w:r>
      <w:r w:rsidR="00E46860">
        <w:rPr>
          <w:rFonts w:ascii="Arial" w:hAnsi="Arial" w:cs="Arial"/>
        </w:rPr>
        <w:t>a</w:t>
      </w:r>
      <w:r w:rsidRPr="00EC4DC8">
        <w:rPr>
          <w:rFonts w:ascii="Arial" w:hAnsi="Arial" w:cs="Arial"/>
        </w:rPr>
        <w:t>)</w:t>
      </w:r>
      <w:r w:rsidR="00E91CE4">
        <w:rPr>
          <w:rFonts w:ascii="Arial" w:hAnsi="Arial" w:cs="Arial"/>
        </w:rPr>
        <w:t>.</w:t>
      </w:r>
    </w:p>
    <w:p w14:paraId="4D831151" w14:textId="77777777" w:rsidR="00B06B1F" w:rsidRPr="00A178D1" w:rsidRDefault="00B06B1F" w:rsidP="00A178D1">
      <w:pPr>
        <w:spacing w:after="0" w:line="256" w:lineRule="auto"/>
        <w:ind w:left="360"/>
        <w:rPr>
          <w:rFonts w:ascii="Arial" w:hAnsi="Arial" w:cs="Arial"/>
          <w:u w:val="single"/>
        </w:rPr>
      </w:pPr>
    </w:p>
    <w:p w14:paraId="1F325284" w14:textId="3D3836B3" w:rsidR="007261AA" w:rsidRPr="003E62FC" w:rsidRDefault="007261AA" w:rsidP="007261AA">
      <w:pPr>
        <w:spacing w:after="0" w:line="256" w:lineRule="auto"/>
        <w:rPr>
          <w:rFonts w:ascii="Arial" w:hAnsi="Arial" w:cs="Arial"/>
          <w:u w:val="single"/>
        </w:rPr>
      </w:pPr>
      <w:r w:rsidRPr="003E62FC">
        <w:rPr>
          <w:rFonts w:ascii="Arial" w:hAnsi="Arial" w:cs="Arial"/>
          <w:u w:val="single"/>
        </w:rPr>
        <w:t>Prevention</w:t>
      </w:r>
    </w:p>
    <w:p w14:paraId="68945323" w14:textId="3CC8AB4B" w:rsidR="007261AA" w:rsidRPr="005D4B55" w:rsidRDefault="007261AA" w:rsidP="0058354C">
      <w:pPr>
        <w:pStyle w:val="ListParagraph"/>
        <w:numPr>
          <w:ilvl w:val="0"/>
          <w:numId w:val="13"/>
        </w:numPr>
        <w:spacing w:after="0" w:line="256" w:lineRule="auto"/>
        <w:rPr>
          <w:rFonts w:ascii="Arial" w:hAnsi="Arial" w:cs="Arial"/>
        </w:rPr>
      </w:pPr>
      <w:r w:rsidRPr="007C1976">
        <w:rPr>
          <w:rFonts w:ascii="Arial" w:hAnsi="Arial" w:cs="Arial"/>
          <w:i/>
          <w:color w:val="000000" w:themeColor="text1"/>
        </w:rPr>
        <w:t>PrEP has been piloted</w:t>
      </w:r>
      <w:r>
        <w:rPr>
          <w:rFonts w:ascii="Arial" w:hAnsi="Arial" w:cs="Arial"/>
          <w:i/>
          <w:color w:val="000000" w:themeColor="text1"/>
        </w:rPr>
        <w:t>.</w:t>
      </w:r>
      <w:r>
        <w:rPr>
          <w:rFonts w:ascii="Arial" w:hAnsi="Arial" w:cs="Arial"/>
        </w:rPr>
        <w:t xml:space="preserve"> </w:t>
      </w:r>
      <w:r w:rsidRPr="007C1976">
        <w:rPr>
          <w:rFonts w:ascii="Arial" w:hAnsi="Arial" w:cs="Arial"/>
        </w:rPr>
        <w:t>In March 2018, PrEP for key populations and discordant couples was rolled out</w:t>
      </w:r>
      <w:r w:rsidRPr="00EC4DC8">
        <w:rPr>
          <w:rFonts w:ascii="Arial" w:hAnsi="Arial" w:cs="Arial"/>
        </w:rPr>
        <w:t>, beginning i</w:t>
      </w:r>
      <w:r w:rsidRPr="00F85FA0">
        <w:rPr>
          <w:rFonts w:ascii="Arial" w:hAnsi="Arial" w:cs="Arial"/>
        </w:rPr>
        <w:t>n select sites in 14 regions (</w:t>
      </w:r>
      <w:r w:rsidR="006415B8">
        <w:rPr>
          <w:rFonts w:ascii="Arial" w:hAnsi="Arial" w:cs="Arial"/>
        </w:rPr>
        <w:t>PEPFAR</w:t>
      </w:r>
      <w:r w:rsidR="00E46860">
        <w:rPr>
          <w:rFonts w:ascii="Arial" w:hAnsi="Arial" w:cs="Arial"/>
        </w:rPr>
        <w:t xml:space="preserve"> </w:t>
      </w:r>
      <w:r w:rsidRPr="00F85FA0">
        <w:rPr>
          <w:rFonts w:ascii="Arial" w:hAnsi="Arial" w:cs="Arial"/>
        </w:rPr>
        <w:t>2018</w:t>
      </w:r>
      <w:r w:rsidR="00E46860">
        <w:rPr>
          <w:rFonts w:ascii="Arial" w:hAnsi="Arial" w:cs="Arial"/>
        </w:rPr>
        <w:t>a</w:t>
      </w:r>
      <w:r w:rsidRPr="00F85FA0">
        <w:rPr>
          <w:rFonts w:ascii="Arial" w:hAnsi="Arial" w:cs="Arial"/>
        </w:rPr>
        <w:t xml:space="preserve">). Targets for PrEP are 30% for key </w:t>
      </w:r>
      <w:r w:rsidRPr="00B77ADA">
        <w:rPr>
          <w:rFonts w:ascii="Arial" w:hAnsi="Arial" w:cs="Arial"/>
        </w:rPr>
        <w:t>populations by 2020 and 75% coverage</w:t>
      </w:r>
      <w:r w:rsidRPr="00395753">
        <w:rPr>
          <w:rFonts w:ascii="Arial" w:hAnsi="Arial" w:cs="Arial"/>
        </w:rPr>
        <w:t xml:space="preserve"> for key populations by 2023 (</w:t>
      </w:r>
      <w:r w:rsidR="006415B8">
        <w:rPr>
          <w:rFonts w:ascii="Arial" w:hAnsi="Arial" w:cs="Arial"/>
        </w:rPr>
        <w:t>TACAIDS 2018</w:t>
      </w:r>
      <w:r w:rsidRPr="00395753">
        <w:rPr>
          <w:rFonts w:ascii="Arial" w:hAnsi="Arial" w:cs="Arial"/>
        </w:rPr>
        <w:t>).</w:t>
      </w:r>
    </w:p>
    <w:p w14:paraId="4C9FF95D" w14:textId="6C04F488" w:rsidR="003E1382" w:rsidRPr="00505F88" w:rsidRDefault="00A955DD" w:rsidP="0058354C">
      <w:pPr>
        <w:pStyle w:val="ListParagraph"/>
        <w:numPr>
          <w:ilvl w:val="0"/>
          <w:numId w:val="13"/>
        </w:numPr>
        <w:spacing w:after="0" w:line="256" w:lineRule="auto"/>
        <w:rPr>
          <w:rFonts w:ascii="Arial" w:hAnsi="Arial" w:cs="Arial"/>
        </w:rPr>
      </w:pPr>
      <w:r>
        <w:rPr>
          <w:rFonts w:ascii="Arial" w:hAnsi="Arial" w:cs="Arial"/>
          <w:i/>
        </w:rPr>
        <w:t>Geographic prioritization has been emphasized</w:t>
      </w:r>
      <w:r w:rsidR="009A5424">
        <w:rPr>
          <w:rFonts w:ascii="Arial" w:hAnsi="Arial" w:cs="Arial"/>
          <w:i/>
        </w:rPr>
        <w:t xml:space="preserve"> on the testing and prevention front.</w:t>
      </w:r>
      <w:r>
        <w:rPr>
          <w:rFonts w:ascii="Arial" w:hAnsi="Arial" w:cs="Arial"/>
          <w:i/>
        </w:rPr>
        <w:t xml:space="preserve"> </w:t>
      </w:r>
      <w:r>
        <w:rPr>
          <w:rFonts w:ascii="Arial" w:hAnsi="Arial" w:cs="Arial"/>
        </w:rPr>
        <w:t>Targeting of high-burden areas</w:t>
      </w:r>
      <w:r w:rsidR="00E91CE4">
        <w:rPr>
          <w:rFonts w:ascii="Arial" w:hAnsi="Arial" w:cs="Arial"/>
        </w:rPr>
        <w:t xml:space="preserve">, including Attained councils that have reached 90% coverage and Scale-up councils </w:t>
      </w:r>
      <w:r w:rsidR="008E4A35">
        <w:rPr>
          <w:rFonts w:ascii="Arial" w:hAnsi="Arial" w:cs="Arial"/>
        </w:rPr>
        <w:t xml:space="preserve">at less than 90% coverage </w:t>
      </w:r>
      <w:r w:rsidRPr="00505F88">
        <w:rPr>
          <w:rFonts w:ascii="Arial" w:hAnsi="Arial" w:cs="Arial"/>
        </w:rPr>
        <w:t xml:space="preserve">has been of particular focus of PEPFAR. </w:t>
      </w:r>
    </w:p>
    <w:p w14:paraId="6A040B6A" w14:textId="77777777" w:rsidR="00A215B7" w:rsidRPr="00A178D1" w:rsidRDefault="00A215B7" w:rsidP="00A178D1">
      <w:pPr>
        <w:spacing w:after="0" w:line="256" w:lineRule="auto"/>
        <w:ind w:left="360"/>
        <w:rPr>
          <w:rFonts w:ascii="Arial" w:hAnsi="Arial" w:cs="Arial"/>
          <w:u w:val="single"/>
        </w:rPr>
      </w:pPr>
    </w:p>
    <w:p w14:paraId="6CD5673D" w14:textId="4F94B87B" w:rsidR="005E7EF4" w:rsidRPr="005E7EF4" w:rsidRDefault="00A215B7" w:rsidP="005E7EF4">
      <w:pPr>
        <w:spacing w:after="0" w:line="256" w:lineRule="auto"/>
        <w:rPr>
          <w:rFonts w:ascii="Arial" w:hAnsi="Arial" w:cs="Arial"/>
          <w:u w:val="single"/>
        </w:rPr>
      </w:pPr>
      <w:r w:rsidRPr="00505F88">
        <w:rPr>
          <w:rFonts w:ascii="Arial" w:hAnsi="Arial" w:cs="Arial"/>
          <w:u w:val="single"/>
        </w:rPr>
        <w:t>Treatment, care, and support</w:t>
      </w:r>
    </w:p>
    <w:p w14:paraId="28B24081" w14:textId="7BA014CE" w:rsidR="00A215B7" w:rsidRDefault="00A215B7" w:rsidP="0058354C">
      <w:pPr>
        <w:pStyle w:val="ListParagraph"/>
        <w:numPr>
          <w:ilvl w:val="0"/>
          <w:numId w:val="13"/>
        </w:numPr>
        <w:spacing w:after="0" w:line="256" w:lineRule="auto"/>
        <w:rPr>
          <w:rFonts w:ascii="Arial" w:hAnsi="Arial" w:cs="Arial"/>
        </w:rPr>
      </w:pPr>
      <w:r w:rsidRPr="007C1976">
        <w:rPr>
          <w:rFonts w:ascii="Arial" w:hAnsi="Arial" w:cs="Arial"/>
          <w:i/>
          <w:color w:val="000000" w:themeColor="text1"/>
        </w:rPr>
        <w:t xml:space="preserve">ART test and start policy has been implemented with the removal of eligibility criteria. </w:t>
      </w:r>
      <w:r w:rsidRPr="007C1976">
        <w:rPr>
          <w:rFonts w:ascii="Arial" w:hAnsi="Arial" w:cs="Arial"/>
        </w:rPr>
        <w:t>Since the HIV program adopted WHO recommended “treat all” approach, the number of ART clients has increased from 474,435 in 2014 (less than one-third of all PLHIV) to 913,422 by end of 2017, now abo</w:t>
      </w:r>
      <w:r w:rsidRPr="00F85FA0">
        <w:rPr>
          <w:rFonts w:ascii="Arial" w:hAnsi="Arial" w:cs="Arial"/>
        </w:rPr>
        <w:t>ut 50% of PLHIV (</w:t>
      </w:r>
      <w:r w:rsidR="006415B8">
        <w:rPr>
          <w:rFonts w:ascii="Arial" w:hAnsi="Arial" w:cs="Arial"/>
        </w:rPr>
        <w:t>TACAIDS and UNAIDS 2018</w:t>
      </w:r>
      <w:r w:rsidRPr="00F85FA0">
        <w:rPr>
          <w:rFonts w:ascii="Arial" w:hAnsi="Arial" w:cs="Arial"/>
        </w:rPr>
        <w:t xml:space="preserve">; </w:t>
      </w:r>
      <w:r w:rsidR="006415B8">
        <w:rPr>
          <w:rFonts w:ascii="Arial" w:hAnsi="Arial" w:cs="Arial"/>
        </w:rPr>
        <w:t>TACAIDS 2018</w:t>
      </w:r>
      <w:r w:rsidRPr="00F85FA0">
        <w:rPr>
          <w:rFonts w:ascii="Arial" w:hAnsi="Arial" w:cs="Arial"/>
        </w:rPr>
        <w:t xml:space="preserve">; </w:t>
      </w:r>
      <w:r w:rsidR="006415B8">
        <w:rPr>
          <w:rFonts w:ascii="Arial" w:hAnsi="Arial" w:cs="Arial"/>
        </w:rPr>
        <w:t xml:space="preserve">PEPFAR </w:t>
      </w:r>
      <w:r w:rsidRPr="00F85FA0">
        <w:rPr>
          <w:rFonts w:ascii="Arial" w:hAnsi="Arial" w:cs="Arial"/>
        </w:rPr>
        <w:t>2018</w:t>
      </w:r>
      <w:r w:rsidR="00E46860">
        <w:rPr>
          <w:rFonts w:ascii="Arial" w:hAnsi="Arial" w:cs="Arial"/>
        </w:rPr>
        <w:t>a</w:t>
      </w:r>
      <w:r w:rsidRPr="00F85FA0">
        <w:rPr>
          <w:rFonts w:ascii="Arial" w:hAnsi="Arial" w:cs="Arial"/>
        </w:rPr>
        <w:t>)</w:t>
      </w:r>
      <w:r w:rsidR="00E46860">
        <w:rPr>
          <w:rFonts w:ascii="Arial" w:hAnsi="Arial" w:cs="Arial"/>
        </w:rPr>
        <w:t>.</w:t>
      </w:r>
    </w:p>
    <w:p w14:paraId="41DBEE95" w14:textId="30F47967" w:rsidR="005E7EF4" w:rsidRPr="005E7EF4" w:rsidRDefault="005E7EF4" w:rsidP="0058354C">
      <w:pPr>
        <w:pStyle w:val="ListParagraph"/>
        <w:numPr>
          <w:ilvl w:val="0"/>
          <w:numId w:val="13"/>
        </w:numPr>
        <w:spacing w:after="0" w:line="256" w:lineRule="auto"/>
        <w:rPr>
          <w:rFonts w:ascii="Arial" w:hAnsi="Arial" w:cs="Arial"/>
          <w:sz w:val="22"/>
        </w:rPr>
      </w:pPr>
      <w:r w:rsidRPr="005E7EF4">
        <w:rPr>
          <w:rFonts w:ascii="Arial" w:hAnsi="Arial" w:cs="Arial"/>
          <w:i/>
        </w:rPr>
        <w:t>Transitioning first-line ARV regimen to Dolutegravir</w:t>
      </w:r>
      <w:r>
        <w:rPr>
          <w:rFonts w:ascii="Arial" w:hAnsi="Arial" w:cs="Arial"/>
        </w:rPr>
        <w:t xml:space="preserve">- </w:t>
      </w:r>
      <w:r w:rsidRPr="005E7EF4">
        <w:rPr>
          <w:rFonts w:ascii="Arial" w:hAnsi="Arial" w:cs="Arial"/>
        </w:rPr>
        <w:t>WHO released interim guidelines in July 2018 that conditionally recommended Dolutegravir (DTG) as the preferred first line ARV for newly initiated patients (</w:t>
      </w:r>
      <w:r w:rsidR="006415B8">
        <w:rPr>
          <w:rFonts w:ascii="Arial" w:hAnsi="Arial" w:cs="Arial"/>
        </w:rPr>
        <w:t>WHO 2018</w:t>
      </w:r>
      <w:r w:rsidRPr="005E7EF4">
        <w:rPr>
          <w:rFonts w:ascii="Arial" w:hAnsi="Arial" w:cs="Arial"/>
        </w:rPr>
        <w:t>). These interim guidelines indicated with moderate certainty that DTG would also be the preferred first-line ARV for adults and adolescents. The interim guidelines suggested low quality evidence for the safety and efficacy of DTG among pregnant women and children.</w:t>
      </w:r>
    </w:p>
    <w:p w14:paraId="3AD7C8F2" w14:textId="474B2E6D" w:rsidR="00DC31D9" w:rsidRPr="00F85FA0" w:rsidRDefault="00DC31D9" w:rsidP="0058354C">
      <w:pPr>
        <w:pStyle w:val="ListParagraph"/>
        <w:numPr>
          <w:ilvl w:val="0"/>
          <w:numId w:val="13"/>
        </w:numPr>
        <w:spacing w:after="0" w:line="256" w:lineRule="auto"/>
        <w:rPr>
          <w:rFonts w:ascii="Arial" w:hAnsi="Arial" w:cs="Arial"/>
        </w:rPr>
      </w:pPr>
      <w:r>
        <w:rPr>
          <w:rFonts w:ascii="Arial" w:hAnsi="Arial" w:cs="Arial"/>
          <w:i/>
          <w:color w:val="000000" w:themeColor="text1"/>
        </w:rPr>
        <w:t>Nu</w:t>
      </w:r>
      <w:r w:rsidRPr="00505F88">
        <w:rPr>
          <w:rFonts w:ascii="Arial" w:hAnsi="Arial" w:cs="Arial"/>
          <w:i/>
          <w:color w:val="000000" w:themeColor="text1"/>
        </w:rPr>
        <w:t>rse-</w:t>
      </w:r>
      <w:r w:rsidRPr="00505F88">
        <w:rPr>
          <w:rFonts w:ascii="Arial" w:hAnsi="Arial" w:cs="Arial"/>
          <w:i/>
        </w:rPr>
        <w:t>initiated</w:t>
      </w:r>
      <w:r w:rsidR="00E91CE4" w:rsidRPr="00505F88">
        <w:rPr>
          <w:rFonts w:ascii="Arial" w:hAnsi="Arial" w:cs="Arial"/>
          <w:i/>
        </w:rPr>
        <w:t xml:space="preserve"> </w:t>
      </w:r>
      <w:r w:rsidR="004F38C6">
        <w:rPr>
          <w:rFonts w:ascii="Arial" w:hAnsi="Arial" w:cs="Arial"/>
          <w:i/>
        </w:rPr>
        <w:t>Management of Antiretroviral Therapy</w:t>
      </w:r>
      <w:r w:rsidR="00E91CE4" w:rsidRPr="00505F88">
        <w:rPr>
          <w:rFonts w:ascii="Arial" w:hAnsi="Arial" w:cs="Arial"/>
          <w:i/>
        </w:rPr>
        <w:t xml:space="preserve"> (NIMART)</w:t>
      </w:r>
      <w:r w:rsidRPr="00505F88">
        <w:rPr>
          <w:rFonts w:ascii="Arial" w:hAnsi="Arial" w:cs="Arial"/>
          <w:i/>
        </w:rPr>
        <w:t xml:space="preserve"> </w:t>
      </w:r>
      <w:r w:rsidR="00E91CE4" w:rsidRPr="00505F88">
        <w:rPr>
          <w:rFonts w:ascii="Arial" w:hAnsi="Arial" w:cs="Arial"/>
          <w:i/>
        </w:rPr>
        <w:t>was rolled out</w:t>
      </w:r>
      <w:r w:rsidRPr="00505F88">
        <w:rPr>
          <w:rFonts w:ascii="Arial" w:hAnsi="Arial" w:cs="Arial"/>
          <w:i/>
        </w:rPr>
        <w:t xml:space="preserve"> in 201</w:t>
      </w:r>
      <w:r w:rsidR="00E91CE4" w:rsidRPr="00505F88">
        <w:rPr>
          <w:rFonts w:ascii="Arial" w:hAnsi="Arial" w:cs="Arial"/>
          <w:i/>
        </w:rPr>
        <w:t>8</w:t>
      </w:r>
      <w:r w:rsidR="00E91CE4">
        <w:rPr>
          <w:rFonts w:ascii="Arial" w:hAnsi="Arial" w:cs="Arial"/>
          <w:i/>
        </w:rPr>
        <w:t>,</w:t>
      </w:r>
      <w:r w:rsidR="00E91CE4">
        <w:rPr>
          <w:rFonts w:ascii="Arial" w:hAnsi="Arial" w:cs="Arial"/>
        </w:rPr>
        <w:t xml:space="preserve"> following MoHCDGEC approval of the</w:t>
      </w:r>
      <w:r w:rsidR="0028213B">
        <w:rPr>
          <w:rFonts w:ascii="Arial" w:hAnsi="Arial" w:cs="Arial"/>
        </w:rPr>
        <w:t xml:space="preserve"> </w:t>
      </w:r>
      <w:r w:rsidR="00E91CE4">
        <w:rPr>
          <w:rFonts w:ascii="Arial" w:hAnsi="Arial" w:cs="Arial"/>
        </w:rPr>
        <w:t>NIMART handbook in March 2017 (</w:t>
      </w:r>
      <w:r w:rsidR="006415B8">
        <w:rPr>
          <w:rFonts w:ascii="Arial" w:hAnsi="Arial" w:cs="Arial"/>
        </w:rPr>
        <w:t xml:space="preserve">PEPFAR </w:t>
      </w:r>
      <w:r w:rsidR="00E91CE4">
        <w:rPr>
          <w:rFonts w:ascii="Arial" w:hAnsi="Arial" w:cs="Arial"/>
        </w:rPr>
        <w:t>2018</w:t>
      </w:r>
      <w:r w:rsidR="005B7907">
        <w:rPr>
          <w:rFonts w:ascii="Arial" w:hAnsi="Arial" w:cs="Arial"/>
        </w:rPr>
        <w:t>a</w:t>
      </w:r>
      <w:r w:rsidR="00E91CE4">
        <w:rPr>
          <w:rFonts w:ascii="Arial" w:hAnsi="Arial" w:cs="Arial"/>
        </w:rPr>
        <w:t>).</w:t>
      </w:r>
    </w:p>
    <w:p w14:paraId="22392BC8" w14:textId="2AD8C382" w:rsidR="005E7EF4" w:rsidRDefault="00A215B7" w:rsidP="008D04B1">
      <w:pPr>
        <w:pStyle w:val="ListParagraph"/>
        <w:numPr>
          <w:ilvl w:val="0"/>
          <w:numId w:val="13"/>
        </w:numPr>
        <w:spacing w:after="0" w:line="256" w:lineRule="auto"/>
        <w:rPr>
          <w:rFonts w:ascii="Arial" w:hAnsi="Arial" w:cs="Arial"/>
        </w:rPr>
      </w:pPr>
      <w:r w:rsidRPr="005E7EF4">
        <w:rPr>
          <w:rFonts w:ascii="Arial" w:hAnsi="Arial" w:cs="Arial"/>
          <w:i/>
          <w:color w:val="000000" w:themeColor="text1"/>
        </w:rPr>
        <w:t>Differentiated care models have been partially implemented, with two- or three-month prescriptions for s</w:t>
      </w:r>
      <w:r w:rsidR="0028213B" w:rsidRPr="005E7EF4">
        <w:rPr>
          <w:rFonts w:ascii="Arial" w:hAnsi="Arial" w:cs="Arial"/>
          <w:i/>
          <w:color w:val="000000" w:themeColor="text1"/>
        </w:rPr>
        <w:t>table</w:t>
      </w:r>
      <w:r w:rsidRPr="005E7EF4">
        <w:rPr>
          <w:rFonts w:ascii="Arial" w:hAnsi="Arial" w:cs="Arial"/>
          <w:i/>
          <w:color w:val="000000" w:themeColor="text1"/>
        </w:rPr>
        <w:t xml:space="preserve"> ART patients.</w:t>
      </w:r>
      <w:r w:rsidRPr="005E7EF4">
        <w:rPr>
          <w:rFonts w:ascii="Arial" w:hAnsi="Arial" w:cs="Arial"/>
        </w:rPr>
        <w:t xml:space="preserve">  </w:t>
      </w:r>
      <w:r w:rsidR="00BB1D4A" w:rsidRPr="005E7EF4">
        <w:rPr>
          <w:rFonts w:ascii="Arial" w:hAnsi="Arial" w:cs="Arial"/>
        </w:rPr>
        <w:t xml:space="preserve">Previously, stable patients were recommended to attend clinic visits monthly. </w:t>
      </w:r>
      <w:r w:rsidRPr="005E7EF4">
        <w:rPr>
          <w:rFonts w:ascii="Arial" w:hAnsi="Arial" w:cs="Arial"/>
        </w:rPr>
        <w:t>Scale-up of multi-month scripting with two-</w:t>
      </w:r>
      <w:r w:rsidR="00BB1D4A" w:rsidRPr="005E7EF4">
        <w:rPr>
          <w:rFonts w:ascii="Arial" w:hAnsi="Arial" w:cs="Arial"/>
        </w:rPr>
        <w:t>three-month</w:t>
      </w:r>
      <w:r w:rsidRPr="005E7EF4">
        <w:rPr>
          <w:rFonts w:ascii="Arial" w:hAnsi="Arial" w:cs="Arial"/>
        </w:rPr>
        <w:t xml:space="preserve"> ART prescriptions has been successfully introduced for </w:t>
      </w:r>
      <w:r w:rsidR="0028213B" w:rsidRPr="005E7EF4">
        <w:rPr>
          <w:rFonts w:ascii="Arial" w:hAnsi="Arial" w:cs="Arial"/>
        </w:rPr>
        <w:t>stable</w:t>
      </w:r>
      <w:r w:rsidRPr="005E7EF4">
        <w:rPr>
          <w:rFonts w:ascii="Arial" w:hAnsi="Arial" w:cs="Arial"/>
        </w:rPr>
        <w:t xml:space="preserve"> patients (</w:t>
      </w:r>
      <w:r w:rsidR="006415B8">
        <w:rPr>
          <w:rFonts w:ascii="Arial" w:hAnsi="Arial" w:cs="Arial"/>
        </w:rPr>
        <w:t>PEPFAR</w:t>
      </w:r>
      <w:r w:rsidR="005B7907">
        <w:rPr>
          <w:rFonts w:ascii="Arial" w:hAnsi="Arial" w:cs="Arial"/>
        </w:rPr>
        <w:t xml:space="preserve"> </w:t>
      </w:r>
      <w:r w:rsidRPr="005E7EF4">
        <w:rPr>
          <w:rFonts w:ascii="Arial" w:hAnsi="Arial" w:cs="Arial"/>
        </w:rPr>
        <w:t>2018</w:t>
      </w:r>
      <w:r w:rsidR="005B7907">
        <w:rPr>
          <w:rFonts w:ascii="Arial" w:hAnsi="Arial" w:cs="Arial"/>
        </w:rPr>
        <w:t>a</w:t>
      </w:r>
      <w:r w:rsidRPr="005E7EF4">
        <w:rPr>
          <w:rFonts w:ascii="Arial" w:hAnsi="Arial" w:cs="Arial"/>
        </w:rPr>
        <w:t>).</w:t>
      </w:r>
      <w:r w:rsidR="00BB1D4A">
        <w:rPr>
          <w:rFonts w:ascii="Arial" w:hAnsi="Arial" w:cs="Arial"/>
        </w:rPr>
        <w:t xml:space="preserve"> The full differentiated care models recommend 6</w:t>
      </w:r>
      <w:r w:rsidR="0008378E">
        <w:rPr>
          <w:rFonts w:ascii="Arial" w:hAnsi="Arial" w:cs="Arial"/>
        </w:rPr>
        <w:t>-</w:t>
      </w:r>
      <w:r w:rsidR="00BB1D4A">
        <w:rPr>
          <w:rFonts w:ascii="Arial" w:hAnsi="Arial" w:cs="Arial"/>
        </w:rPr>
        <w:t>month prescriptions and simplified lab algorithms, which have not been fully realized in Tanzania.</w:t>
      </w:r>
      <w:r w:rsidRPr="005E7EF4">
        <w:rPr>
          <w:rFonts w:ascii="Arial" w:hAnsi="Arial" w:cs="Arial"/>
        </w:rPr>
        <w:t xml:space="preserve"> This should lead to greater ease of access to ARVs for patients, higher retention, and cost savings on staff and patient time</w:t>
      </w:r>
      <w:r w:rsidR="005E7EF4" w:rsidRPr="005E7EF4">
        <w:rPr>
          <w:rFonts w:ascii="Arial" w:hAnsi="Arial" w:cs="Arial"/>
          <w:sz w:val="18"/>
        </w:rPr>
        <w:t xml:space="preserve">. </w:t>
      </w:r>
      <w:r w:rsidR="005E7EF4" w:rsidRPr="005E7EF4">
        <w:rPr>
          <w:rFonts w:ascii="Arial" w:hAnsi="Arial" w:cs="Arial"/>
        </w:rPr>
        <w:t xml:space="preserve">Details on the DSDM guidelines are shown in </w:t>
      </w:r>
      <w:r w:rsidR="005E7EF4" w:rsidRPr="00650F2B">
        <w:rPr>
          <w:rFonts w:ascii="Arial" w:hAnsi="Arial" w:cs="Arial"/>
        </w:rPr>
        <w:t>Annex</w:t>
      </w:r>
      <w:r w:rsidR="00B5128C">
        <w:rPr>
          <w:rFonts w:ascii="Arial" w:hAnsi="Arial" w:cs="Arial"/>
        </w:rPr>
        <w:t xml:space="preserve"> </w:t>
      </w:r>
      <w:r w:rsidR="00812C85">
        <w:rPr>
          <w:rFonts w:ascii="Arial" w:hAnsi="Arial" w:cs="Arial"/>
        </w:rPr>
        <w:t>8.</w:t>
      </w:r>
    </w:p>
    <w:p w14:paraId="39F75FAE" w14:textId="7012DB7A" w:rsidR="0004366C" w:rsidRDefault="005E7EF4" w:rsidP="00444084">
      <w:pPr>
        <w:pStyle w:val="ListParagraph"/>
        <w:numPr>
          <w:ilvl w:val="0"/>
          <w:numId w:val="13"/>
        </w:numPr>
        <w:spacing w:after="0" w:line="256" w:lineRule="auto"/>
      </w:pPr>
      <w:r w:rsidRPr="005E7EF4">
        <w:rPr>
          <w:rFonts w:ascii="Arial" w:hAnsi="Arial" w:cs="Arial"/>
          <w:i/>
        </w:rPr>
        <w:t>Community-based support services.</w:t>
      </w:r>
      <w:r w:rsidR="004F38C6">
        <w:rPr>
          <w:rFonts w:ascii="Arial" w:hAnsi="Arial" w:cs="Arial"/>
        </w:rPr>
        <w:t xml:space="preserve"> I</w:t>
      </w:r>
      <w:r w:rsidRPr="005E7EF4">
        <w:rPr>
          <w:rFonts w:ascii="Arial" w:hAnsi="Arial" w:cs="Arial"/>
        </w:rPr>
        <w:t>n an effort to increase retention</w:t>
      </w:r>
      <w:r w:rsidR="00A2301F">
        <w:rPr>
          <w:rFonts w:ascii="Arial" w:hAnsi="Arial" w:cs="Arial"/>
        </w:rPr>
        <w:t xml:space="preserve"> of care</w:t>
      </w:r>
      <w:r w:rsidRPr="005E7EF4">
        <w:rPr>
          <w:rFonts w:ascii="Arial" w:hAnsi="Arial" w:cs="Arial"/>
        </w:rPr>
        <w:t xml:space="preserve"> and</w:t>
      </w:r>
      <w:r w:rsidR="00A2301F">
        <w:rPr>
          <w:rFonts w:ascii="Arial" w:hAnsi="Arial" w:cs="Arial"/>
        </w:rPr>
        <w:t xml:space="preserve"> to</w:t>
      </w:r>
      <w:r w:rsidRPr="005E7EF4">
        <w:rPr>
          <w:rFonts w:ascii="Arial" w:hAnsi="Arial" w:cs="Arial"/>
        </w:rPr>
        <w:t xml:space="preserve"> relieve stress on health clinics there is an interest to transition ART support services (adherence support, treatment literacy, well-being checks, follow-up for defaulting patients) from the facility-level or mix of facility-community level to full community level</w:t>
      </w:r>
    </w:p>
    <w:p w14:paraId="468F1F72" w14:textId="77777777" w:rsidR="0004366C" w:rsidRDefault="0004366C" w:rsidP="00444084">
      <w:pPr>
        <w:spacing w:after="0"/>
        <w:rPr>
          <w:rFonts w:ascii="Arial" w:hAnsi="Arial" w:cs="Arial"/>
          <w:i/>
          <w:sz w:val="18"/>
          <w:szCs w:val="18"/>
        </w:rPr>
      </w:pPr>
    </w:p>
    <w:p w14:paraId="2A56691F" w14:textId="77777777" w:rsidR="003E1382" w:rsidRDefault="003E1382">
      <w:pPr>
        <w:rPr>
          <w:rFonts w:ascii="Arial" w:hAnsi="Arial" w:cs="Arial"/>
          <w:i/>
          <w:sz w:val="18"/>
          <w:szCs w:val="18"/>
        </w:rPr>
      </w:pPr>
      <w:r>
        <w:rPr>
          <w:rFonts w:ascii="Arial" w:hAnsi="Arial" w:cs="Arial"/>
          <w:i/>
          <w:sz w:val="18"/>
          <w:szCs w:val="18"/>
        </w:rPr>
        <w:br w:type="page"/>
      </w:r>
    </w:p>
    <w:p w14:paraId="594FECC7" w14:textId="6F9B0D34" w:rsidR="005E7EF4" w:rsidRPr="005E7EF4" w:rsidRDefault="005E7EF4" w:rsidP="005E7EF4">
      <w:pPr>
        <w:rPr>
          <w:rFonts w:ascii="Arial" w:hAnsi="Arial" w:cs="Arial"/>
          <w:i/>
          <w:sz w:val="18"/>
          <w:szCs w:val="18"/>
        </w:rPr>
      </w:pPr>
      <w:r w:rsidRPr="003E62FC">
        <w:rPr>
          <w:rFonts w:ascii="Arial" w:hAnsi="Arial" w:cs="Arial"/>
          <w:i/>
          <w:sz w:val="18"/>
          <w:szCs w:val="18"/>
        </w:rPr>
        <w:t xml:space="preserve">Figure </w:t>
      </w:r>
      <w:r>
        <w:rPr>
          <w:rFonts w:ascii="Arial" w:hAnsi="Arial" w:cs="Arial"/>
          <w:i/>
          <w:sz w:val="18"/>
          <w:szCs w:val="18"/>
        </w:rPr>
        <w:t>2-</w:t>
      </w:r>
      <w:r w:rsidR="00BD2E89">
        <w:rPr>
          <w:rFonts w:ascii="Arial" w:hAnsi="Arial" w:cs="Arial"/>
          <w:i/>
          <w:sz w:val="18"/>
          <w:szCs w:val="18"/>
        </w:rPr>
        <w:t>8</w:t>
      </w:r>
      <w:r w:rsidRPr="003E62FC">
        <w:rPr>
          <w:rFonts w:ascii="Arial" w:hAnsi="Arial" w:cs="Arial"/>
          <w:i/>
          <w:sz w:val="18"/>
          <w:szCs w:val="18"/>
        </w:rPr>
        <w:t xml:space="preserve">: </w:t>
      </w:r>
      <w:r>
        <w:rPr>
          <w:rFonts w:ascii="Arial" w:hAnsi="Arial" w:cs="Arial"/>
          <w:i/>
          <w:sz w:val="18"/>
          <w:szCs w:val="18"/>
        </w:rPr>
        <w:t>Recently implemented program developments</w:t>
      </w:r>
    </w:p>
    <w:p w14:paraId="2BDE749A" w14:textId="58D12027" w:rsidR="00EC4DC8" w:rsidRPr="000A1997" w:rsidRDefault="009B18D6" w:rsidP="000A1997">
      <w:pPr>
        <w:spacing w:after="0" w:line="256" w:lineRule="auto"/>
        <w:rPr>
          <w:rFonts w:ascii="Arial" w:hAnsi="Arial" w:cs="Arial"/>
        </w:rPr>
      </w:pPr>
      <w:r>
        <w:rPr>
          <w:rFonts w:ascii="Arial" w:hAnsi="Arial" w:cs="Arial"/>
          <w:noProof/>
        </w:rPr>
        <w:drawing>
          <wp:inline distT="0" distB="0" distL="0" distR="0" wp14:anchorId="5A4DB56F" wp14:editId="7928AA85">
            <wp:extent cx="5935815" cy="2929467"/>
            <wp:effectExtent l="0" t="0" r="825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2253"/>
                    <a:stretch/>
                  </pic:blipFill>
                  <pic:spPr bwMode="auto">
                    <a:xfrm>
                      <a:off x="0" y="0"/>
                      <a:ext cx="5970110" cy="2946392"/>
                    </a:xfrm>
                    <a:prstGeom prst="rect">
                      <a:avLst/>
                    </a:prstGeom>
                    <a:noFill/>
                    <a:ln>
                      <a:noFill/>
                    </a:ln>
                    <a:extLst>
                      <a:ext uri="{53640926-AAD7-44D8-BBD7-CCE9431645EC}">
                        <a14:shadowObscured xmlns:a14="http://schemas.microsoft.com/office/drawing/2010/main"/>
                      </a:ext>
                    </a:extLst>
                  </pic:spPr>
                </pic:pic>
              </a:graphicData>
            </a:graphic>
          </wp:inline>
        </w:drawing>
      </w:r>
    </w:p>
    <w:p w14:paraId="1E632DFF" w14:textId="77777777" w:rsidR="002C5C97" w:rsidRDefault="002C5C97" w:rsidP="002C5C97">
      <w:pPr>
        <w:pStyle w:val="Heading3"/>
        <w:spacing w:before="0"/>
        <w:rPr>
          <w:rFonts w:ascii="Arial" w:hAnsi="Arial" w:cs="Arial"/>
          <w:i/>
          <w:color w:val="000000" w:themeColor="text1"/>
        </w:rPr>
      </w:pPr>
    </w:p>
    <w:p w14:paraId="70D86474" w14:textId="52FF1205" w:rsidR="00FB2E13" w:rsidRDefault="00993478" w:rsidP="002C5C97">
      <w:pPr>
        <w:pStyle w:val="Heading3"/>
        <w:spacing w:before="0"/>
        <w:rPr>
          <w:rFonts w:ascii="Arial" w:hAnsi="Arial" w:cs="Arial"/>
          <w:i/>
          <w:color w:val="000000" w:themeColor="text1"/>
        </w:rPr>
      </w:pPr>
      <w:bookmarkStart w:id="48" w:name="_Toc57035145"/>
      <w:r w:rsidRPr="00505F88">
        <w:rPr>
          <w:rFonts w:ascii="Arial" w:hAnsi="Arial" w:cs="Arial"/>
          <w:i/>
          <w:color w:val="000000" w:themeColor="text1"/>
        </w:rPr>
        <w:t xml:space="preserve">Summary of </w:t>
      </w:r>
      <w:r w:rsidR="00AD74AA">
        <w:rPr>
          <w:rFonts w:ascii="Arial" w:hAnsi="Arial" w:cs="Arial"/>
          <w:i/>
          <w:color w:val="000000" w:themeColor="text1"/>
        </w:rPr>
        <w:t>n</w:t>
      </w:r>
      <w:r w:rsidRPr="00505F88">
        <w:rPr>
          <w:rFonts w:ascii="Arial" w:hAnsi="Arial" w:cs="Arial"/>
          <w:i/>
          <w:color w:val="000000" w:themeColor="text1"/>
        </w:rPr>
        <w:t xml:space="preserve">ational HIV </w:t>
      </w:r>
      <w:r w:rsidR="00AD74AA">
        <w:rPr>
          <w:rFonts w:ascii="Arial" w:hAnsi="Arial" w:cs="Arial"/>
          <w:i/>
          <w:color w:val="000000" w:themeColor="text1"/>
        </w:rPr>
        <w:t>p</w:t>
      </w:r>
      <w:r w:rsidRPr="00505F88">
        <w:rPr>
          <w:rFonts w:ascii="Arial" w:hAnsi="Arial" w:cs="Arial"/>
          <w:i/>
          <w:color w:val="000000" w:themeColor="text1"/>
        </w:rPr>
        <w:t>rogram review</w:t>
      </w:r>
      <w:bookmarkEnd w:id="48"/>
    </w:p>
    <w:p w14:paraId="78309B10" w14:textId="77777777" w:rsidR="00FB2E13" w:rsidRPr="00276364" w:rsidRDefault="00FB2E13" w:rsidP="00276364">
      <w:pPr>
        <w:spacing w:after="0"/>
      </w:pPr>
    </w:p>
    <w:p w14:paraId="38929C58" w14:textId="77777777" w:rsidR="00FB2E13" w:rsidRPr="003E62FC" w:rsidRDefault="00FB2E13" w:rsidP="00FB2E13">
      <w:pPr>
        <w:spacing w:after="0" w:line="256" w:lineRule="auto"/>
        <w:rPr>
          <w:rFonts w:ascii="Arial" w:hAnsi="Arial" w:cs="Arial"/>
          <w:color w:val="000000" w:themeColor="text1"/>
        </w:rPr>
      </w:pPr>
      <w:r w:rsidRPr="00925A18">
        <w:rPr>
          <w:rFonts w:ascii="Arial" w:hAnsi="Arial" w:cs="Arial"/>
          <w:color w:val="000000" w:themeColor="text1"/>
        </w:rPr>
        <w:t xml:space="preserve">In summary, </w:t>
      </w:r>
      <w:r>
        <w:rPr>
          <w:rFonts w:ascii="Arial" w:hAnsi="Arial" w:cs="Arial"/>
          <w:color w:val="000000" w:themeColor="text1"/>
        </w:rPr>
        <w:t xml:space="preserve">since the first IC in 2016, significant incremental progress has been made toward national strategic targets for HIV treatment leading to meaningful reductions in AIDS deaths and new infections. </w:t>
      </w:r>
    </w:p>
    <w:p w14:paraId="6B84AC84" w14:textId="77777777" w:rsidR="00FB2E13" w:rsidRDefault="00FB2E13" w:rsidP="00FB2E13">
      <w:pPr>
        <w:spacing w:after="0" w:line="256" w:lineRule="auto"/>
        <w:rPr>
          <w:rFonts w:ascii="Arial" w:hAnsi="Arial" w:cs="Arial"/>
          <w:color w:val="000000" w:themeColor="text1"/>
        </w:rPr>
      </w:pPr>
      <w:r>
        <w:rPr>
          <w:rFonts w:ascii="Arial" w:hAnsi="Arial" w:cs="Arial"/>
          <w:color w:val="000000" w:themeColor="text1"/>
        </w:rPr>
        <w:t>But, further expansion of s</w:t>
      </w:r>
      <w:r w:rsidRPr="00925A18">
        <w:rPr>
          <w:rFonts w:ascii="Arial" w:hAnsi="Arial" w:cs="Arial"/>
          <w:color w:val="000000" w:themeColor="text1"/>
        </w:rPr>
        <w:t>ervice</w:t>
      </w:r>
      <w:r>
        <w:rPr>
          <w:rFonts w:ascii="Arial" w:hAnsi="Arial" w:cs="Arial"/>
          <w:color w:val="000000" w:themeColor="text1"/>
        </w:rPr>
        <w:t xml:space="preserve"> delivery</w:t>
      </w:r>
      <w:r w:rsidRPr="00925A18">
        <w:rPr>
          <w:rFonts w:ascii="Arial" w:hAnsi="Arial" w:cs="Arial"/>
          <w:color w:val="000000" w:themeColor="text1"/>
        </w:rPr>
        <w:t xml:space="preserve"> </w:t>
      </w:r>
      <w:r>
        <w:rPr>
          <w:rFonts w:ascii="Arial" w:hAnsi="Arial" w:cs="Arial"/>
          <w:color w:val="000000" w:themeColor="text1"/>
        </w:rPr>
        <w:t>in pursuit of 95-95-95 targets requires</w:t>
      </w:r>
      <w:r w:rsidRPr="00925A18">
        <w:rPr>
          <w:rFonts w:ascii="Arial" w:hAnsi="Arial" w:cs="Arial"/>
          <w:color w:val="000000" w:themeColor="text1"/>
        </w:rPr>
        <w:t xml:space="preserve">: </w:t>
      </w:r>
    </w:p>
    <w:p w14:paraId="5BDB27E8" w14:textId="77777777" w:rsidR="00FB2E13" w:rsidRPr="00925A18" w:rsidRDefault="00FB2E13" w:rsidP="00FB2E13">
      <w:pPr>
        <w:spacing w:after="0" w:line="256" w:lineRule="auto"/>
        <w:rPr>
          <w:rFonts w:ascii="Arial" w:hAnsi="Arial" w:cs="Arial"/>
          <w:color w:val="000000" w:themeColor="text1"/>
        </w:rPr>
      </w:pPr>
    </w:p>
    <w:p w14:paraId="0196D51D" w14:textId="1525FB32" w:rsidR="00FB2E13" w:rsidRDefault="00FB2E13" w:rsidP="00FB2E13">
      <w:pPr>
        <w:pStyle w:val="ListParagraph"/>
        <w:numPr>
          <w:ilvl w:val="0"/>
          <w:numId w:val="15"/>
        </w:numPr>
        <w:spacing w:after="0" w:line="256" w:lineRule="auto"/>
        <w:rPr>
          <w:rFonts w:ascii="Arial" w:hAnsi="Arial" w:cs="Arial"/>
          <w:color w:val="000000" w:themeColor="text1"/>
        </w:rPr>
      </w:pPr>
      <w:r w:rsidRPr="00646F6C">
        <w:rPr>
          <w:rFonts w:ascii="Arial" w:hAnsi="Arial" w:cs="Arial"/>
          <w:b/>
          <w:bCs/>
          <w:color w:val="000000" w:themeColor="text1"/>
        </w:rPr>
        <w:t>Efficiently finding PLHIV</w:t>
      </w:r>
      <w:r>
        <w:rPr>
          <w:rFonts w:ascii="Arial" w:hAnsi="Arial" w:cs="Arial"/>
          <w:color w:val="000000" w:themeColor="text1"/>
        </w:rPr>
        <w:t xml:space="preserve"> who are not awar</w:t>
      </w:r>
      <w:r w:rsidR="006B494F">
        <w:rPr>
          <w:rFonts w:ascii="Arial" w:hAnsi="Arial" w:cs="Arial"/>
          <w:color w:val="000000" w:themeColor="text1"/>
        </w:rPr>
        <w:t>e</w:t>
      </w:r>
      <w:r>
        <w:rPr>
          <w:rFonts w:ascii="Arial" w:hAnsi="Arial" w:cs="Arial"/>
          <w:color w:val="000000" w:themeColor="text1"/>
        </w:rPr>
        <w:t xml:space="preserve"> of their status and linking them to treatment. Almost 40% of PLHIV do not know they are positive. </w:t>
      </w:r>
    </w:p>
    <w:p w14:paraId="127A673F" w14:textId="77777777" w:rsidR="00FB2E13" w:rsidRDefault="00FB2E13" w:rsidP="00FB2E13">
      <w:pPr>
        <w:pStyle w:val="ListParagraph"/>
        <w:numPr>
          <w:ilvl w:val="0"/>
          <w:numId w:val="15"/>
        </w:numPr>
        <w:spacing w:after="0" w:line="256" w:lineRule="auto"/>
        <w:rPr>
          <w:rFonts w:ascii="Arial" w:hAnsi="Arial" w:cs="Arial"/>
          <w:color w:val="000000" w:themeColor="text1"/>
        </w:rPr>
      </w:pPr>
      <w:r w:rsidRPr="00646F6C">
        <w:rPr>
          <w:rFonts w:ascii="Arial" w:hAnsi="Arial" w:cs="Arial"/>
          <w:b/>
          <w:bCs/>
          <w:color w:val="000000" w:themeColor="text1"/>
        </w:rPr>
        <w:t>Accommodating large increases in PLART</w:t>
      </w:r>
      <w:r>
        <w:rPr>
          <w:rFonts w:ascii="Arial" w:hAnsi="Arial" w:cs="Arial"/>
          <w:color w:val="000000" w:themeColor="text1"/>
        </w:rPr>
        <w:t xml:space="preserve">. </w:t>
      </w:r>
      <w:r w:rsidRPr="00925A18">
        <w:rPr>
          <w:rFonts w:ascii="Arial" w:hAnsi="Arial" w:cs="Arial"/>
          <w:color w:val="000000" w:themeColor="text1"/>
        </w:rPr>
        <w:t xml:space="preserve"> </w:t>
      </w:r>
      <w:r>
        <w:rPr>
          <w:rFonts w:ascii="Arial" w:hAnsi="Arial" w:cs="Arial"/>
          <w:color w:val="000000" w:themeColor="text1"/>
        </w:rPr>
        <w:t>C</w:t>
      </w:r>
      <w:r w:rsidRPr="00925A18">
        <w:rPr>
          <w:rFonts w:ascii="Arial" w:hAnsi="Arial" w:cs="Arial"/>
          <w:color w:val="000000" w:themeColor="text1"/>
        </w:rPr>
        <w:t xml:space="preserve">overage </w:t>
      </w:r>
      <w:r>
        <w:rPr>
          <w:rFonts w:ascii="Arial" w:hAnsi="Arial" w:cs="Arial"/>
          <w:color w:val="000000" w:themeColor="text1"/>
        </w:rPr>
        <w:t>among those aware of their status is high (94%) but accelerated case-finding will greatly increase the number of PLHIV receiving ART.</w:t>
      </w:r>
    </w:p>
    <w:p w14:paraId="7CD787B8" w14:textId="77777777" w:rsidR="00FB2E13" w:rsidRDefault="00FB2E13" w:rsidP="00FB2E13">
      <w:pPr>
        <w:pStyle w:val="ListParagraph"/>
        <w:numPr>
          <w:ilvl w:val="0"/>
          <w:numId w:val="15"/>
        </w:numPr>
        <w:spacing w:after="0" w:line="256" w:lineRule="auto"/>
        <w:rPr>
          <w:rFonts w:ascii="Arial" w:hAnsi="Arial" w:cs="Arial"/>
          <w:color w:val="000000" w:themeColor="text1"/>
        </w:rPr>
      </w:pPr>
      <w:r>
        <w:rPr>
          <w:rFonts w:ascii="Arial" w:hAnsi="Arial" w:cs="Arial"/>
          <w:color w:val="000000" w:themeColor="text1"/>
        </w:rPr>
        <w:t xml:space="preserve">While accommodating significant increases in the number of patients, ART programs will simultaneously need to improve retention in care or other aspects of case management in order to </w:t>
      </w:r>
      <w:r w:rsidRPr="00646F6C">
        <w:rPr>
          <w:rFonts w:ascii="Arial" w:hAnsi="Arial" w:cs="Arial"/>
          <w:b/>
          <w:bCs/>
          <w:color w:val="000000" w:themeColor="text1"/>
        </w:rPr>
        <w:t>increase viral suppression</w:t>
      </w:r>
      <w:r>
        <w:rPr>
          <w:rFonts w:ascii="Arial" w:hAnsi="Arial" w:cs="Arial"/>
          <w:color w:val="000000" w:themeColor="text1"/>
        </w:rPr>
        <w:t xml:space="preserve"> among PLART from 87% to 95%. </w:t>
      </w:r>
    </w:p>
    <w:p w14:paraId="737E8D26" w14:textId="77777777" w:rsidR="00FB2E13" w:rsidRDefault="00FB2E13" w:rsidP="00FB2E13">
      <w:pPr>
        <w:spacing w:after="0" w:line="256" w:lineRule="auto"/>
        <w:rPr>
          <w:rFonts w:ascii="Arial" w:hAnsi="Arial" w:cs="Arial"/>
          <w:color w:val="000000" w:themeColor="text1"/>
        </w:rPr>
      </w:pPr>
    </w:p>
    <w:p w14:paraId="58F9D13B" w14:textId="77777777" w:rsidR="00FB2E13" w:rsidRDefault="00FB2E13" w:rsidP="00FB2E13">
      <w:pPr>
        <w:spacing w:after="0" w:line="256" w:lineRule="auto"/>
        <w:rPr>
          <w:rFonts w:ascii="Arial" w:hAnsi="Arial" w:cs="Arial"/>
          <w:color w:val="000000" w:themeColor="text1"/>
        </w:rPr>
      </w:pPr>
      <w:r>
        <w:rPr>
          <w:rFonts w:ascii="Arial" w:hAnsi="Arial" w:cs="Arial"/>
          <w:color w:val="000000" w:themeColor="text1"/>
        </w:rPr>
        <w:t xml:space="preserve">In addition, strategic targets for HIV incidence reduction are not likely to be met with a singular focus on 95-95-95 treatment targets. Additional prevention strategies will need to be prioritized. </w:t>
      </w:r>
    </w:p>
    <w:p w14:paraId="02DCA9F7" w14:textId="77777777" w:rsidR="00FB2E13" w:rsidRDefault="00FB2E13" w:rsidP="00FB2E13">
      <w:pPr>
        <w:spacing w:after="0" w:line="256" w:lineRule="auto"/>
        <w:rPr>
          <w:rFonts w:ascii="Arial" w:hAnsi="Arial" w:cs="Arial"/>
          <w:color w:val="000000" w:themeColor="text1"/>
        </w:rPr>
      </w:pPr>
    </w:p>
    <w:p w14:paraId="435565B5" w14:textId="75C7513F" w:rsidR="00FB2E13" w:rsidRPr="00276364" w:rsidRDefault="00FB2E13" w:rsidP="00276364">
      <w:pPr>
        <w:spacing w:after="0" w:line="256" w:lineRule="auto"/>
        <w:rPr>
          <w:rFonts w:ascii="Arial" w:hAnsi="Arial" w:cs="Arial"/>
          <w:color w:val="000000" w:themeColor="text1"/>
        </w:rPr>
      </w:pPr>
      <w:r>
        <w:rPr>
          <w:rFonts w:ascii="Arial" w:hAnsi="Arial" w:cs="Arial"/>
          <w:color w:val="000000" w:themeColor="text1"/>
        </w:rPr>
        <w:t>Given the likely financial challenges the Tanzania’s HIV program faces, these activities will have to be undertaken with a key focus on efficiency. Since the first investment case, progress toward improved allocative and technical efficiency in both treatment and prevention efforts has been slow, despite the imperative to accelerate program implementation with limited budgets.</w:t>
      </w:r>
    </w:p>
    <w:p w14:paraId="10DD3D38" w14:textId="77777777" w:rsidR="00FB2E13" w:rsidRPr="00276364" w:rsidRDefault="00FB2E13" w:rsidP="00276364">
      <w:pPr>
        <w:spacing w:after="0" w:line="256" w:lineRule="auto"/>
        <w:rPr>
          <w:rFonts w:ascii="Arial" w:hAnsi="Arial" w:cs="Arial"/>
          <w:color w:val="000000" w:themeColor="text1"/>
        </w:rPr>
      </w:pPr>
    </w:p>
    <w:p w14:paraId="12824398" w14:textId="40AA90E0" w:rsidR="00FB2E13" w:rsidRDefault="00FB2E13" w:rsidP="00FB2E13">
      <w:pPr>
        <w:spacing w:after="0" w:line="256" w:lineRule="auto"/>
        <w:rPr>
          <w:rFonts w:ascii="Arial" w:hAnsi="Arial" w:cs="Arial"/>
          <w:color w:val="000000" w:themeColor="text1"/>
        </w:rPr>
      </w:pPr>
      <w:r>
        <w:rPr>
          <w:rFonts w:ascii="Arial" w:hAnsi="Arial" w:cs="Arial"/>
          <w:color w:val="000000" w:themeColor="text1"/>
        </w:rPr>
        <w:t xml:space="preserve">This key challenge will guide how the approaches within the IC 2.0 framework -- prioritization, domestic resource mobilization, and technical efficiencies-- will be used to close the resource and program coverage gaps. </w:t>
      </w:r>
      <w:r w:rsidRPr="00646F6C">
        <w:rPr>
          <w:rFonts w:ascii="Arial" w:hAnsi="Arial" w:cs="Arial"/>
          <w:b/>
          <w:bCs/>
          <w:color w:val="000000" w:themeColor="text1"/>
        </w:rPr>
        <w:t>Prioritization</w:t>
      </w:r>
      <w:r>
        <w:rPr>
          <w:rFonts w:ascii="Arial" w:hAnsi="Arial" w:cs="Arial"/>
          <w:color w:val="000000" w:themeColor="text1"/>
        </w:rPr>
        <w:t xml:space="preserve"> can help make the limited available funds go further by focusing efforts on populations with the highest burden and programs with the greatest gaps, where cost-effectiveness is the highest. Through </w:t>
      </w:r>
      <w:r w:rsidRPr="00646F6C">
        <w:rPr>
          <w:rFonts w:ascii="Arial" w:hAnsi="Arial" w:cs="Arial"/>
          <w:b/>
          <w:bCs/>
          <w:color w:val="000000" w:themeColor="text1"/>
        </w:rPr>
        <w:t>domestic resource mobilization</w:t>
      </w:r>
      <w:r>
        <w:rPr>
          <w:rFonts w:ascii="Arial" w:hAnsi="Arial" w:cs="Arial"/>
          <w:color w:val="000000" w:themeColor="text1"/>
        </w:rPr>
        <w:t xml:space="preserve"> new funding sources can be tapped to expand the impact of these high priority interventions. Then, technical efficiencies can free up additional funds by reducing costs of major interventions and thereby channels savings into areas where additional progress can be achieved to overcome current program challenges and roadblocks and increase coverage.  </w:t>
      </w:r>
    </w:p>
    <w:p w14:paraId="6896433C" w14:textId="464BE765" w:rsidR="001A39C8" w:rsidRPr="00FD5C8B" w:rsidRDefault="001A39C8" w:rsidP="001A39C8">
      <w:pPr>
        <w:pStyle w:val="Heading2"/>
        <w:rPr>
          <w:rFonts w:ascii="Arial" w:hAnsi="Arial" w:cs="Arial"/>
          <w:b/>
          <w:color w:val="000000" w:themeColor="text1"/>
        </w:rPr>
      </w:pPr>
      <w:bookmarkStart w:id="49" w:name="_Toc57035146"/>
      <w:bookmarkEnd w:id="43"/>
      <w:r w:rsidRPr="00FD5C8B">
        <w:rPr>
          <w:rFonts w:ascii="Arial" w:hAnsi="Arial" w:cs="Arial"/>
          <w:b/>
          <w:color w:val="000000" w:themeColor="text1"/>
        </w:rPr>
        <w:t>HIV Financing in Tanzania</w:t>
      </w:r>
      <w:bookmarkEnd w:id="49"/>
      <w:r w:rsidRPr="00FD5C8B">
        <w:rPr>
          <w:rFonts w:ascii="Arial" w:hAnsi="Arial" w:cs="Arial"/>
          <w:b/>
          <w:color w:val="000000" w:themeColor="text1"/>
        </w:rPr>
        <w:t xml:space="preserve"> </w:t>
      </w:r>
    </w:p>
    <w:p w14:paraId="02001B74" w14:textId="5929CF7D" w:rsidR="00AD3FB8" w:rsidRDefault="00AD3FB8" w:rsidP="001A39C8">
      <w:pPr>
        <w:spacing w:after="0"/>
        <w:rPr>
          <w:rFonts w:ascii="Arial" w:hAnsi="Arial" w:cs="Arial"/>
        </w:rPr>
      </w:pPr>
    </w:p>
    <w:p w14:paraId="7E77E90B" w14:textId="5D590DAA" w:rsidR="00AC43F7" w:rsidRDefault="00142CB4" w:rsidP="00012C0D">
      <w:pPr>
        <w:rPr>
          <w:rStyle w:val="Heading2Char"/>
          <w:rFonts w:ascii="Arial" w:hAnsi="Arial" w:cs="Arial"/>
          <w:i/>
        </w:rPr>
      </w:pPr>
      <w:bookmarkStart w:id="50" w:name="_Toc57035147"/>
      <w:r>
        <w:rPr>
          <w:rStyle w:val="Heading3Char"/>
          <w:rFonts w:ascii="Arial" w:hAnsi="Arial" w:cs="Arial"/>
          <w:i/>
          <w:color w:val="000000" w:themeColor="text1"/>
        </w:rPr>
        <w:t>Historical</w:t>
      </w:r>
      <w:r w:rsidR="004424CD" w:rsidRPr="00FD0219">
        <w:rPr>
          <w:rStyle w:val="Heading3Char"/>
          <w:rFonts w:ascii="Arial" w:hAnsi="Arial" w:cs="Arial"/>
          <w:i/>
          <w:color w:val="000000" w:themeColor="text1"/>
        </w:rPr>
        <w:t xml:space="preserve"> trends</w:t>
      </w:r>
      <w:bookmarkEnd w:id="50"/>
    </w:p>
    <w:p w14:paraId="644575E6" w14:textId="1D001052" w:rsidR="00386C4D" w:rsidRPr="00A22479" w:rsidRDefault="00634A90" w:rsidP="00D5288C">
      <w:pPr>
        <w:rPr>
          <w:rFonts w:ascii="Arial" w:hAnsi="Arial" w:cs="Arial"/>
        </w:rPr>
      </w:pPr>
      <w:r>
        <w:rPr>
          <w:rFonts w:ascii="Arial" w:hAnsi="Arial" w:cs="Arial"/>
        </w:rPr>
        <w:t xml:space="preserve">The success of the HIV program to increase case finding and numbers on ART to </w:t>
      </w:r>
      <w:r w:rsidR="006D4DAF">
        <w:rPr>
          <w:rFonts w:ascii="Arial" w:hAnsi="Arial" w:cs="Arial"/>
        </w:rPr>
        <w:t xml:space="preserve">date </w:t>
      </w:r>
      <w:r>
        <w:rPr>
          <w:rFonts w:ascii="Arial" w:hAnsi="Arial" w:cs="Arial"/>
        </w:rPr>
        <w:t xml:space="preserve">has been enabled by increasing financial resources over time. Total HIV </w:t>
      </w:r>
      <w:r w:rsidR="00F83890">
        <w:rPr>
          <w:rFonts w:ascii="Arial" w:hAnsi="Arial" w:cs="Arial"/>
        </w:rPr>
        <w:t>expenditure</w:t>
      </w:r>
      <w:r w:rsidR="00373566">
        <w:rPr>
          <w:rFonts w:ascii="Arial" w:hAnsi="Arial" w:cs="Arial"/>
        </w:rPr>
        <w:t xml:space="preserve"> grew</w:t>
      </w:r>
      <w:r w:rsidR="006D4DAF">
        <w:rPr>
          <w:rFonts w:ascii="Arial" w:hAnsi="Arial" w:cs="Arial"/>
        </w:rPr>
        <w:t xml:space="preserve"> </w:t>
      </w:r>
      <w:r>
        <w:rPr>
          <w:rFonts w:ascii="Arial" w:hAnsi="Arial" w:cs="Arial"/>
        </w:rPr>
        <w:t xml:space="preserve">from USD </w:t>
      </w:r>
      <w:r w:rsidR="00B63AD1">
        <w:rPr>
          <w:rFonts w:ascii="Arial" w:hAnsi="Arial" w:cs="Arial"/>
        </w:rPr>
        <w:t>466</w:t>
      </w:r>
      <w:r>
        <w:rPr>
          <w:rFonts w:ascii="Arial" w:hAnsi="Arial" w:cs="Arial"/>
        </w:rPr>
        <w:t>.</w:t>
      </w:r>
      <w:r w:rsidR="00B63AD1">
        <w:rPr>
          <w:rFonts w:ascii="Arial" w:hAnsi="Arial" w:cs="Arial"/>
        </w:rPr>
        <w:t>8</w:t>
      </w:r>
      <w:r>
        <w:rPr>
          <w:rFonts w:ascii="Arial" w:hAnsi="Arial" w:cs="Arial"/>
        </w:rPr>
        <w:t xml:space="preserve"> M in 2015 to USD </w:t>
      </w:r>
      <w:r w:rsidRPr="008544A5">
        <w:rPr>
          <w:rFonts w:ascii="Arial" w:hAnsi="Arial" w:cs="Arial"/>
        </w:rPr>
        <w:t>6</w:t>
      </w:r>
      <w:r w:rsidR="00B63AD1">
        <w:rPr>
          <w:rFonts w:ascii="Arial" w:hAnsi="Arial" w:cs="Arial"/>
        </w:rPr>
        <w:t>12</w:t>
      </w:r>
      <w:r w:rsidRPr="008544A5">
        <w:rPr>
          <w:rFonts w:ascii="Arial" w:hAnsi="Arial" w:cs="Arial"/>
        </w:rPr>
        <w:t>.</w:t>
      </w:r>
      <w:r w:rsidR="00B63AD1">
        <w:rPr>
          <w:rFonts w:ascii="Arial" w:hAnsi="Arial" w:cs="Arial"/>
        </w:rPr>
        <w:t>0</w:t>
      </w:r>
      <w:r>
        <w:rPr>
          <w:rFonts w:ascii="Arial" w:hAnsi="Arial" w:cs="Arial"/>
        </w:rPr>
        <w:t xml:space="preserve"> M in 2017, the most recent year for which all data is available.</w:t>
      </w:r>
      <w:r w:rsidRPr="00AC43F7">
        <w:rPr>
          <w:rFonts w:ascii="Arial" w:hAnsi="Arial" w:cs="Arial"/>
        </w:rPr>
        <w:t xml:space="preserve"> </w:t>
      </w:r>
      <w:r>
        <w:rPr>
          <w:rFonts w:ascii="Arial" w:hAnsi="Arial" w:cs="Arial"/>
        </w:rPr>
        <w:t xml:space="preserve">PEPFAR and the Global Fund </w:t>
      </w:r>
      <w:r w:rsidR="006D4DAF">
        <w:rPr>
          <w:rFonts w:ascii="Arial" w:hAnsi="Arial" w:cs="Arial"/>
        </w:rPr>
        <w:t xml:space="preserve">accounted for </w:t>
      </w:r>
      <w:r w:rsidR="00B63AD1">
        <w:rPr>
          <w:rFonts w:ascii="Arial" w:hAnsi="Arial" w:cs="Arial"/>
        </w:rPr>
        <w:t>about 90</w:t>
      </w:r>
      <w:r w:rsidRPr="008544A5">
        <w:rPr>
          <w:rFonts w:ascii="Arial" w:hAnsi="Arial" w:cs="Arial"/>
        </w:rPr>
        <w:t>%</w:t>
      </w:r>
      <w:r>
        <w:rPr>
          <w:rFonts w:ascii="Arial" w:hAnsi="Arial" w:cs="Arial"/>
        </w:rPr>
        <w:t xml:space="preserve"> of financing </w:t>
      </w:r>
      <w:r w:rsidR="00B63AD1">
        <w:rPr>
          <w:rFonts w:ascii="Arial" w:hAnsi="Arial" w:cs="Arial"/>
        </w:rPr>
        <w:t>from 2015-201</w:t>
      </w:r>
      <w:r w:rsidR="00F83890">
        <w:rPr>
          <w:rFonts w:ascii="Arial" w:hAnsi="Arial" w:cs="Arial"/>
        </w:rPr>
        <w:t>7</w:t>
      </w:r>
      <w:r>
        <w:rPr>
          <w:rFonts w:ascii="Arial" w:hAnsi="Arial" w:cs="Arial"/>
        </w:rPr>
        <w:t xml:space="preserve">. </w:t>
      </w:r>
      <w:r w:rsidRPr="007A3AC2">
        <w:rPr>
          <w:rFonts w:ascii="Arial" w:hAnsi="Arial" w:cs="Arial"/>
        </w:rPr>
        <w:t xml:space="preserve">Several other donors and partners </w:t>
      </w:r>
      <w:r>
        <w:rPr>
          <w:rFonts w:ascii="Arial" w:hAnsi="Arial" w:cs="Arial"/>
        </w:rPr>
        <w:t xml:space="preserve">beyond PEPFAR and the Global Fund </w:t>
      </w:r>
      <w:r w:rsidRPr="007A3AC2">
        <w:rPr>
          <w:rFonts w:ascii="Arial" w:hAnsi="Arial" w:cs="Arial"/>
        </w:rPr>
        <w:t>have provided small amounts of financial support and technical assistance</w:t>
      </w:r>
      <w:r>
        <w:rPr>
          <w:rFonts w:ascii="Arial" w:hAnsi="Arial" w:cs="Arial"/>
        </w:rPr>
        <w:t>.</w:t>
      </w:r>
    </w:p>
    <w:p w14:paraId="282D30CA" w14:textId="6E53DEE2" w:rsidR="00D5288C" w:rsidRPr="008544A5" w:rsidRDefault="00D5288C" w:rsidP="00D5288C">
      <w:pPr>
        <w:rPr>
          <w:rFonts w:ascii="Arial" w:hAnsi="Arial" w:cs="Arial"/>
          <w:i/>
          <w:sz w:val="18"/>
        </w:rPr>
      </w:pPr>
      <w:r w:rsidRPr="008544A5">
        <w:rPr>
          <w:rFonts w:ascii="Arial" w:hAnsi="Arial" w:cs="Arial"/>
          <w:bCs/>
          <w:i/>
          <w:sz w:val="18"/>
        </w:rPr>
        <w:t>Figure 2-</w:t>
      </w:r>
      <w:r w:rsidR="00BD2E89">
        <w:rPr>
          <w:rFonts w:ascii="Arial" w:hAnsi="Arial" w:cs="Arial"/>
          <w:bCs/>
          <w:i/>
          <w:sz w:val="18"/>
        </w:rPr>
        <w:t>9</w:t>
      </w:r>
      <w:r w:rsidRPr="008544A5">
        <w:rPr>
          <w:rFonts w:ascii="Arial" w:hAnsi="Arial" w:cs="Arial"/>
          <w:bCs/>
          <w:i/>
          <w:sz w:val="18"/>
        </w:rPr>
        <w:t xml:space="preserve">. </w:t>
      </w:r>
      <w:r w:rsidR="00634A90">
        <w:rPr>
          <w:rFonts w:ascii="Arial" w:hAnsi="Arial" w:cs="Arial"/>
          <w:bCs/>
          <w:i/>
          <w:sz w:val="18"/>
        </w:rPr>
        <w:t xml:space="preserve">Domestic and external </w:t>
      </w:r>
      <w:r w:rsidRPr="008544A5">
        <w:rPr>
          <w:rFonts w:ascii="Arial" w:hAnsi="Arial" w:cs="Arial"/>
          <w:bCs/>
          <w:i/>
          <w:sz w:val="18"/>
        </w:rPr>
        <w:t xml:space="preserve">HIV </w:t>
      </w:r>
      <w:r w:rsidR="00634A90">
        <w:rPr>
          <w:rFonts w:ascii="Arial" w:hAnsi="Arial" w:cs="Arial"/>
          <w:bCs/>
          <w:i/>
          <w:sz w:val="18"/>
        </w:rPr>
        <w:t>expenditure</w:t>
      </w:r>
      <w:r w:rsidRPr="008544A5">
        <w:rPr>
          <w:rFonts w:ascii="Arial" w:hAnsi="Arial" w:cs="Arial"/>
          <w:bCs/>
          <w:i/>
          <w:sz w:val="18"/>
        </w:rPr>
        <w:t xml:space="preserve"> 2015-2017 </w:t>
      </w:r>
    </w:p>
    <w:p w14:paraId="327A65B7" w14:textId="70DDA2C0" w:rsidR="00FD0219" w:rsidRDefault="00012C0D" w:rsidP="004424CD">
      <w:pPr>
        <w:rPr>
          <w:rFonts w:ascii="Arial" w:hAnsi="Arial" w:cs="Arial"/>
        </w:rPr>
      </w:pPr>
      <w:r w:rsidRPr="007A3AC2">
        <w:rPr>
          <w:rFonts w:ascii="Arial" w:hAnsi="Arial" w:cs="Arial"/>
        </w:rPr>
        <w:t xml:space="preserve"> </w:t>
      </w:r>
      <w:r w:rsidR="007A3AC2">
        <w:rPr>
          <w:noProof/>
        </w:rPr>
        <w:drawing>
          <wp:inline distT="0" distB="0" distL="0" distR="0" wp14:anchorId="0325F3BF" wp14:editId="731D2C59">
            <wp:extent cx="5234940" cy="2038350"/>
            <wp:effectExtent l="0" t="0" r="381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A1C3BC" w14:textId="1976AD88" w:rsidR="00634A90" w:rsidRPr="008544A5" w:rsidRDefault="00634A90" w:rsidP="00634A90">
      <w:pPr>
        <w:rPr>
          <w:rFonts w:ascii="Arial" w:hAnsi="Arial" w:cs="Arial"/>
          <w:sz w:val="16"/>
        </w:rPr>
      </w:pPr>
      <w:r w:rsidRPr="008544A5">
        <w:rPr>
          <w:rFonts w:ascii="Arial" w:hAnsi="Arial" w:cs="Arial"/>
          <w:sz w:val="16"/>
        </w:rPr>
        <w:t xml:space="preserve">Sources: Domestic: </w:t>
      </w:r>
      <w:r w:rsidR="00012C5C">
        <w:rPr>
          <w:rFonts w:ascii="Arial" w:hAnsi="Arial" w:cs="Arial"/>
          <w:sz w:val="16"/>
        </w:rPr>
        <w:t>Global Fund (2018). National</w:t>
      </w:r>
      <w:r w:rsidRPr="008544A5">
        <w:rPr>
          <w:rFonts w:ascii="Arial" w:hAnsi="Arial" w:cs="Arial"/>
          <w:sz w:val="16"/>
        </w:rPr>
        <w:t xml:space="preserve"> Funding Landscape Analysis</w:t>
      </w:r>
      <w:r w:rsidR="00012C5C">
        <w:rPr>
          <w:rFonts w:ascii="Arial" w:hAnsi="Arial" w:cs="Arial"/>
          <w:sz w:val="16"/>
        </w:rPr>
        <w:t xml:space="preserve">. </w:t>
      </w:r>
      <w:r w:rsidRPr="008544A5">
        <w:rPr>
          <w:rFonts w:ascii="Arial" w:hAnsi="Arial" w:cs="Arial"/>
          <w:sz w:val="16"/>
        </w:rPr>
        <w:t xml:space="preserve">PEPFAR: </w:t>
      </w:r>
      <w:r w:rsidR="00012C5C">
        <w:rPr>
          <w:rFonts w:ascii="Arial" w:hAnsi="Arial" w:cs="Arial"/>
          <w:sz w:val="16"/>
        </w:rPr>
        <w:t xml:space="preserve">PEPFAR (2018). </w:t>
      </w:r>
      <w:r w:rsidRPr="008544A5">
        <w:rPr>
          <w:rFonts w:ascii="Arial" w:hAnsi="Arial" w:cs="Arial"/>
          <w:sz w:val="16"/>
        </w:rPr>
        <w:t>PEPFAR Expenditure Report</w:t>
      </w:r>
      <w:r w:rsidR="00012C5C">
        <w:rPr>
          <w:rFonts w:ascii="Arial" w:hAnsi="Arial" w:cs="Arial"/>
          <w:sz w:val="16"/>
        </w:rPr>
        <w:t xml:space="preserve"> 2017</w:t>
      </w:r>
      <w:r w:rsidRPr="008544A5">
        <w:rPr>
          <w:rFonts w:ascii="Arial" w:hAnsi="Arial" w:cs="Arial"/>
          <w:sz w:val="16"/>
        </w:rPr>
        <w:t>; Global Fund:</w:t>
      </w:r>
      <w:r w:rsidR="00012C5C">
        <w:rPr>
          <w:rFonts w:ascii="Arial" w:hAnsi="Arial" w:cs="Arial"/>
          <w:sz w:val="16"/>
        </w:rPr>
        <w:t xml:space="preserve"> Global Fund (2018).</w:t>
      </w:r>
      <w:r w:rsidRPr="008544A5">
        <w:rPr>
          <w:rFonts w:ascii="Arial" w:hAnsi="Arial" w:cs="Arial"/>
          <w:sz w:val="16"/>
        </w:rPr>
        <w:t xml:space="preserve"> Global Fund Expenditure Report </w:t>
      </w:r>
      <w:r w:rsidR="00012C5C">
        <w:rPr>
          <w:rFonts w:ascii="Arial" w:hAnsi="Arial" w:cs="Arial"/>
          <w:sz w:val="16"/>
        </w:rPr>
        <w:t>2017.</w:t>
      </w:r>
      <w:r w:rsidRPr="008544A5">
        <w:rPr>
          <w:rFonts w:ascii="Arial" w:hAnsi="Arial" w:cs="Arial"/>
          <w:sz w:val="16"/>
        </w:rPr>
        <w:t xml:space="preserve"> Tanzania HIV Expenditure; Other external funders: </w:t>
      </w:r>
      <w:r w:rsidR="00012C5C">
        <w:rPr>
          <w:rFonts w:ascii="Arial" w:hAnsi="Arial" w:cs="Arial"/>
          <w:sz w:val="16"/>
        </w:rPr>
        <w:t>Global Fund (2018). National</w:t>
      </w:r>
      <w:r w:rsidRPr="008544A5">
        <w:rPr>
          <w:rFonts w:ascii="Arial" w:hAnsi="Arial" w:cs="Arial"/>
          <w:sz w:val="16"/>
        </w:rPr>
        <w:t xml:space="preserve"> Funding Landscape Analysis</w:t>
      </w:r>
      <w:r w:rsidR="00012C5C">
        <w:rPr>
          <w:rFonts w:ascii="Arial" w:hAnsi="Arial" w:cs="Arial"/>
          <w:sz w:val="16"/>
        </w:rPr>
        <w:t>.</w:t>
      </w:r>
    </w:p>
    <w:p w14:paraId="5E5F5A00" w14:textId="50591290" w:rsidR="00027C54" w:rsidRDefault="00634A90" w:rsidP="004424CD">
      <w:pPr>
        <w:rPr>
          <w:rFonts w:ascii="Arial" w:hAnsi="Arial" w:cs="Arial"/>
          <w:i/>
          <w:sz w:val="18"/>
          <w:szCs w:val="18"/>
        </w:rPr>
      </w:pPr>
      <w:r>
        <w:rPr>
          <w:rFonts w:ascii="Arial" w:hAnsi="Arial" w:cs="Arial"/>
        </w:rPr>
        <w:t>Of external partners, PEPFAR contributed USD 290.4 M</w:t>
      </w:r>
      <w:r w:rsidR="00373566">
        <w:rPr>
          <w:rFonts w:ascii="Arial" w:hAnsi="Arial" w:cs="Arial"/>
        </w:rPr>
        <w:t xml:space="preserve"> in 2015, </w:t>
      </w:r>
      <w:r w:rsidR="00F83890">
        <w:rPr>
          <w:rFonts w:ascii="Arial" w:hAnsi="Arial" w:cs="Arial"/>
        </w:rPr>
        <w:t xml:space="preserve">which increased </w:t>
      </w:r>
      <w:r>
        <w:rPr>
          <w:rFonts w:ascii="Arial" w:hAnsi="Arial" w:cs="Arial"/>
        </w:rPr>
        <w:t xml:space="preserve">by 17% in 2016 and 11% in 2017. PEPFAR accounted for </w:t>
      </w:r>
      <w:r w:rsidR="00B63AD1">
        <w:rPr>
          <w:rFonts w:ascii="Arial" w:hAnsi="Arial" w:cs="Arial"/>
        </w:rPr>
        <w:t>61-63% of expenditure in 2015-2017</w:t>
      </w:r>
      <w:r>
        <w:rPr>
          <w:rFonts w:ascii="Arial" w:hAnsi="Arial" w:cs="Arial"/>
        </w:rPr>
        <w:t xml:space="preserve">. </w:t>
      </w:r>
      <w:r w:rsidR="00B63AD1">
        <w:rPr>
          <w:rFonts w:ascii="Arial" w:hAnsi="Arial" w:cs="Arial"/>
        </w:rPr>
        <w:t>The Global Fund contributed USD 133.9 M in 2015 and USD 143.0 M in 2016, respectively 29% and 27% of total expenditure. In 2017, Global Fund expenditure increased to USD 178.1 M, still representing about 29% of total expenditure given parallel increases in domestic and PEPFAR funding.</w:t>
      </w:r>
      <w:r w:rsidR="00373566">
        <w:rPr>
          <w:rFonts w:ascii="Arial" w:hAnsi="Arial" w:cs="Arial"/>
        </w:rPr>
        <w:t xml:space="preserve">  </w:t>
      </w:r>
      <w:r w:rsidRPr="004424CD">
        <w:rPr>
          <w:rFonts w:ascii="Arial" w:hAnsi="Arial" w:cs="Arial"/>
        </w:rPr>
        <w:t xml:space="preserve">Overall, donor expenditure </w:t>
      </w:r>
      <w:r>
        <w:rPr>
          <w:rFonts w:ascii="Arial" w:hAnsi="Arial" w:cs="Arial"/>
        </w:rPr>
        <w:t>from 2015-2017</w:t>
      </w:r>
      <w:r w:rsidRPr="004424CD">
        <w:rPr>
          <w:rFonts w:ascii="Arial" w:hAnsi="Arial" w:cs="Arial"/>
        </w:rPr>
        <w:t xml:space="preserve"> reflected an optimistic environment</w:t>
      </w:r>
      <w:r w:rsidR="00373566">
        <w:rPr>
          <w:rFonts w:ascii="Arial" w:hAnsi="Arial" w:cs="Arial"/>
        </w:rPr>
        <w:t xml:space="preserve"> which has changed dramatically over the past two years (see below)</w:t>
      </w:r>
      <w:r w:rsidR="00A2301F">
        <w:rPr>
          <w:rFonts w:ascii="Arial" w:hAnsi="Arial" w:cs="Arial"/>
          <w:i/>
          <w:sz w:val="18"/>
          <w:szCs w:val="18"/>
        </w:rPr>
        <w:t>.</w:t>
      </w:r>
    </w:p>
    <w:p w14:paraId="47DC4DD9" w14:textId="2EA339C9" w:rsidR="00AC43F7" w:rsidRPr="008544A5" w:rsidRDefault="00C86D0D" w:rsidP="00276364">
      <w:pPr>
        <w:spacing w:after="0"/>
        <w:rPr>
          <w:rFonts w:ascii="Arial" w:hAnsi="Arial" w:cs="Arial"/>
          <w:i/>
          <w:sz w:val="18"/>
          <w:szCs w:val="18"/>
        </w:rPr>
      </w:pPr>
      <w:r>
        <w:rPr>
          <w:rFonts w:ascii="Arial" w:hAnsi="Arial" w:cs="Arial"/>
          <w:i/>
          <w:sz w:val="18"/>
          <w:szCs w:val="18"/>
        </w:rPr>
        <w:t>Figure</w:t>
      </w:r>
      <w:r w:rsidR="00AC43F7" w:rsidRPr="008544A5">
        <w:rPr>
          <w:rFonts w:ascii="Arial" w:hAnsi="Arial" w:cs="Arial"/>
          <w:i/>
          <w:sz w:val="18"/>
          <w:szCs w:val="18"/>
        </w:rPr>
        <w:t xml:space="preserve"> </w:t>
      </w:r>
      <w:r w:rsidR="004973A2" w:rsidRPr="008544A5">
        <w:rPr>
          <w:rFonts w:ascii="Arial" w:hAnsi="Arial" w:cs="Arial"/>
          <w:i/>
          <w:sz w:val="18"/>
          <w:szCs w:val="18"/>
        </w:rPr>
        <w:t>2-</w:t>
      </w:r>
      <w:r w:rsidR="00D5288C" w:rsidRPr="008544A5">
        <w:rPr>
          <w:rFonts w:ascii="Arial" w:hAnsi="Arial" w:cs="Arial"/>
          <w:i/>
          <w:sz w:val="18"/>
          <w:szCs w:val="18"/>
        </w:rPr>
        <w:t>1</w:t>
      </w:r>
      <w:r w:rsidR="00BD2E89">
        <w:rPr>
          <w:rFonts w:ascii="Arial" w:hAnsi="Arial" w:cs="Arial"/>
          <w:i/>
          <w:sz w:val="18"/>
          <w:szCs w:val="18"/>
        </w:rPr>
        <w:t>0.</w:t>
      </w:r>
      <w:r w:rsidR="00AC43F7" w:rsidRPr="008544A5">
        <w:rPr>
          <w:rFonts w:ascii="Arial" w:hAnsi="Arial" w:cs="Arial"/>
          <w:i/>
          <w:sz w:val="18"/>
          <w:szCs w:val="18"/>
        </w:rPr>
        <w:t xml:space="preserve"> </w:t>
      </w:r>
      <w:r w:rsidR="004973A2" w:rsidRPr="008544A5">
        <w:rPr>
          <w:rFonts w:ascii="Arial" w:hAnsi="Arial" w:cs="Arial"/>
          <w:i/>
          <w:sz w:val="18"/>
          <w:szCs w:val="18"/>
        </w:rPr>
        <w:t xml:space="preserve">Sources of HIV </w:t>
      </w:r>
      <w:r w:rsidR="001F3C53" w:rsidRPr="008544A5">
        <w:rPr>
          <w:rFonts w:ascii="Arial" w:hAnsi="Arial" w:cs="Arial"/>
          <w:i/>
          <w:sz w:val="18"/>
          <w:szCs w:val="18"/>
        </w:rPr>
        <w:t xml:space="preserve">expenditure </w:t>
      </w:r>
      <w:r w:rsidR="004973A2" w:rsidRPr="008544A5">
        <w:rPr>
          <w:rFonts w:ascii="Arial" w:hAnsi="Arial" w:cs="Arial"/>
          <w:i/>
          <w:sz w:val="18"/>
          <w:szCs w:val="18"/>
        </w:rPr>
        <w:t>2015-2017</w:t>
      </w:r>
    </w:p>
    <w:tbl>
      <w:tblPr>
        <w:tblpPr w:leftFromText="180" w:rightFromText="180" w:vertAnchor="text" w:horzAnchor="margin" w:tblpY="33"/>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896"/>
        <w:gridCol w:w="677"/>
        <w:gridCol w:w="896"/>
        <w:gridCol w:w="777"/>
        <w:gridCol w:w="1791"/>
        <w:gridCol w:w="978"/>
        <w:gridCol w:w="1598"/>
        <w:gridCol w:w="646"/>
        <w:gridCol w:w="1117"/>
      </w:tblGrid>
      <w:tr w:rsidR="00634A90" w:rsidRPr="00A974AF" w14:paraId="2B461CCC" w14:textId="7152E4FB" w:rsidTr="002E0189">
        <w:trPr>
          <w:trHeight w:val="224"/>
        </w:trPr>
        <w:tc>
          <w:tcPr>
            <w:tcW w:w="640" w:type="dxa"/>
            <w:shd w:val="clear" w:color="auto" w:fill="C00000"/>
            <w:noWrap/>
            <w:vAlign w:val="bottom"/>
            <w:hideMark/>
          </w:tcPr>
          <w:p w14:paraId="185182DF" w14:textId="69A7BE01" w:rsidR="00634A90" w:rsidRPr="00A974AF" w:rsidRDefault="00634A90" w:rsidP="00DA19B8">
            <w:pPr>
              <w:spacing w:after="0" w:line="240" w:lineRule="auto"/>
              <w:rPr>
                <w:rFonts w:ascii="Arial" w:eastAsia="Times New Roman" w:hAnsi="Arial" w:cs="Arial"/>
                <w:b/>
                <w:color w:val="FFFFFF" w:themeColor="background1"/>
                <w:sz w:val="18"/>
                <w:szCs w:val="22"/>
              </w:rPr>
            </w:pPr>
          </w:p>
        </w:tc>
        <w:tc>
          <w:tcPr>
            <w:tcW w:w="1573" w:type="dxa"/>
            <w:gridSpan w:val="2"/>
            <w:shd w:val="clear" w:color="auto" w:fill="C00000"/>
            <w:noWrap/>
            <w:vAlign w:val="center"/>
            <w:hideMark/>
          </w:tcPr>
          <w:p w14:paraId="4D928601" w14:textId="6AC87A01" w:rsidR="00634A90" w:rsidRPr="00A974AF" w:rsidRDefault="00634A90" w:rsidP="00DA19B8">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Domestic</w:t>
            </w:r>
          </w:p>
        </w:tc>
        <w:tc>
          <w:tcPr>
            <w:tcW w:w="1673" w:type="dxa"/>
            <w:gridSpan w:val="2"/>
            <w:shd w:val="clear" w:color="auto" w:fill="C00000"/>
            <w:noWrap/>
            <w:vAlign w:val="center"/>
            <w:hideMark/>
          </w:tcPr>
          <w:p w14:paraId="105D6E84" w14:textId="34B763D9" w:rsidR="00634A90" w:rsidRPr="00A974AF" w:rsidRDefault="00634A90" w:rsidP="00DA19B8">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PEPFAR</w:t>
            </w:r>
          </w:p>
        </w:tc>
        <w:tc>
          <w:tcPr>
            <w:tcW w:w="2769" w:type="dxa"/>
            <w:gridSpan w:val="2"/>
            <w:shd w:val="clear" w:color="auto" w:fill="C00000"/>
            <w:noWrap/>
            <w:vAlign w:val="center"/>
            <w:hideMark/>
          </w:tcPr>
          <w:p w14:paraId="19353D73" w14:textId="6B80B280" w:rsidR="00634A90" w:rsidRPr="00A974AF" w:rsidRDefault="00634A90" w:rsidP="00DA19B8">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Global Fund</w:t>
            </w:r>
          </w:p>
        </w:tc>
        <w:tc>
          <w:tcPr>
            <w:tcW w:w="2244" w:type="dxa"/>
            <w:gridSpan w:val="2"/>
            <w:shd w:val="clear" w:color="auto" w:fill="C00000"/>
            <w:noWrap/>
            <w:vAlign w:val="center"/>
            <w:hideMark/>
          </w:tcPr>
          <w:p w14:paraId="3D872FDF" w14:textId="5A6067A9" w:rsidR="00634A90" w:rsidRPr="00A974AF" w:rsidRDefault="00634A90" w:rsidP="00DA19B8">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Other external partners</w:t>
            </w:r>
          </w:p>
        </w:tc>
        <w:tc>
          <w:tcPr>
            <w:tcW w:w="1117" w:type="dxa"/>
            <w:shd w:val="clear" w:color="auto" w:fill="C00000"/>
          </w:tcPr>
          <w:p w14:paraId="14276B3F" w14:textId="0A4C8D01" w:rsidR="00634A90" w:rsidRPr="00A974AF" w:rsidRDefault="00634A90" w:rsidP="00DA19B8">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Total Funding</w:t>
            </w:r>
          </w:p>
        </w:tc>
      </w:tr>
      <w:tr w:rsidR="00634A90" w:rsidRPr="00A974AF" w14:paraId="59E6DA81" w14:textId="4749FF51" w:rsidTr="002E0189">
        <w:trPr>
          <w:trHeight w:val="224"/>
        </w:trPr>
        <w:tc>
          <w:tcPr>
            <w:tcW w:w="640" w:type="dxa"/>
            <w:shd w:val="clear" w:color="auto" w:fill="C00000"/>
            <w:noWrap/>
            <w:vAlign w:val="bottom"/>
          </w:tcPr>
          <w:p w14:paraId="62F64583" w14:textId="77777777" w:rsidR="00634A90" w:rsidRPr="00A974AF" w:rsidRDefault="00634A90" w:rsidP="00B4222D">
            <w:pPr>
              <w:spacing w:after="0" w:line="240" w:lineRule="auto"/>
              <w:rPr>
                <w:rFonts w:ascii="Arial" w:eastAsia="Times New Roman" w:hAnsi="Arial" w:cs="Arial"/>
                <w:b/>
                <w:color w:val="FFFFFF" w:themeColor="background1"/>
                <w:sz w:val="18"/>
                <w:szCs w:val="22"/>
              </w:rPr>
            </w:pPr>
          </w:p>
        </w:tc>
        <w:tc>
          <w:tcPr>
            <w:tcW w:w="896" w:type="dxa"/>
            <w:shd w:val="clear" w:color="auto" w:fill="C00000"/>
            <w:noWrap/>
            <w:vAlign w:val="center"/>
          </w:tcPr>
          <w:p w14:paraId="1CD5A874" w14:textId="4CB7F81B"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Amount (USD M)</w:t>
            </w:r>
          </w:p>
        </w:tc>
        <w:tc>
          <w:tcPr>
            <w:tcW w:w="677" w:type="dxa"/>
            <w:shd w:val="clear" w:color="auto" w:fill="C00000"/>
            <w:vAlign w:val="center"/>
          </w:tcPr>
          <w:p w14:paraId="6EF16E17" w14:textId="27A26E62"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 of Total</w:t>
            </w:r>
          </w:p>
        </w:tc>
        <w:tc>
          <w:tcPr>
            <w:tcW w:w="896" w:type="dxa"/>
            <w:shd w:val="clear" w:color="auto" w:fill="C00000"/>
            <w:noWrap/>
            <w:vAlign w:val="center"/>
          </w:tcPr>
          <w:p w14:paraId="4BAC3944" w14:textId="5E872E7A"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Amount (USD M)</w:t>
            </w:r>
          </w:p>
        </w:tc>
        <w:tc>
          <w:tcPr>
            <w:tcW w:w="777" w:type="dxa"/>
            <w:shd w:val="clear" w:color="auto" w:fill="C00000"/>
            <w:vAlign w:val="center"/>
          </w:tcPr>
          <w:p w14:paraId="2D8C7CD5" w14:textId="030EF7EF"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 of Total</w:t>
            </w:r>
          </w:p>
        </w:tc>
        <w:tc>
          <w:tcPr>
            <w:tcW w:w="1791" w:type="dxa"/>
            <w:shd w:val="clear" w:color="auto" w:fill="C00000"/>
            <w:noWrap/>
            <w:vAlign w:val="center"/>
          </w:tcPr>
          <w:p w14:paraId="7407102C" w14:textId="78138665"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Amount</w:t>
            </w:r>
          </w:p>
          <w:p w14:paraId="291DB85A" w14:textId="435D7966"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(USD M)</w:t>
            </w:r>
          </w:p>
        </w:tc>
        <w:tc>
          <w:tcPr>
            <w:tcW w:w="978" w:type="dxa"/>
            <w:shd w:val="clear" w:color="auto" w:fill="C00000"/>
            <w:vAlign w:val="center"/>
          </w:tcPr>
          <w:p w14:paraId="042651B1" w14:textId="726B890A"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 of Total</w:t>
            </w:r>
          </w:p>
        </w:tc>
        <w:tc>
          <w:tcPr>
            <w:tcW w:w="1598" w:type="dxa"/>
            <w:shd w:val="clear" w:color="auto" w:fill="C00000"/>
            <w:noWrap/>
            <w:vAlign w:val="center"/>
          </w:tcPr>
          <w:p w14:paraId="1C28F92C" w14:textId="77777777" w:rsidR="00634A90" w:rsidRPr="00A974AF" w:rsidRDefault="00634A90" w:rsidP="00634A90">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Amount</w:t>
            </w:r>
          </w:p>
          <w:p w14:paraId="74361595" w14:textId="6064F572"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 xml:space="preserve"> (USD M)</w:t>
            </w:r>
          </w:p>
        </w:tc>
        <w:tc>
          <w:tcPr>
            <w:tcW w:w="646" w:type="dxa"/>
            <w:shd w:val="clear" w:color="auto" w:fill="C00000"/>
            <w:vAlign w:val="center"/>
          </w:tcPr>
          <w:p w14:paraId="08834582" w14:textId="787C2E61" w:rsidR="00634A90" w:rsidRPr="00A974AF" w:rsidRDefault="00634A90" w:rsidP="008544A5">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 of Total</w:t>
            </w:r>
          </w:p>
        </w:tc>
        <w:tc>
          <w:tcPr>
            <w:tcW w:w="1117" w:type="dxa"/>
            <w:shd w:val="clear" w:color="auto" w:fill="C00000"/>
          </w:tcPr>
          <w:p w14:paraId="7CD49F70" w14:textId="0ACDC6FB" w:rsidR="00634A90" w:rsidRPr="00A974AF" w:rsidRDefault="00634A90" w:rsidP="00634A90">
            <w:pPr>
              <w:spacing w:after="0" w:line="240" w:lineRule="auto"/>
              <w:jc w:val="center"/>
              <w:rPr>
                <w:rFonts w:ascii="Arial" w:eastAsia="Times New Roman" w:hAnsi="Arial" w:cs="Arial"/>
                <w:b/>
                <w:color w:val="FFFFFF" w:themeColor="background1"/>
                <w:sz w:val="18"/>
                <w:szCs w:val="22"/>
              </w:rPr>
            </w:pPr>
            <w:r w:rsidRPr="00A974AF">
              <w:rPr>
                <w:rFonts w:ascii="Arial" w:eastAsia="Times New Roman" w:hAnsi="Arial" w:cs="Arial"/>
                <w:b/>
                <w:color w:val="FFFFFF" w:themeColor="background1"/>
                <w:sz w:val="18"/>
                <w:szCs w:val="22"/>
              </w:rPr>
              <w:t>Amount (USD M)</w:t>
            </w:r>
          </w:p>
        </w:tc>
      </w:tr>
      <w:tr w:rsidR="00634A90" w:rsidRPr="00A974AF" w14:paraId="616C54ED" w14:textId="03F583CD" w:rsidTr="002E0189">
        <w:trPr>
          <w:trHeight w:val="224"/>
        </w:trPr>
        <w:tc>
          <w:tcPr>
            <w:tcW w:w="640" w:type="dxa"/>
            <w:shd w:val="clear" w:color="auto" w:fill="auto"/>
            <w:noWrap/>
            <w:vAlign w:val="center"/>
            <w:hideMark/>
          </w:tcPr>
          <w:p w14:paraId="3BCB957A" w14:textId="77777777" w:rsidR="00634A90" w:rsidRPr="00A974AF" w:rsidRDefault="00634A90" w:rsidP="00DA19B8">
            <w:pPr>
              <w:spacing w:after="0" w:line="240" w:lineRule="auto"/>
              <w:rPr>
                <w:rFonts w:ascii="Arial" w:eastAsia="Times New Roman" w:hAnsi="Arial" w:cs="Arial"/>
                <w:b/>
                <w:color w:val="000000"/>
                <w:sz w:val="18"/>
                <w:szCs w:val="22"/>
              </w:rPr>
            </w:pPr>
            <w:r w:rsidRPr="00A974AF">
              <w:rPr>
                <w:rFonts w:ascii="Arial" w:eastAsia="Times New Roman" w:hAnsi="Arial" w:cs="Arial"/>
                <w:b/>
                <w:color w:val="000000"/>
                <w:sz w:val="18"/>
                <w:szCs w:val="22"/>
              </w:rPr>
              <w:t>2015</w:t>
            </w:r>
          </w:p>
        </w:tc>
        <w:tc>
          <w:tcPr>
            <w:tcW w:w="896" w:type="dxa"/>
            <w:shd w:val="clear" w:color="auto" w:fill="auto"/>
            <w:noWrap/>
            <w:vAlign w:val="center"/>
            <w:hideMark/>
          </w:tcPr>
          <w:p w14:paraId="0C323B38" w14:textId="77777777"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36.8</w:t>
            </w:r>
          </w:p>
        </w:tc>
        <w:tc>
          <w:tcPr>
            <w:tcW w:w="677" w:type="dxa"/>
          </w:tcPr>
          <w:p w14:paraId="4B0C9BDF" w14:textId="0429EBDE"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8</w:t>
            </w:r>
            <w:r w:rsidR="00634A90" w:rsidRPr="00A974AF">
              <w:rPr>
                <w:rFonts w:ascii="Arial" w:eastAsia="Times New Roman" w:hAnsi="Arial" w:cs="Arial"/>
                <w:color w:val="000000"/>
                <w:sz w:val="18"/>
                <w:szCs w:val="22"/>
              </w:rPr>
              <w:t>%</w:t>
            </w:r>
          </w:p>
        </w:tc>
        <w:tc>
          <w:tcPr>
            <w:tcW w:w="896" w:type="dxa"/>
            <w:shd w:val="clear" w:color="auto" w:fill="auto"/>
            <w:noWrap/>
            <w:vAlign w:val="center"/>
            <w:hideMark/>
          </w:tcPr>
          <w:p w14:paraId="7E169B45" w14:textId="3F195CDF"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290.4</w:t>
            </w:r>
          </w:p>
        </w:tc>
        <w:tc>
          <w:tcPr>
            <w:tcW w:w="777" w:type="dxa"/>
          </w:tcPr>
          <w:p w14:paraId="1D61EF2D" w14:textId="574A570C"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6</w:t>
            </w:r>
            <w:r w:rsidR="00634A90" w:rsidRPr="00A974AF">
              <w:rPr>
                <w:rFonts w:ascii="Arial" w:eastAsia="Times New Roman" w:hAnsi="Arial" w:cs="Arial"/>
                <w:color w:val="000000"/>
                <w:sz w:val="18"/>
                <w:szCs w:val="22"/>
              </w:rPr>
              <w:t>2%</w:t>
            </w:r>
          </w:p>
        </w:tc>
        <w:tc>
          <w:tcPr>
            <w:tcW w:w="1791" w:type="dxa"/>
            <w:shd w:val="clear" w:color="auto" w:fill="auto"/>
            <w:noWrap/>
            <w:vAlign w:val="center"/>
            <w:hideMark/>
          </w:tcPr>
          <w:p w14:paraId="444FB4A8" w14:textId="59FA586D"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133.9</w:t>
            </w:r>
          </w:p>
        </w:tc>
        <w:tc>
          <w:tcPr>
            <w:tcW w:w="978" w:type="dxa"/>
          </w:tcPr>
          <w:p w14:paraId="460ACEBB" w14:textId="741F2B1B"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29</w:t>
            </w:r>
            <w:r w:rsidR="00634A90" w:rsidRPr="00A974AF">
              <w:rPr>
                <w:rFonts w:ascii="Arial" w:eastAsia="Times New Roman" w:hAnsi="Arial" w:cs="Arial"/>
                <w:color w:val="000000"/>
                <w:sz w:val="18"/>
                <w:szCs w:val="22"/>
              </w:rPr>
              <w:t>%</w:t>
            </w:r>
          </w:p>
        </w:tc>
        <w:tc>
          <w:tcPr>
            <w:tcW w:w="1598" w:type="dxa"/>
            <w:shd w:val="clear" w:color="auto" w:fill="auto"/>
            <w:noWrap/>
            <w:vAlign w:val="center"/>
            <w:hideMark/>
          </w:tcPr>
          <w:p w14:paraId="40D25DFC" w14:textId="6AC59F05"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5.</w:t>
            </w:r>
            <w:r w:rsidR="00B63AD1">
              <w:rPr>
                <w:rFonts w:ascii="Arial" w:eastAsia="Times New Roman" w:hAnsi="Arial" w:cs="Arial"/>
                <w:color w:val="000000"/>
                <w:sz w:val="18"/>
                <w:szCs w:val="22"/>
              </w:rPr>
              <w:t>8</w:t>
            </w:r>
          </w:p>
        </w:tc>
        <w:tc>
          <w:tcPr>
            <w:tcW w:w="646" w:type="dxa"/>
          </w:tcPr>
          <w:p w14:paraId="4F27BFA6" w14:textId="3A727888"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1</w:t>
            </w:r>
            <w:r w:rsidR="00634A90" w:rsidRPr="00A974AF">
              <w:rPr>
                <w:rFonts w:ascii="Arial" w:eastAsia="Times New Roman" w:hAnsi="Arial" w:cs="Arial"/>
                <w:color w:val="000000"/>
                <w:sz w:val="18"/>
                <w:szCs w:val="22"/>
              </w:rPr>
              <w:t>%</w:t>
            </w:r>
          </w:p>
        </w:tc>
        <w:tc>
          <w:tcPr>
            <w:tcW w:w="1117" w:type="dxa"/>
          </w:tcPr>
          <w:p w14:paraId="7CCE098A" w14:textId="5486BAAB"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466.8</w:t>
            </w:r>
          </w:p>
        </w:tc>
      </w:tr>
      <w:tr w:rsidR="00634A90" w:rsidRPr="00A974AF" w14:paraId="522B53AA" w14:textId="0750EA93" w:rsidTr="002E0189">
        <w:trPr>
          <w:trHeight w:val="224"/>
        </w:trPr>
        <w:tc>
          <w:tcPr>
            <w:tcW w:w="640" w:type="dxa"/>
            <w:shd w:val="clear" w:color="auto" w:fill="auto"/>
            <w:noWrap/>
            <w:vAlign w:val="center"/>
            <w:hideMark/>
          </w:tcPr>
          <w:p w14:paraId="1402F3C6" w14:textId="77777777" w:rsidR="00634A90" w:rsidRPr="00A974AF" w:rsidRDefault="00634A90" w:rsidP="00DA19B8">
            <w:pPr>
              <w:spacing w:after="0" w:line="240" w:lineRule="auto"/>
              <w:rPr>
                <w:rFonts w:ascii="Arial" w:eastAsia="Times New Roman" w:hAnsi="Arial" w:cs="Arial"/>
                <w:b/>
                <w:color w:val="000000"/>
                <w:sz w:val="18"/>
                <w:szCs w:val="22"/>
              </w:rPr>
            </w:pPr>
            <w:r w:rsidRPr="00A974AF">
              <w:rPr>
                <w:rFonts w:ascii="Arial" w:eastAsia="Times New Roman" w:hAnsi="Arial" w:cs="Arial"/>
                <w:b/>
                <w:color w:val="000000"/>
                <w:sz w:val="18"/>
                <w:szCs w:val="22"/>
              </w:rPr>
              <w:t>2016</w:t>
            </w:r>
          </w:p>
        </w:tc>
        <w:tc>
          <w:tcPr>
            <w:tcW w:w="896" w:type="dxa"/>
            <w:shd w:val="clear" w:color="auto" w:fill="auto"/>
            <w:noWrap/>
            <w:vAlign w:val="center"/>
            <w:hideMark/>
          </w:tcPr>
          <w:p w14:paraId="504EA714" w14:textId="77777777"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49.8</w:t>
            </w:r>
          </w:p>
        </w:tc>
        <w:tc>
          <w:tcPr>
            <w:tcW w:w="677" w:type="dxa"/>
          </w:tcPr>
          <w:p w14:paraId="38FE88A7" w14:textId="4FB413FA"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9</w:t>
            </w:r>
            <w:r w:rsidR="00634A90" w:rsidRPr="00A974AF">
              <w:rPr>
                <w:rFonts w:ascii="Arial" w:eastAsia="Times New Roman" w:hAnsi="Arial" w:cs="Arial"/>
                <w:color w:val="000000"/>
                <w:sz w:val="18"/>
                <w:szCs w:val="22"/>
              </w:rPr>
              <w:t>%</w:t>
            </w:r>
          </w:p>
        </w:tc>
        <w:tc>
          <w:tcPr>
            <w:tcW w:w="896" w:type="dxa"/>
            <w:shd w:val="clear" w:color="auto" w:fill="auto"/>
            <w:noWrap/>
            <w:vAlign w:val="center"/>
            <w:hideMark/>
          </w:tcPr>
          <w:p w14:paraId="746C9449" w14:textId="3DC49114"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339.3</w:t>
            </w:r>
          </w:p>
        </w:tc>
        <w:tc>
          <w:tcPr>
            <w:tcW w:w="777" w:type="dxa"/>
          </w:tcPr>
          <w:p w14:paraId="04D8AA24" w14:textId="4A6F4033"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63</w:t>
            </w:r>
            <w:r w:rsidR="00634A90" w:rsidRPr="00A974AF">
              <w:rPr>
                <w:rFonts w:ascii="Arial" w:eastAsia="Times New Roman" w:hAnsi="Arial" w:cs="Arial"/>
                <w:color w:val="000000"/>
                <w:sz w:val="18"/>
                <w:szCs w:val="22"/>
              </w:rPr>
              <w:t>%</w:t>
            </w:r>
          </w:p>
        </w:tc>
        <w:tc>
          <w:tcPr>
            <w:tcW w:w="1791" w:type="dxa"/>
            <w:shd w:val="clear" w:color="auto" w:fill="auto"/>
            <w:noWrap/>
            <w:vAlign w:val="center"/>
            <w:hideMark/>
          </w:tcPr>
          <w:p w14:paraId="0481B58D" w14:textId="28FED153"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143.0</w:t>
            </w:r>
          </w:p>
        </w:tc>
        <w:tc>
          <w:tcPr>
            <w:tcW w:w="978" w:type="dxa"/>
          </w:tcPr>
          <w:p w14:paraId="366CCA8F" w14:textId="52B12D1A"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2</w:t>
            </w:r>
            <w:r w:rsidR="00634A90" w:rsidRPr="00A974AF">
              <w:rPr>
                <w:rFonts w:ascii="Arial" w:eastAsia="Times New Roman" w:hAnsi="Arial" w:cs="Arial"/>
                <w:color w:val="000000"/>
                <w:sz w:val="18"/>
                <w:szCs w:val="22"/>
              </w:rPr>
              <w:t>7%</w:t>
            </w:r>
          </w:p>
        </w:tc>
        <w:tc>
          <w:tcPr>
            <w:tcW w:w="1598" w:type="dxa"/>
            <w:shd w:val="clear" w:color="auto" w:fill="auto"/>
            <w:noWrap/>
            <w:vAlign w:val="center"/>
            <w:hideMark/>
          </w:tcPr>
          <w:p w14:paraId="7F1E8D9A" w14:textId="27A9C163"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5.3</w:t>
            </w:r>
          </w:p>
        </w:tc>
        <w:tc>
          <w:tcPr>
            <w:tcW w:w="646" w:type="dxa"/>
          </w:tcPr>
          <w:p w14:paraId="140A7E8B" w14:textId="53541352"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1%</w:t>
            </w:r>
          </w:p>
        </w:tc>
        <w:tc>
          <w:tcPr>
            <w:tcW w:w="1117" w:type="dxa"/>
          </w:tcPr>
          <w:p w14:paraId="4643AB32" w14:textId="721C1103" w:rsidR="00634A90" w:rsidRPr="00A974AF" w:rsidRDefault="00B63AD1" w:rsidP="002E0189">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537.3</w:t>
            </w:r>
          </w:p>
        </w:tc>
      </w:tr>
      <w:tr w:rsidR="00634A90" w:rsidRPr="00A974AF" w14:paraId="43CE3088" w14:textId="2D0B73EF" w:rsidTr="002E0189">
        <w:trPr>
          <w:trHeight w:val="224"/>
        </w:trPr>
        <w:tc>
          <w:tcPr>
            <w:tcW w:w="640" w:type="dxa"/>
            <w:shd w:val="clear" w:color="auto" w:fill="auto"/>
            <w:noWrap/>
            <w:vAlign w:val="center"/>
          </w:tcPr>
          <w:p w14:paraId="4484835A" w14:textId="12C1AEA3" w:rsidR="00634A90" w:rsidRPr="00A974AF" w:rsidRDefault="00634A90" w:rsidP="00DA19B8">
            <w:pPr>
              <w:spacing w:after="0" w:line="240" w:lineRule="auto"/>
              <w:rPr>
                <w:rFonts w:ascii="Arial" w:eastAsia="Times New Roman" w:hAnsi="Arial" w:cs="Arial"/>
                <w:b/>
                <w:color w:val="000000"/>
                <w:sz w:val="18"/>
                <w:szCs w:val="22"/>
              </w:rPr>
            </w:pPr>
            <w:r w:rsidRPr="00A974AF">
              <w:rPr>
                <w:rFonts w:ascii="Arial" w:eastAsia="Times New Roman" w:hAnsi="Arial" w:cs="Arial"/>
                <w:b/>
                <w:color w:val="000000"/>
                <w:sz w:val="18"/>
                <w:szCs w:val="22"/>
              </w:rPr>
              <w:t>2017</w:t>
            </w:r>
          </w:p>
        </w:tc>
        <w:tc>
          <w:tcPr>
            <w:tcW w:w="896" w:type="dxa"/>
            <w:shd w:val="clear" w:color="auto" w:fill="auto"/>
            <w:noWrap/>
            <w:vAlign w:val="center"/>
          </w:tcPr>
          <w:p w14:paraId="2AAFEF69" w14:textId="1FCD65A7"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52.3</w:t>
            </w:r>
          </w:p>
        </w:tc>
        <w:tc>
          <w:tcPr>
            <w:tcW w:w="677" w:type="dxa"/>
          </w:tcPr>
          <w:p w14:paraId="3A804F35" w14:textId="096BCE47"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9%</w:t>
            </w:r>
          </w:p>
        </w:tc>
        <w:tc>
          <w:tcPr>
            <w:tcW w:w="896" w:type="dxa"/>
            <w:shd w:val="clear" w:color="auto" w:fill="auto"/>
            <w:noWrap/>
            <w:vAlign w:val="center"/>
          </w:tcPr>
          <w:p w14:paraId="676B89B4" w14:textId="08D4EFB6"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376.2</w:t>
            </w:r>
          </w:p>
        </w:tc>
        <w:tc>
          <w:tcPr>
            <w:tcW w:w="777" w:type="dxa"/>
          </w:tcPr>
          <w:p w14:paraId="238EBC59" w14:textId="39C5A6BD"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6</w:t>
            </w:r>
            <w:r w:rsidR="00B63AD1">
              <w:rPr>
                <w:rFonts w:ascii="Arial" w:eastAsia="Times New Roman" w:hAnsi="Arial" w:cs="Arial"/>
                <w:color w:val="000000"/>
                <w:sz w:val="18"/>
                <w:szCs w:val="22"/>
              </w:rPr>
              <w:t>1</w:t>
            </w:r>
            <w:r w:rsidRPr="00A974AF">
              <w:rPr>
                <w:rFonts w:ascii="Arial" w:eastAsia="Times New Roman" w:hAnsi="Arial" w:cs="Arial"/>
                <w:color w:val="000000"/>
                <w:sz w:val="18"/>
                <w:szCs w:val="22"/>
              </w:rPr>
              <w:t>%</w:t>
            </w:r>
          </w:p>
        </w:tc>
        <w:tc>
          <w:tcPr>
            <w:tcW w:w="1791" w:type="dxa"/>
            <w:shd w:val="clear" w:color="auto" w:fill="auto"/>
            <w:noWrap/>
            <w:vAlign w:val="center"/>
          </w:tcPr>
          <w:p w14:paraId="35DC62C5" w14:textId="6E9A63DE"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17</w:t>
            </w:r>
            <w:r w:rsidR="00B63AD1">
              <w:rPr>
                <w:rFonts w:ascii="Arial" w:eastAsia="Times New Roman" w:hAnsi="Arial" w:cs="Arial"/>
                <w:color w:val="000000"/>
                <w:sz w:val="18"/>
                <w:szCs w:val="22"/>
              </w:rPr>
              <w:t>8.1</w:t>
            </w:r>
          </w:p>
        </w:tc>
        <w:tc>
          <w:tcPr>
            <w:tcW w:w="978" w:type="dxa"/>
          </w:tcPr>
          <w:p w14:paraId="62C6017F" w14:textId="33F6393B"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2</w:t>
            </w:r>
            <w:r w:rsidR="00B63AD1">
              <w:rPr>
                <w:rFonts w:ascii="Arial" w:eastAsia="Times New Roman" w:hAnsi="Arial" w:cs="Arial"/>
                <w:color w:val="000000"/>
                <w:sz w:val="18"/>
                <w:szCs w:val="22"/>
              </w:rPr>
              <w:t>9</w:t>
            </w:r>
            <w:r w:rsidRPr="00A974AF">
              <w:rPr>
                <w:rFonts w:ascii="Arial" w:eastAsia="Times New Roman" w:hAnsi="Arial" w:cs="Arial"/>
                <w:color w:val="000000"/>
                <w:sz w:val="18"/>
                <w:szCs w:val="22"/>
              </w:rPr>
              <w:t>%</w:t>
            </w:r>
          </w:p>
        </w:tc>
        <w:tc>
          <w:tcPr>
            <w:tcW w:w="1598" w:type="dxa"/>
            <w:shd w:val="clear" w:color="auto" w:fill="auto"/>
            <w:noWrap/>
            <w:vAlign w:val="center"/>
          </w:tcPr>
          <w:p w14:paraId="61344E7C" w14:textId="3849CC41"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5.4</w:t>
            </w:r>
          </w:p>
        </w:tc>
        <w:tc>
          <w:tcPr>
            <w:tcW w:w="646" w:type="dxa"/>
          </w:tcPr>
          <w:p w14:paraId="2EB3D3B9" w14:textId="2CC06C88"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1%</w:t>
            </w:r>
          </w:p>
        </w:tc>
        <w:tc>
          <w:tcPr>
            <w:tcW w:w="1117" w:type="dxa"/>
          </w:tcPr>
          <w:p w14:paraId="2B6B5857" w14:textId="07FE5066" w:rsidR="00634A90" w:rsidRPr="00A974AF" w:rsidRDefault="00634A90" w:rsidP="002E0189">
            <w:pPr>
              <w:spacing w:after="0" w:line="240" w:lineRule="auto"/>
              <w:rPr>
                <w:rFonts w:ascii="Arial" w:eastAsia="Times New Roman" w:hAnsi="Arial" w:cs="Arial"/>
                <w:color w:val="000000"/>
                <w:sz w:val="18"/>
                <w:szCs w:val="22"/>
              </w:rPr>
            </w:pPr>
            <w:r w:rsidRPr="00A974AF">
              <w:rPr>
                <w:rFonts w:ascii="Arial" w:eastAsia="Times New Roman" w:hAnsi="Arial" w:cs="Arial"/>
                <w:color w:val="000000"/>
                <w:sz w:val="18"/>
                <w:szCs w:val="22"/>
              </w:rPr>
              <w:t>6</w:t>
            </w:r>
            <w:r w:rsidR="00B63AD1">
              <w:rPr>
                <w:rFonts w:ascii="Arial" w:eastAsia="Times New Roman" w:hAnsi="Arial" w:cs="Arial"/>
                <w:color w:val="000000"/>
                <w:sz w:val="18"/>
                <w:szCs w:val="22"/>
              </w:rPr>
              <w:t>12.0</w:t>
            </w:r>
          </w:p>
        </w:tc>
      </w:tr>
    </w:tbl>
    <w:p w14:paraId="2898F9BA" w14:textId="0EB26FC3" w:rsidR="00634A90" w:rsidRPr="003E62FC" w:rsidRDefault="00634A90">
      <w:pPr>
        <w:spacing w:after="0"/>
        <w:rPr>
          <w:rFonts w:ascii="Arial" w:hAnsi="Arial" w:cs="Arial"/>
          <w:sz w:val="16"/>
        </w:rPr>
      </w:pPr>
      <w:r w:rsidRPr="008544A5">
        <w:rPr>
          <w:rFonts w:ascii="Arial" w:hAnsi="Arial" w:cs="Arial"/>
          <w:sz w:val="16"/>
        </w:rPr>
        <w:t xml:space="preserve">Note: PEPFAR expenditure figures exclude the Operations and Management value as provided for in COP estimates. These amounts range from </w:t>
      </w:r>
      <w:r w:rsidR="000807B2">
        <w:rPr>
          <w:rFonts w:ascii="Arial" w:hAnsi="Arial" w:cs="Arial"/>
          <w:sz w:val="16"/>
        </w:rPr>
        <w:t xml:space="preserve">USD </w:t>
      </w:r>
      <w:r w:rsidRPr="008544A5">
        <w:rPr>
          <w:rFonts w:ascii="Arial" w:hAnsi="Arial" w:cs="Arial"/>
          <w:sz w:val="16"/>
        </w:rPr>
        <w:t>11</w:t>
      </w:r>
      <w:r w:rsidR="000807B2">
        <w:rPr>
          <w:rFonts w:ascii="Arial" w:hAnsi="Arial" w:cs="Arial"/>
          <w:sz w:val="16"/>
        </w:rPr>
        <w:t xml:space="preserve"> M</w:t>
      </w:r>
      <w:r w:rsidRPr="008544A5">
        <w:rPr>
          <w:rFonts w:ascii="Arial" w:hAnsi="Arial" w:cs="Arial"/>
          <w:sz w:val="16"/>
        </w:rPr>
        <w:t xml:space="preserve"> (2015) to </w:t>
      </w:r>
      <w:r w:rsidR="000807B2">
        <w:rPr>
          <w:rFonts w:ascii="Arial" w:hAnsi="Arial" w:cs="Arial"/>
          <w:sz w:val="16"/>
        </w:rPr>
        <w:t xml:space="preserve">USD </w:t>
      </w:r>
      <w:r w:rsidRPr="008544A5">
        <w:rPr>
          <w:rFonts w:ascii="Arial" w:hAnsi="Arial" w:cs="Arial"/>
          <w:sz w:val="16"/>
        </w:rPr>
        <w:t>16</w:t>
      </w:r>
      <w:r w:rsidR="000807B2">
        <w:rPr>
          <w:rFonts w:ascii="Arial" w:hAnsi="Arial" w:cs="Arial"/>
          <w:sz w:val="16"/>
        </w:rPr>
        <w:t xml:space="preserve"> M</w:t>
      </w:r>
      <w:r w:rsidRPr="008544A5">
        <w:rPr>
          <w:rFonts w:ascii="Arial" w:hAnsi="Arial" w:cs="Arial"/>
          <w:sz w:val="16"/>
        </w:rPr>
        <w:t xml:space="preserve"> (2016).</w:t>
      </w:r>
      <w:r w:rsidR="00074B8A">
        <w:rPr>
          <w:rFonts w:ascii="Arial" w:hAnsi="Arial" w:cs="Arial"/>
          <w:sz w:val="16"/>
        </w:rPr>
        <w:t xml:space="preserve"> </w:t>
      </w:r>
      <w:r w:rsidRPr="003E62FC">
        <w:rPr>
          <w:rFonts w:ascii="Arial" w:hAnsi="Arial" w:cs="Arial"/>
          <w:sz w:val="16"/>
        </w:rPr>
        <w:t xml:space="preserve">Sources: </w:t>
      </w:r>
      <w:r w:rsidR="00012C5C" w:rsidRPr="008544A5">
        <w:rPr>
          <w:rFonts w:ascii="Arial" w:hAnsi="Arial" w:cs="Arial"/>
          <w:sz w:val="16"/>
        </w:rPr>
        <w:t xml:space="preserve">Domestic: </w:t>
      </w:r>
      <w:r w:rsidR="00012C5C">
        <w:rPr>
          <w:rFonts w:ascii="Arial" w:hAnsi="Arial" w:cs="Arial"/>
          <w:sz w:val="16"/>
        </w:rPr>
        <w:t>Global Fund (2018). National</w:t>
      </w:r>
      <w:r w:rsidR="00012C5C" w:rsidRPr="008544A5">
        <w:rPr>
          <w:rFonts w:ascii="Arial" w:hAnsi="Arial" w:cs="Arial"/>
          <w:sz w:val="16"/>
        </w:rPr>
        <w:t xml:space="preserve"> Funding Landscape Analysis</w:t>
      </w:r>
      <w:r w:rsidR="00012C5C">
        <w:rPr>
          <w:rFonts w:ascii="Arial" w:hAnsi="Arial" w:cs="Arial"/>
          <w:sz w:val="16"/>
        </w:rPr>
        <w:t xml:space="preserve">. </w:t>
      </w:r>
      <w:r w:rsidR="00012C5C" w:rsidRPr="008544A5">
        <w:rPr>
          <w:rFonts w:ascii="Arial" w:hAnsi="Arial" w:cs="Arial"/>
          <w:sz w:val="16"/>
        </w:rPr>
        <w:t xml:space="preserve">PEPFAR: </w:t>
      </w:r>
      <w:r w:rsidR="00012C5C">
        <w:rPr>
          <w:rFonts w:ascii="Arial" w:hAnsi="Arial" w:cs="Arial"/>
          <w:sz w:val="16"/>
        </w:rPr>
        <w:t xml:space="preserve">PEPFAR (2018). </w:t>
      </w:r>
      <w:r w:rsidR="00012C5C" w:rsidRPr="008544A5">
        <w:rPr>
          <w:rFonts w:ascii="Arial" w:hAnsi="Arial" w:cs="Arial"/>
          <w:sz w:val="16"/>
        </w:rPr>
        <w:t>PEPFAR Expenditure Report</w:t>
      </w:r>
      <w:r w:rsidR="00012C5C">
        <w:rPr>
          <w:rFonts w:ascii="Arial" w:hAnsi="Arial" w:cs="Arial"/>
          <w:sz w:val="16"/>
        </w:rPr>
        <w:t xml:space="preserve"> 2017</w:t>
      </w:r>
      <w:r w:rsidR="00012C5C" w:rsidRPr="008544A5">
        <w:rPr>
          <w:rFonts w:ascii="Arial" w:hAnsi="Arial" w:cs="Arial"/>
          <w:sz w:val="16"/>
        </w:rPr>
        <w:t>; Global Fund:</w:t>
      </w:r>
      <w:r w:rsidR="00012C5C">
        <w:rPr>
          <w:rFonts w:ascii="Arial" w:hAnsi="Arial" w:cs="Arial"/>
          <w:sz w:val="16"/>
        </w:rPr>
        <w:t xml:space="preserve"> Global Fund (2018).</w:t>
      </w:r>
      <w:r w:rsidR="00012C5C" w:rsidRPr="008544A5">
        <w:rPr>
          <w:rFonts w:ascii="Arial" w:hAnsi="Arial" w:cs="Arial"/>
          <w:sz w:val="16"/>
        </w:rPr>
        <w:t xml:space="preserve"> Global Fund Expenditure Report </w:t>
      </w:r>
      <w:r w:rsidR="00012C5C">
        <w:rPr>
          <w:rFonts w:ascii="Arial" w:hAnsi="Arial" w:cs="Arial"/>
          <w:sz w:val="16"/>
        </w:rPr>
        <w:t>2017.</w:t>
      </w:r>
      <w:r w:rsidR="00012C5C" w:rsidRPr="008544A5">
        <w:rPr>
          <w:rFonts w:ascii="Arial" w:hAnsi="Arial" w:cs="Arial"/>
          <w:sz w:val="16"/>
        </w:rPr>
        <w:t xml:space="preserve"> Tanzania HIV Expenditure; Other external funders: </w:t>
      </w:r>
      <w:r w:rsidR="00012C5C">
        <w:rPr>
          <w:rFonts w:ascii="Arial" w:hAnsi="Arial" w:cs="Arial"/>
          <w:sz w:val="16"/>
        </w:rPr>
        <w:t>Global Fund (2018). National</w:t>
      </w:r>
      <w:r w:rsidR="00012C5C" w:rsidRPr="008544A5">
        <w:rPr>
          <w:rFonts w:ascii="Arial" w:hAnsi="Arial" w:cs="Arial"/>
          <w:sz w:val="16"/>
        </w:rPr>
        <w:t xml:space="preserve"> Funding Landscape Analysis</w:t>
      </w:r>
    </w:p>
    <w:p w14:paraId="799CA1CC" w14:textId="77777777" w:rsidR="00116BDF" w:rsidRDefault="00116BDF" w:rsidP="00012C5C">
      <w:pPr>
        <w:spacing w:after="0"/>
      </w:pPr>
    </w:p>
    <w:p w14:paraId="4B1C3290" w14:textId="13994299" w:rsidR="007E44DE" w:rsidRDefault="004424CD" w:rsidP="002B3153">
      <w:pPr>
        <w:pStyle w:val="Heading3"/>
        <w:spacing w:before="0"/>
        <w:rPr>
          <w:rFonts w:ascii="Arial" w:hAnsi="Arial" w:cs="Arial"/>
          <w:i/>
          <w:color w:val="000000" w:themeColor="text1"/>
        </w:rPr>
      </w:pPr>
      <w:bookmarkStart w:id="51" w:name="_Toc57035148"/>
      <w:r w:rsidRPr="00E73709">
        <w:rPr>
          <w:rFonts w:ascii="Arial" w:hAnsi="Arial" w:cs="Arial"/>
          <w:i/>
          <w:color w:val="000000" w:themeColor="text1"/>
        </w:rPr>
        <w:t>Funding by program component</w:t>
      </w:r>
      <w:bookmarkEnd w:id="51"/>
    </w:p>
    <w:p w14:paraId="24DA2F72" w14:textId="07609C31" w:rsidR="00E73709" w:rsidRDefault="00E73709" w:rsidP="00B61AA0">
      <w:pPr>
        <w:spacing w:after="0"/>
      </w:pPr>
    </w:p>
    <w:p w14:paraId="220E9A47" w14:textId="2D76B822" w:rsidR="00386C4D" w:rsidRPr="00E91765" w:rsidRDefault="00E73709" w:rsidP="00E91765">
      <w:pPr>
        <w:rPr>
          <w:rFonts w:ascii="Arial" w:hAnsi="Arial" w:cs="Arial"/>
        </w:rPr>
      </w:pPr>
      <w:r>
        <w:rPr>
          <w:rFonts w:ascii="Arial" w:hAnsi="Arial" w:cs="Arial"/>
        </w:rPr>
        <w:t xml:space="preserve">Treatment, care, and support </w:t>
      </w:r>
      <w:r w:rsidR="004B72FF">
        <w:rPr>
          <w:rFonts w:ascii="Arial" w:hAnsi="Arial" w:cs="Arial"/>
        </w:rPr>
        <w:t xml:space="preserve">in 2017 accounted for </w:t>
      </w:r>
      <w:r w:rsidR="0091219D">
        <w:rPr>
          <w:rFonts w:ascii="Arial" w:hAnsi="Arial" w:cs="Arial"/>
        </w:rPr>
        <w:t>about 50% of the total program costs.</w:t>
      </w:r>
      <w:r w:rsidR="004920F1">
        <w:rPr>
          <w:rFonts w:ascii="Arial" w:hAnsi="Arial" w:cs="Arial"/>
        </w:rPr>
        <w:t xml:space="preserve"> HIV testing and counseling represented </w:t>
      </w:r>
      <w:r w:rsidR="00B63AD1">
        <w:rPr>
          <w:rFonts w:ascii="Arial" w:hAnsi="Arial" w:cs="Arial"/>
        </w:rPr>
        <w:t>4</w:t>
      </w:r>
      <w:r w:rsidR="004920F1">
        <w:rPr>
          <w:rFonts w:ascii="Arial" w:hAnsi="Arial" w:cs="Arial"/>
        </w:rPr>
        <w:t xml:space="preserve">% of costs. </w:t>
      </w:r>
      <w:r w:rsidR="00B63AD1">
        <w:rPr>
          <w:rFonts w:ascii="Arial" w:hAnsi="Arial" w:cs="Arial"/>
        </w:rPr>
        <w:t>SBCC</w:t>
      </w:r>
      <w:r w:rsidR="004920F1">
        <w:rPr>
          <w:rFonts w:ascii="Arial" w:hAnsi="Arial" w:cs="Arial"/>
        </w:rPr>
        <w:t xml:space="preserve"> was the largest prevention intervention </w:t>
      </w:r>
      <w:r w:rsidR="004B72FF">
        <w:rPr>
          <w:rFonts w:ascii="Arial" w:hAnsi="Arial" w:cs="Arial"/>
        </w:rPr>
        <w:t xml:space="preserve">absorbing </w:t>
      </w:r>
      <w:r w:rsidR="00B63AD1">
        <w:rPr>
          <w:rFonts w:ascii="Arial" w:hAnsi="Arial" w:cs="Arial"/>
        </w:rPr>
        <w:t>6</w:t>
      </w:r>
      <w:r w:rsidR="004920F1">
        <w:rPr>
          <w:rFonts w:ascii="Arial" w:hAnsi="Arial" w:cs="Arial"/>
        </w:rPr>
        <w:t>% of costs</w:t>
      </w:r>
      <w:r w:rsidR="00B63AD1">
        <w:rPr>
          <w:rFonts w:ascii="Arial" w:hAnsi="Arial" w:cs="Arial"/>
        </w:rPr>
        <w:t xml:space="preserve"> while VMMC absorbed 5% and condoms less than 1%</w:t>
      </w:r>
      <w:r w:rsidR="00C2310E">
        <w:rPr>
          <w:rFonts w:ascii="Arial" w:hAnsi="Arial" w:cs="Arial"/>
        </w:rPr>
        <w:t>. The category of SBCC and prevention for the general population may include some HIV testing and counseling activities based on the classifications used in the expenditure reports referenced</w:t>
      </w:r>
      <w:r w:rsidR="00B63AD1">
        <w:rPr>
          <w:rFonts w:ascii="Arial" w:hAnsi="Arial" w:cs="Arial"/>
        </w:rPr>
        <w:t xml:space="preserve"> </w:t>
      </w:r>
      <w:r w:rsidR="004920F1">
        <w:rPr>
          <w:rFonts w:ascii="Arial" w:hAnsi="Arial" w:cs="Arial"/>
        </w:rPr>
        <w:t>. Program management and activities supporting the enabling environment and health systems strengthening accounted for more than a quarter of total expenditure in this year.</w:t>
      </w:r>
    </w:p>
    <w:p w14:paraId="5575B038" w14:textId="77777777" w:rsidR="00C00118" w:rsidRDefault="00C00118" w:rsidP="0037029C">
      <w:pPr>
        <w:shd w:val="clear" w:color="auto" w:fill="FFFFFF"/>
        <w:spacing w:after="0" w:line="240" w:lineRule="auto"/>
        <w:rPr>
          <w:rFonts w:ascii="Arial" w:eastAsia="Times New Roman" w:hAnsi="Arial" w:cs="Arial"/>
          <w:i/>
          <w:color w:val="222222"/>
          <w:sz w:val="18"/>
          <w:szCs w:val="24"/>
        </w:rPr>
      </w:pPr>
    </w:p>
    <w:p w14:paraId="39D8D181" w14:textId="075EA892" w:rsidR="0037029C" w:rsidRPr="0037029C" w:rsidRDefault="00C86D0D" w:rsidP="0037029C">
      <w:pPr>
        <w:shd w:val="clear" w:color="auto" w:fill="FFFFFF"/>
        <w:spacing w:after="0" w:line="240" w:lineRule="auto"/>
        <w:rPr>
          <w:rFonts w:ascii="Arial" w:eastAsia="Times New Roman" w:hAnsi="Arial" w:cs="Arial"/>
          <w:color w:val="222222"/>
          <w:sz w:val="24"/>
          <w:szCs w:val="24"/>
        </w:rPr>
      </w:pPr>
      <w:r w:rsidRPr="00B61AA0">
        <w:rPr>
          <w:rFonts w:ascii="Arial" w:eastAsia="Times New Roman" w:hAnsi="Arial" w:cs="Arial"/>
          <w:i/>
          <w:color w:val="222222"/>
          <w:sz w:val="18"/>
          <w:szCs w:val="24"/>
        </w:rPr>
        <w:t>Figure</w:t>
      </w:r>
      <w:r w:rsidR="00D5288C" w:rsidRPr="00B61AA0">
        <w:rPr>
          <w:rFonts w:ascii="Arial" w:eastAsia="Times New Roman" w:hAnsi="Arial" w:cs="Arial"/>
          <w:i/>
          <w:color w:val="222222"/>
          <w:sz w:val="18"/>
          <w:szCs w:val="24"/>
        </w:rPr>
        <w:t xml:space="preserve"> 2-1</w:t>
      </w:r>
      <w:r w:rsidR="00BD2E89">
        <w:rPr>
          <w:rFonts w:ascii="Arial" w:eastAsia="Times New Roman" w:hAnsi="Arial" w:cs="Arial"/>
          <w:i/>
          <w:color w:val="222222"/>
          <w:sz w:val="18"/>
          <w:szCs w:val="24"/>
        </w:rPr>
        <w:t>1</w:t>
      </w:r>
      <w:r w:rsidR="00B61AA0" w:rsidRPr="00B61AA0">
        <w:rPr>
          <w:rFonts w:ascii="Arial" w:eastAsia="Times New Roman" w:hAnsi="Arial" w:cs="Arial"/>
          <w:i/>
          <w:color w:val="222222"/>
          <w:sz w:val="18"/>
          <w:szCs w:val="24"/>
        </w:rPr>
        <w:t xml:space="preserve">. </w:t>
      </w:r>
      <w:r w:rsidR="003F268C" w:rsidRPr="00B61AA0">
        <w:rPr>
          <w:rFonts w:ascii="Arial" w:eastAsia="Times New Roman" w:hAnsi="Arial" w:cs="Arial"/>
          <w:i/>
          <w:color w:val="222222"/>
          <w:sz w:val="18"/>
          <w:szCs w:val="24"/>
        </w:rPr>
        <w:t>Funding by</w:t>
      </w:r>
      <w:r w:rsidR="004920F1" w:rsidRPr="00B61AA0">
        <w:rPr>
          <w:rFonts w:ascii="Arial" w:eastAsia="Times New Roman" w:hAnsi="Arial" w:cs="Arial"/>
          <w:i/>
          <w:color w:val="222222"/>
          <w:sz w:val="18"/>
          <w:szCs w:val="24"/>
        </w:rPr>
        <w:t xml:space="preserve"> HIV program</w:t>
      </w:r>
      <w:r w:rsidR="003F268C" w:rsidRPr="00B61AA0">
        <w:rPr>
          <w:rFonts w:ascii="Arial" w:eastAsia="Times New Roman" w:hAnsi="Arial" w:cs="Arial"/>
          <w:i/>
          <w:color w:val="222222"/>
          <w:sz w:val="18"/>
          <w:szCs w:val="24"/>
        </w:rPr>
        <w:t xml:space="preserve"> component</w:t>
      </w:r>
      <w:r w:rsidR="0091219D" w:rsidRPr="00B61AA0">
        <w:rPr>
          <w:rFonts w:ascii="Arial" w:eastAsia="Times New Roman" w:hAnsi="Arial" w:cs="Arial"/>
          <w:i/>
          <w:color w:val="222222"/>
          <w:sz w:val="18"/>
          <w:szCs w:val="24"/>
        </w:rPr>
        <w:t xml:space="preserve">, </w:t>
      </w:r>
      <w:r w:rsidR="004920F1" w:rsidRPr="00B61AA0">
        <w:rPr>
          <w:rFonts w:ascii="Arial" w:eastAsia="Times New Roman" w:hAnsi="Arial" w:cs="Arial"/>
          <w:i/>
          <w:color w:val="222222"/>
          <w:sz w:val="18"/>
          <w:szCs w:val="24"/>
        </w:rPr>
        <w:t xml:space="preserve">total expenditure </w:t>
      </w:r>
      <w:r w:rsidR="0091219D" w:rsidRPr="00B61AA0">
        <w:rPr>
          <w:rFonts w:ascii="Arial" w:eastAsia="Times New Roman" w:hAnsi="Arial" w:cs="Arial"/>
          <w:i/>
          <w:color w:val="222222"/>
          <w:sz w:val="18"/>
          <w:szCs w:val="24"/>
        </w:rPr>
        <w:t>2017</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685"/>
        <w:gridCol w:w="2340"/>
        <w:gridCol w:w="3325"/>
      </w:tblGrid>
      <w:tr w:rsidR="0037029C" w:rsidRPr="00C2310E" w14:paraId="22740636" w14:textId="4D147D4A" w:rsidTr="00276364">
        <w:trPr>
          <w:trHeight w:val="258"/>
        </w:trPr>
        <w:tc>
          <w:tcPr>
            <w:tcW w:w="3685" w:type="dxa"/>
            <w:shd w:val="clear" w:color="auto" w:fill="C00000"/>
            <w:noWrap/>
            <w:tcMar>
              <w:top w:w="0" w:type="dxa"/>
              <w:left w:w="108" w:type="dxa"/>
              <w:bottom w:w="0" w:type="dxa"/>
              <w:right w:w="108" w:type="dxa"/>
            </w:tcMar>
            <w:vAlign w:val="bottom"/>
            <w:hideMark/>
          </w:tcPr>
          <w:p w14:paraId="4DEA0932" w14:textId="77777777" w:rsidR="0037029C" w:rsidRPr="00C2310E" w:rsidRDefault="0037029C" w:rsidP="0037029C">
            <w:pPr>
              <w:spacing w:after="0" w:line="240" w:lineRule="auto"/>
              <w:rPr>
                <w:rFonts w:ascii="Arial" w:eastAsia="Times New Roman" w:hAnsi="Arial" w:cs="Arial"/>
                <w:color w:val="FFFFFF" w:themeColor="background1"/>
                <w:sz w:val="18"/>
                <w:szCs w:val="24"/>
              </w:rPr>
            </w:pPr>
            <w:r w:rsidRPr="00C2310E">
              <w:rPr>
                <w:rFonts w:ascii="Arial" w:eastAsia="Times New Roman" w:hAnsi="Arial" w:cs="Arial"/>
                <w:b/>
                <w:bCs/>
                <w:color w:val="FFFFFF" w:themeColor="background1"/>
                <w:sz w:val="18"/>
              </w:rPr>
              <w:t>Interventions</w:t>
            </w:r>
          </w:p>
        </w:tc>
        <w:tc>
          <w:tcPr>
            <w:tcW w:w="2340" w:type="dxa"/>
            <w:shd w:val="clear" w:color="auto" w:fill="C00000"/>
            <w:noWrap/>
            <w:tcMar>
              <w:top w:w="0" w:type="dxa"/>
              <w:left w:w="108" w:type="dxa"/>
              <w:bottom w:w="0" w:type="dxa"/>
              <w:right w:w="108" w:type="dxa"/>
            </w:tcMar>
            <w:vAlign w:val="bottom"/>
            <w:hideMark/>
          </w:tcPr>
          <w:p w14:paraId="266F9A02" w14:textId="1EC88259" w:rsidR="0037029C" w:rsidRPr="00C2310E" w:rsidRDefault="0091219D" w:rsidP="0037029C">
            <w:pPr>
              <w:spacing w:after="0" w:line="240" w:lineRule="auto"/>
              <w:rPr>
                <w:rFonts w:ascii="Arial" w:eastAsia="Times New Roman" w:hAnsi="Arial" w:cs="Arial"/>
                <w:b/>
                <w:color w:val="FFFFFF" w:themeColor="background1"/>
                <w:sz w:val="18"/>
                <w:szCs w:val="24"/>
              </w:rPr>
            </w:pPr>
            <w:r w:rsidRPr="00C2310E">
              <w:rPr>
                <w:rFonts w:ascii="Arial" w:eastAsia="Times New Roman" w:hAnsi="Arial" w:cs="Arial"/>
                <w:b/>
                <w:color w:val="FFFFFF" w:themeColor="background1"/>
                <w:sz w:val="18"/>
                <w:szCs w:val="24"/>
              </w:rPr>
              <w:t>Total USD</w:t>
            </w:r>
          </w:p>
        </w:tc>
        <w:tc>
          <w:tcPr>
            <w:tcW w:w="3325" w:type="dxa"/>
            <w:shd w:val="clear" w:color="auto" w:fill="C00000"/>
          </w:tcPr>
          <w:p w14:paraId="26175EBE" w14:textId="1A67F2A2" w:rsidR="0037029C" w:rsidRPr="00C2310E" w:rsidRDefault="0037029C" w:rsidP="002E0189">
            <w:pPr>
              <w:spacing w:after="0" w:line="240" w:lineRule="auto"/>
              <w:ind w:left="174"/>
              <w:rPr>
                <w:rFonts w:ascii="Arial" w:eastAsia="Times New Roman" w:hAnsi="Arial" w:cs="Arial"/>
                <w:b/>
                <w:bCs/>
                <w:color w:val="FFFFFF" w:themeColor="background1"/>
                <w:sz w:val="18"/>
              </w:rPr>
            </w:pPr>
            <w:r w:rsidRPr="00C2310E">
              <w:rPr>
                <w:rFonts w:ascii="Arial" w:eastAsia="Times New Roman" w:hAnsi="Arial" w:cs="Arial"/>
                <w:b/>
                <w:bCs/>
                <w:color w:val="FFFFFF" w:themeColor="background1"/>
                <w:sz w:val="18"/>
              </w:rPr>
              <w:t>% of Funding</w:t>
            </w:r>
          </w:p>
        </w:tc>
      </w:tr>
      <w:tr w:rsidR="00B63AD1" w:rsidRPr="00C2310E" w14:paraId="191D3CC2" w14:textId="699A7736" w:rsidTr="002E0189">
        <w:trPr>
          <w:trHeight w:val="248"/>
        </w:trPr>
        <w:tc>
          <w:tcPr>
            <w:tcW w:w="3685" w:type="dxa"/>
            <w:shd w:val="clear" w:color="auto" w:fill="FFFFFF"/>
            <w:noWrap/>
            <w:tcMar>
              <w:top w:w="0" w:type="dxa"/>
              <w:left w:w="108" w:type="dxa"/>
              <w:bottom w:w="0" w:type="dxa"/>
              <w:right w:w="108" w:type="dxa"/>
            </w:tcMar>
            <w:vAlign w:val="bottom"/>
            <w:hideMark/>
          </w:tcPr>
          <w:p w14:paraId="581F0408" w14:textId="4F43560B"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Treatment, care, and support</w:t>
            </w:r>
          </w:p>
        </w:tc>
        <w:tc>
          <w:tcPr>
            <w:tcW w:w="2340" w:type="dxa"/>
            <w:shd w:val="clear" w:color="auto" w:fill="FFFFFF"/>
            <w:noWrap/>
            <w:tcMar>
              <w:top w:w="0" w:type="dxa"/>
              <w:left w:w="108" w:type="dxa"/>
              <w:bottom w:w="0" w:type="dxa"/>
              <w:right w:w="108" w:type="dxa"/>
            </w:tcMar>
            <w:hideMark/>
          </w:tcPr>
          <w:p w14:paraId="38EA8C83" w14:textId="3E82AD58"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307,468,825 </w:t>
            </w:r>
          </w:p>
        </w:tc>
        <w:tc>
          <w:tcPr>
            <w:tcW w:w="3325" w:type="dxa"/>
            <w:shd w:val="clear" w:color="auto" w:fill="FFFFFF"/>
          </w:tcPr>
          <w:p w14:paraId="65DC4ACD" w14:textId="3640DD44"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50%</w:t>
            </w:r>
          </w:p>
        </w:tc>
      </w:tr>
      <w:tr w:rsidR="00B63AD1" w:rsidRPr="00C2310E" w14:paraId="61985890" w14:textId="4F2E81CC" w:rsidTr="002E0189">
        <w:trPr>
          <w:trHeight w:val="248"/>
        </w:trPr>
        <w:tc>
          <w:tcPr>
            <w:tcW w:w="3685" w:type="dxa"/>
            <w:shd w:val="clear" w:color="auto" w:fill="FFFFFF"/>
            <w:noWrap/>
            <w:tcMar>
              <w:top w:w="0" w:type="dxa"/>
              <w:left w:w="108" w:type="dxa"/>
              <w:bottom w:w="0" w:type="dxa"/>
              <w:right w:w="108" w:type="dxa"/>
            </w:tcMar>
            <w:vAlign w:val="bottom"/>
            <w:hideMark/>
          </w:tcPr>
          <w:p w14:paraId="11B096AD" w14:textId="77777777"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HIV / TB</w:t>
            </w:r>
          </w:p>
        </w:tc>
        <w:tc>
          <w:tcPr>
            <w:tcW w:w="2340" w:type="dxa"/>
            <w:shd w:val="clear" w:color="auto" w:fill="FFFFFF"/>
            <w:noWrap/>
            <w:tcMar>
              <w:top w:w="0" w:type="dxa"/>
              <w:left w:w="108" w:type="dxa"/>
              <w:bottom w:w="0" w:type="dxa"/>
              <w:right w:w="108" w:type="dxa"/>
            </w:tcMar>
            <w:hideMark/>
          </w:tcPr>
          <w:p w14:paraId="3E91272A" w14:textId="71753A70"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725,361 </w:t>
            </w:r>
          </w:p>
        </w:tc>
        <w:tc>
          <w:tcPr>
            <w:tcW w:w="3325" w:type="dxa"/>
            <w:shd w:val="clear" w:color="auto" w:fill="FFFFFF"/>
          </w:tcPr>
          <w:p w14:paraId="46365B75" w14:textId="394FD87E"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&lt;1%</w:t>
            </w:r>
          </w:p>
        </w:tc>
      </w:tr>
      <w:tr w:rsidR="00B63AD1" w:rsidRPr="00C2310E" w14:paraId="6204BB00" w14:textId="2E5F6402" w:rsidTr="002E0189">
        <w:trPr>
          <w:trHeight w:val="248"/>
        </w:trPr>
        <w:tc>
          <w:tcPr>
            <w:tcW w:w="3685" w:type="dxa"/>
            <w:shd w:val="clear" w:color="auto" w:fill="FFFFFF"/>
            <w:noWrap/>
            <w:tcMar>
              <w:top w:w="0" w:type="dxa"/>
              <w:left w:w="108" w:type="dxa"/>
              <w:bottom w:w="0" w:type="dxa"/>
              <w:right w:w="108" w:type="dxa"/>
            </w:tcMar>
            <w:vAlign w:val="bottom"/>
            <w:hideMark/>
          </w:tcPr>
          <w:p w14:paraId="2C8A7224" w14:textId="432CAFCC"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HIV testing and counseling</w:t>
            </w:r>
          </w:p>
        </w:tc>
        <w:tc>
          <w:tcPr>
            <w:tcW w:w="2340" w:type="dxa"/>
            <w:shd w:val="clear" w:color="auto" w:fill="FFFFFF"/>
            <w:noWrap/>
            <w:tcMar>
              <w:top w:w="0" w:type="dxa"/>
              <w:left w:w="108" w:type="dxa"/>
              <w:bottom w:w="0" w:type="dxa"/>
              <w:right w:w="108" w:type="dxa"/>
            </w:tcMar>
            <w:hideMark/>
          </w:tcPr>
          <w:p w14:paraId="5649A326" w14:textId="473132B7"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21,645,287 </w:t>
            </w:r>
          </w:p>
        </w:tc>
        <w:tc>
          <w:tcPr>
            <w:tcW w:w="3325" w:type="dxa"/>
            <w:shd w:val="clear" w:color="auto" w:fill="FFFFFF"/>
          </w:tcPr>
          <w:p w14:paraId="1C8C65AA" w14:textId="45736142"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4%</w:t>
            </w:r>
          </w:p>
        </w:tc>
      </w:tr>
      <w:tr w:rsidR="00B63AD1" w:rsidRPr="00C2310E" w14:paraId="2DE48A9B" w14:textId="5E047FDC" w:rsidTr="002E0189">
        <w:trPr>
          <w:trHeight w:val="248"/>
        </w:trPr>
        <w:tc>
          <w:tcPr>
            <w:tcW w:w="3685" w:type="dxa"/>
            <w:shd w:val="clear" w:color="auto" w:fill="FFFFFF" w:themeFill="background1"/>
            <w:noWrap/>
            <w:tcMar>
              <w:top w:w="0" w:type="dxa"/>
              <w:left w:w="108" w:type="dxa"/>
              <w:bottom w:w="0" w:type="dxa"/>
              <w:right w:w="108" w:type="dxa"/>
            </w:tcMar>
            <w:vAlign w:val="bottom"/>
            <w:hideMark/>
          </w:tcPr>
          <w:p w14:paraId="0B91CAC5" w14:textId="77777777"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AGYW</w:t>
            </w:r>
          </w:p>
        </w:tc>
        <w:tc>
          <w:tcPr>
            <w:tcW w:w="2340" w:type="dxa"/>
            <w:shd w:val="clear" w:color="auto" w:fill="FFFFFF"/>
            <w:noWrap/>
            <w:tcMar>
              <w:top w:w="0" w:type="dxa"/>
              <w:left w:w="108" w:type="dxa"/>
              <w:bottom w:w="0" w:type="dxa"/>
              <w:right w:w="108" w:type="dxa"/>
            </w:tcMar>
            <w:hideMark/>
          </w:tcPr>
          <w:p w14:paraId="731CAB4C" w14:textId="76670574"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20,147,845 </w:t>
            </w:r>
          </w:p>
        </w:tc>
        <w:tc>
          <w:tcPr>
            <w:tcW w:w="3325" w:type="dxa"/>
            <w:shd w:val="clear" w:color="auto" w:fill="FFFFFF"/>
          </w:tcPr>
          <w:p w14:paraId="6DA9FE20" w14:textId="6949233B"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3%</w:t>
            </w:r>
          </w:p>
        </w:tc>
      </w:tr>
      <w:tr w:rsidR="00B63AD1" w:rsidRPr="00C2310E" w14:paraId="188D48A5" w14:textId="2D86FE59" w:rsidTr="002E0189">
        <w:trPr>
          <w:trHeight w:val="258"/>
        </w:trPr>
        <w:tc>
          <w:tcPr>
            <w:tcW w:w="3685" w:type="dxa"/>
            <w:shd w:val="clear" w:color="auto" w:fill="FFFFFF" w:themeFill="background1"/>
            <w:noWrap/>
            <w:tcMar>
              <w:top w:w="0" w:type="dxa"/>
              <w:left w:w="108" w:type="dxa"/>
              <w:bottom w:w="0" w:type="dxa"/>
              <w:right w:w="108" w:type="dxa"/>
            </w:tcMar>
            <w:vAlign w:val="bottom"/>
            <w:hideMark/>
          </w:tcPr>
          <w:p w14:paraId="33A629DC" w14:textId="77777777"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Key populations</w:t>
            </w:r>
          </w:p>
        </w:tc>
        <w:tc>
          <w:tcPr>
            <w:tcW w:w="2340" w:type="dxa"/>
            <w:shd w:val="clear" w:color="auto" w:fill="FFFFFF"/>
            <w:noWrap/>
            <w:tcMar>
              <w:top w:w="0" w:type="dxa"/>
              <w:left w:w="108" w:type="dxa"/>
              <w:bottom w:w="0" w:type="dxa"/>
              <w:right w:w="108" w:type="dxa"/>
            </w:tcMar>
            <w:hideMark/>
          </w:tcPr>
          <w:p w14:paraId="08A0B6B1" w14:textId="35D98472"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3,911,435 </w:t>
            </w:r>
          </w:p>
        </w:tc>
        <w:tc>
          <w:tcPr>
            <w:tcW w:w="3325" w:type="dxa"/>
            <w:shd w:val="clear" w:color="auto" w:fill="FFFFFF"/>
          </w:tcPr>
          <w:p w14:paraId="2ED86563" w14:textId="74BAE679"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1%</w:t>
            </w:r>
          </w:p>
        </w:tc>
      </w:tr>
      <w:tr w:rsidR="00B63AD1" w:rsidRPr="00C2310E" w14:paraId="5051219A" w14:textId="3EB664A0" w:rsidTr="002E0189">
        <w:trPr>
          <w:trHeight w:val="258"/>
        </w:trPr>
        <w:tc>
          <w:tcPr>
            <w:tcW w:w="3685" w:type="dxa"/>
            <w:shd w:val="clear" w:color="auto" w:fill="FFFFFF" w:themeFill="background1"/>
            <w:noWrap/>
            <w:tcMar>
              <w:top w:w="0" w:type="dxa"/>
              <w:left w:w="108" w:type="dxa"/>
              <w:bottom w:w="0" w:type="dxa"/>
              <w:right w:w="108" w:type="dxa"/>
            </w:tcMar>
            <w:vAlign w:val="bottom"/>
            <w:hideMark/>
          </w:tcPr>
          <w:p w14:paraId="7F289916" w14:textId="348C2D1A"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SBCC / prevention for general population</w:t>
            </w:r>
          </w:p>
        </w:tc>
        <w:tc>
          <w:tcPr>
            <w:tcW w:w="2340" w:type="dxa"/>
            <w:shd w:val="clear" w:color="auto" w:fill="FFFFFF"/>
            <w:noWrap/>
            <w:tcMar>
              <w:top w:w="0" w:type="dxa"/>
              <w:left w:w="108" w:type="dxa"/>
              <w:bottom w:w="0" w:type="dxa"/>
              <w:right w:w="108" w:type="dxa"/>
            </w:tcMar>
            <w:hideMark/>
          </w:tcPr>
          <w:p w14:paraId="5385D535" w14:textId="4128A0B9"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35,834,420 </w:t>
            </w:r>
          </w:p>
        </w:tc>
        <w:tc>
          <w:tcPr>
            <w:tcW w:w="3325" w:type="dxa"/>
            <w:shd w:val="clear" w:color="auto" w:fill="FFFFFF"/>
          </w:tcPr>
          <w:p w14:paraId="763F29E9" w14:textId="4EAAC148"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6%</w:t>
            </w:r>
          </w:p>
        </w:tc>
      </w:tr>
      <w:tr w:rsidR="00B63AD1" w:rsidRPr="00C2310E" w14:paraId="7C41FBAE" w14:textId="7037BD0A" w:rsidTr="002E0189">
        <w:trPr>
          <w:trHeight w:val="258"/>
        </w:trPr>
        <w:tc>
          <w:tcPr>
            <w:tcW w:w="3685" w:type="dxa"/>
            <w:shd w:val="clear" w:color="auto" w:fill="FFFFFF" w:themeFill="background1"/>
            <w:noWrap/>
            <w:tcMar>
              <w:top w:w="0" w:type="dxa"/>
              <w:left w:w="108" w:type="dxa"/>
              <w:bottom w:w="0" w:type="dxa"/>
              <w:right w:w="108" w:type="dxa"/>
            </w:tcMar>
            <w:vAlign w:val="bottom"/>
            <w:hideMark/>
          </w:tcPr>
          <w:p w14:paraId="5382F87F" w14:textId="77777777"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Condoms</w:t>
            </w:r>
          </w:p>
        </w:tc>
        <w:tc>
          <w:tcPr>
            <w:tcW w:w="2340" w:type="dxa"/>
            <w:shd w:val="clear" w:color="auto" w:fill="FFFFFF"/>
            <w:noWrap/>
            <w:tcMar>
              <w:top w:w="0" w:type="dxa"/>
              <w:left w:w="108" w:type="dxa"/>
              <w:bottom w:w="0" w:type="dxa"/>
              <w:right w:w="108" w:type="dxa"/>
            </w:tcMar>
            <w:hideMark/>
          </w:tcPr>
          <w:p w14:paraId="6283FB06" w14:textId="07C5CC77"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349,963 </w:t>
            </w:r>
          </w:p>
        </w:tc>
        <w:tc>
          <w:tcPr>
            <w:tcW w:w="3325" w:type="dxa"/>
            <w:shd w:val="clear" w:color="auto" w:fill="FFFFFF"/>
          </w:tcPr>
          <w:p w14:paraId="255C09F7" w14:textId="4A419485"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&lt;1%</w:t>
            </w:r>
          </w:p>
        </w:tc>
      </w:tr>
      <w:tr w:rsidR="00B63AD1" w:rsidRPr="00C2310E" w14:paraId="30B5A0D6" w14:textId="56F720C5" w:rsidTr="002E0189">
        <w:trPr>
          <w:trHeight w:val="248"/>
        </w:trPr>
        <w:tc>
          <w:tcPr>
            <w:tcW w:w="3685" w:type="dxa"/>
            <w:shd w:val="clear" w:color="auto" w:fill="FFFFFF" w:themeFill="background1"/>
            <w:noWrap/>
            <w:tcMar>
              <w:top w:w="0" w:type="dxa"/>
              <w:left w:w="108" w:type="dxa"/>
              <w:bottom w:w="0" w:type="dxa"/>
              <w:right w:w="108" w:type="dxa"/>
            </w:tcMar>
            <w:vAlign w:val="bottom"/>
            <w:hideMark/>
          </w:tcPr>
          <w:p w14:paraId="0A612EA3" w14:textId="77777777"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VMMC</w:t>
            </w:r>
          </w:p>
        </w:tc>
        <w:tc>
          <w:tcPr>
            <w:tcW w:w="2340" w:type="dxa"/>
            <w:shd w:val="clear" w:color="auto" w:fill="FFFFFF"/>
            <w:noWrap/>
            <w:tcMar>
              <w:top w:w="0" w:type="dxa"/>
              <w:left w:w="108" w:type="dxa"/>
              <w:bottom w:w="0" w:type="dxa"/>
              <w:right w:w="108" w:type="dxa"/>
            </w:tcMar>
            <w:hideMark/>
          </w:tcPr>
          <w:p w14:paraId="4D46D065" w14:textId="50EBA15C"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30,912,453 </w:t>
            </w:r>
          </w:p>
        </w:tc>
        <w:tc>
          <w:tcPr>
            <w:tcW w:w="3325" w:type="dxa"/>
            <w:shd w:val="clear" w:color="auto" w:fill="FFFFFF"/>
          </w:tcPr>
          <w:p w14:paraId="61B10FD0" w14:textId="7A9A279A"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5%</w:t>
            </w:r>
          </w:p>
        </w:tc>
      </w:tr>
      <w:tr w:rsidR="00B63AD1" w:rsidRPr="00C2310E" w14:paraId="1D5BAB63" w14:textId="3B2C150A" w:rsidTr="002E0189">
        <w:trPr>
          <w:trHeight w:val="258"/>
        </w:trPr>
        <w:tc>
          <w:tcPr>
            <w:tcW w:w="3685" w:type="dxa"/>
            <w:shd w:val="clear" w:color="auto" w:fill="FFFFFF" w:themeFill="background1"/>
            <w:noWrap/>
            <w:tcMar>
              <w:top w:w="0" w:type="dxa"/>
              <w:left w:w="108" w:type="dxa"/>
              <w:bottom w:w="0" w:type="dxa"/>
              <w:right w:w="108" w:type="dxa"/>
            </w:tcMar>
            <w:vAlign w:val="bottom"/>
            <w:hideMark/>
          </w:tcPr>
          <w:p w14:paraId="095ABEBB" w14:textId="77777777"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PMTCT</w:t>
            </w:r>
          </w:p>
        </w:tc>
        <w:tc>
          <w:tcPr>
            <w:tcW w:w="2340" w:type="dxa"/>
            <w:shd w:val="clear" w:color="auto" w:fill="FFFFFF"/>
            <w:noWrap/>
            <w:tcMar>
              <w:top w:w="0" w:type="dxa"/>
              <w:left w:w="108" w:type="dxa"/>
              <w:bottom w:w="0" w:type="dxa"/>
              <w:right w:w="108" w:type="dxa"/>
            </w:tcMar>
            <w:hideMark/>
          </w:tcPr>
          <w:p w14:paraId="7953C28E" w14:textId="06EE2F57"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3,163,329 </w:t>
            </w:r>
          </w:p>
        </w:tc>
        <w:tc>
          <w:tcPr>
            <w:tcW w:w="3325" w:type="dxa"/>
            <w:shd w:val="clear" w:color="auto" w:fill="FFFFFF"/>
          </w:tcPr>
          <w:p w14:paraId="252FE86B" w14:textId="7A9AE1C3"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&lt;1%</w:t>
            </w:r>
          </w:p>
        </w:tc>
      </w:tr>
      <w:tr w:rsidR="00B63AD1" w:rsidRPr="00C2310E" w14:paraId="203CCF82" w14:textId="77777777" w:rsidTr="002E0189">
        <w:trPr>
          <w:trHeight w:val="258"/>
        </w:trPr>
        <w:tc>
          <w:tcPr>
            <w:tcW w:w="3685" w:type="dxa"/>
            <w:shd w:val="clear" w:color="auto" w:fill="FFFFFF"/>
            <w:noWrap/>
            <w:tcMar>
              <w:top w:w="0" w:type="dxa"/>
              <w:left w:w="108" w:type="dxa"/>
              <w:bottom w:w="0" w:type="dxa"/>
              <w:right w:w="108" w:type="dxa"/>
            </w:tcMar>
            <w:vAlign w:val="bottom"/>
          </w:tcPr>
          <w:p w14:paraId="7B0600A8" w14:textId="7481E150" w:rsidR="00B63AD1" w:rsidRPr="00C2310E" w:rsidRDefault="00B63AD1" w:rsidP="00B63AD1">
            <w:pPr>
              <w:spacing w:after="0" w:line="240" w:lineRule="auto"/>
              <w:rPr>
                <w:rFonts w:ascii="Arial" w:eastAsia="Times New Roman" w:hAnsi="Arial" w:cs="Arial"/>
                <w:color w:val="222222"/>
                <w:sz w:val="18"/>
              </w:rPr>
            </w:pPr>
            <w:r w:rsidRPr="00C2310E">
              <w:rPr>
                <w:rFonts w:ascii="Arial" w:eastAsia="Times New Roman" w:hAnsi="Arial" w:cs="Arial"/>
                <w:color w:val="222222"/>
                <w:sz w:val="18"/>
              </w:rPr>
              <w:t>PrEP</w:t>
            </w:r>
          </w:p>
        </w:tc>
        <w:tc>
          <w:tcPr>
            <w:tcW w:w="2340" w:type="dxa"/>
            <w:shd w:val="clear" w:color="auto" w:fill="FFFFFF" w:themeFill="background1"/>
            <w:noWrap/>
            <w:tcMar>
              <w:top w:w="0" w:type="dxa"/>
              <w:left w:w="108" w:type="dxa"/>
              <w:bottom w:w="0" w:type="dxa"/>
              <w:right w:w="108" w:type="dxa"/>
            </w:tcMar>
          </w:tcPr>
          <w:p w14:paraId="30542332" w14:textId="22D3E8C8"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   </w:t>
            </w:r>
          </w:p>
        </w:tc>
        <w:tc>
          <w:tcPr>
            <w:tcW w:w="3325" w:type="dxa"/>
            <w:shd w:val="clear" w:color="auto" w:fill="FFFFFF" w:themeFill="background1"/>
          </w:tcPr>
          <w:p w14:paraId="26D6F9E0" w14:textId="36960CB6" w:rsidR="00B63AD1" w:rsidRPr="002E0189" w:rsidRDefault="00B63AD1" w:rsidP="002E0189">
            <w:pPr>
              <w:spacing w:after="0" w:line="240" w:lineRule="auto"/>
              <w:ind w:left="174"/>
              <w:rPr>
                <w:rFonts w:ascii="Arial" w:hAnsi="Arial" w:cs="Arial"/>
                <w:sz w:val="18"/>
                <w:szCs w:val="18"/>
              </w:rPr>
            </w:pPr>
            <w:r w:rsidRPr="002E0189">
              <w:rPr>
                <w:rFonts w:ascii="Arial" w:hAnsi="Arial" w:cs="Arial"/>
                <w:sz w:val="18"/>
                <w:szCs w:val="18"/>
              </w:rPr>
              <w:t>0%</w:t>
            </w:r>
          </w:p>
        </w:tc>
      </w:tr>
      <w:tr w:rsidR="00B63AD1" w:rsidRPr="00C2310E" w14:paraId="7BF2A6C9" w14:textId="0EAF271A" w:rsidTr="002E0189">
        <w:trPr>
          <w:trHeight w:val="258"/>
        </w:trPr>
        <w:tc>
          <w:tcPr>
            <w:tcW w:w="3685" w:type="dxa"/>
            <w:shd w:val="clear" w:color="auto" w:fill="FFFFFF"/>
            <w:noWrap/>
            <w:tcMar>
              <w:top w:w="0" w:type="dxa"/>
              <w:left w:w="108" w:type="dxa"/>
              <w:bottom w:w="0" w:type="dxa"/>
              <w:right w:w="108" w:type="dxa"/>
            </w:tcMar>
            <w:vAlign w:val="bottom"/>
            <w:hideMark/>
          </w:tcPr>
          <w:p w14:paraId="539A3F48" w14:textId="3BFB1AC8" w:rsidR="00B63AD1" w:rsidRPr="00C2310E" w:rsidRDefault="00B63AD1" w:rsidP="00B63AD1">
            <w:pPr>
              <w:spacing w:after="0" w:line="240" w:lineRule="auto"/>
              <w:rPr>
                <w:rFonts w:ascii="Arial" w:eastAsia="Times New Roman" w:hAnsi="Arial" w:cs="Arial"/>
                <w:color w:val="222222"/>
                <w:sz w:val="18"/>
              </w:rPr>
            </w:pPr>
            <w:r w:rsidRPr="00C2310E">
              <w:rPr>
                <w:rFonts w:ascii="Arial" w:eastAsia="Times New Roman" w:hAnsi="Arial" w:cs="Arial"/>
                <w:color w:val="222222"/>
                <w:sz w:val="18"/>
              </w:rPr>
              <w:t>Enabling environment/HSS (strategic info.)</w:t>
            </w:r>
          </w:p>
        </w:tc>
        <w:tc>
          <w:tcPr>
            <w:tcW w:w="2340" w:type="dxa"/>
            <w:shd w:val="clear" w:color="auto" w:fill="FFFFFF"/>
            <w:noWrap/>
            <w:tcMar>
              <w:top w:w="0" w:type="dxa"/>
              <w:left w:w="108" w:type="dxa"/>
              <w:bottom w:w="0" w:type="dxa"/>
              <w:right w:w="108" w:type="dxa"/>
            </w:tcMar>
            <w:hideMark/>
          </w:tcPr>
          <w:p w14:paraId="5F7A8FFC" w14:textId="006401B6"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26,364,047 </w:t>
            </w:r>
          </w:p>
        </w:tc>
        <w:tc>
          <w:tcPr>
            <w:tcW w:w="3325" w:type="dxa"/>
            <w:shd w:val="clear" w:color="auto" w:fill="FFFFFF"/>
          </w:tcPr>
          <w:p w14:paraId="707BBA8D" w14:textId="17A252C6"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4%</w:t>
            </w:r>
          </w:p>
        </w:tc>
      </w:tr>
      <w:tr w:rsidR="00B63AD1" w:rsidRPr="00C2310E" w14:paraId="4274F208" w14:textId="55B0B692" w:rsidTr="002E0189">
        <w:trPr>
          <w:trHeight w:val="258"/>
        </w:trPr>
        <w:tc>
          <w:tcPr>
            <w:tcW w:w="3685" w:type="dxa"/>
            <w:shd w:val="clear" w:color="auto" w:fill="FFFFFF"/>
            <w:noWrap/>
            <w:tcMar>
              <w:top w:w="0" w:type="dxa"/>
              <w:left w:w="108" w:type="dxa"/>
              <w:bottom w:w="0" w:type="dxa"/>
              <w:right w:w="108" w:type="dxa"/>
            </w:tcMar>
            <w:vAlign w:val="bottom"/>
            <w:hideMark/>
          </w:tcPr>
          <w:p w14:paraId="26F570F8" w14:textId="3589D565"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Enabling environment/HSS</w:t>
            </w:r>
          </w:p>
        </w:tc>
        <w:tc>
          <w:tcPr>
            <w:tcW w:w="2340" w:type="dxa"/>
            <w:shd w:val="clear" w:color="auto" w:fill="FFFFFF"/>
            <w:noWrap/>
            <w:tcMar>
              <w:top w:w="0" w:type="dxa"/>
              <w:left w:w="108" w:type="dxa"/>
              <w:bottom w:w="0" w:type="dxa"/>
              <w:right w:w="108" w:type="dxa"/>
            </w:tcMar>
            <w:hideMark/>
          </w:tcPr>
          <w:p w14:paraId="30FBAEFD" w14:textId="494E3D7D"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46,236,892 </w:t>
            </w:r>
          </w:p>
        </w:tc>
        <w:tc>
          <w:tcPr>
            <w:tcW w:w="3325" w:type="dxa"/>
            <w:shd w:val="clear" w:color="auto" w:fill="FFFFFF"/>
          </w:tcPr>
          <w:p w14:paraId="7758E8E9" w14:textId="5999B829"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8%</w:t>
            </w:r>
          </w:p>
        </w:tc>
      </w:tr>
      <w:tr w:rsidR="00B63AD1" w:rsidRPr="00C2310E" w14:paraId="0B1FD778" w14:textId="28EC25BC" w:rsidTr="002E0189">
        <w:trPr>
          <w:trHeight w:val="248"/>
        </w:trPr>
        <w:tc>
          <w:tcPr>
            <w:tcW w:w="3685" w:type="dxa"/>
            <w:tcBorders>
              <w:bottom w:val="single" w:sz="4" w:space="0" w:color="auto"/>
            </w:tcBorders>
            <w:shd w:val="clear" w:color="auto" w:fill="FFFFFF"/>
            <w:noWrap/>
            <w:tcMar>
              <w:top w:w="0" w:type="dxa"/>
              <w:left w:w="108" w:type="dxa"/>
              <w:bottom w:w="0" w:type="dxa"/>
              <w:right w:w="108" w:type="dxa"/>
            </w:tcMar>
            <w:vAlign w:val="bottom"/>
            <w:hideMark/>
          </w:tcPr>
          <w:p w14:paraId="1B75F9BF" w14:textId="3AC7E36E"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Program management</w:t>
            </w:r>
          </w:p>
        </w:tc>
        <w:tc>
          <w:tcPr>
            <w:tcW w:w="2340" w:type="dxa"/>
            <w:tcBorders>
              <w:bottom w:val="single" w:sz="4" w:space="0" w:color="auto"/>
            </w:tcBorders>
            <w:shd w:val="clear" w:color="auto" w:fill="FFFFFF"/>
            <w:noWrap/>
            <w:tcMar>
              <w:top w:w="0" w:type="dxa"/>
              <w:left w:w="108" w:type="dxa"/>
              <w:bottom w:w="0" w:type="dxa"/>
              <w:right w:w="108" w:type="dxa"/>
            </w:tcMar>
            <w:hideMark/>
          </w:tcPr>
          <w:p w14:paraId="17FAC9E3" w14:textId="793AE172"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109,848,997 </w:t>
            </w:r>
          </w:p>
        </w:tc>
        <w:tc>
          <w:tcPr>
            <w:tcW w:w="3325" w:type="dxa"/>
            <w:tcBorders>
              <w:bottom w:val="single" w:sz="4" w:space="0" w:color="auto"/>
            </w:tcBorders>
            <w:shd w:val="clear" w:color="auto" w:fill="FFFFFF"/>
          </w:tcPr>
          <w:p w14:paraId="06707724" w14:textId="62E7C979"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18%</w:t>
            </w:r>
          </w:p>
        </w:tc>
      </w:tr>
      <w:tr w:rsidR="00B63AD1" w:rsidRPr="00C2310E" w14:paraId="6F921C15" w14:textId="23974B64" w:rsidTr="002E0189">
        <w:trPr>
          <w:trHeight w:val="248"/>
        </w:trPr>
        <w:tc>
          <w:tcPr>
            <w:tcW w:w="3685" w:type="dxa"/>
            <w:tcBorders>
              <w:bottom w:val="dashed" w:sz="4" w:space="0" w:color="auto"/>
            </w:tcBorders>
            <w:shd w:val="clear" w:color="auto" w:fill="FFFFFF"/>
            <w:noWrap/>
            <w:tcMar>
              <w:top w:w="0" w:type="dxa"/>
              <w:left w:w="108" w:type="dxa"/>
              <w:bottom w:w="0" w:type="dxa"/>
              <w:right w:w="108" w:type="dxa"/>
            </w:tcMar>
            <w:vAlign w:val="bottom"/>
            <w:hideMark/>
          </w:tcPr>
          <w:p w14:paraId="5F99CD71" w14:textId="4106F689" w:rsidR="00B63AD1" w:rsidRPr="00C2310E" w:rsidRDefault="00B63AD1" w:rsidP="00B63AD1">
            <w:pPr>
              <w:spacing w:after="0" w:line="240" w:lineRule="auto"/>
              <w:rPr>
                <w:rFonts w:ascii="Arial" w:eastAsia="Times New Roman" w:hAnsi="Arial" w:cs="Arial"/>
                <w:color w:val="222222"/>
                <w:sz w:val="18"/>
                <w:szCs w:val="24"/>
              </w:rPr>
            </w:pPr>
            <w:r w:rsidRPr="00C2310E">
              <w:rPr>
                <w:rFonts w:ascii="Arial" w:eastAsia="Times New Roman" w:hAnsi="Arial" w:cs="Arial"/>
                <w:color w:val="222222"/>
                <w:sz w:val="18"/>
              </w:rPr>
              <w:t>OVC and not specified</w:t>
            </w:r>
          </w:p>
        </w:tc>
        <w:tc>
          <w:tcPr>
            <w:tcW w:w="2340" w:type="dxa"/>
            <w:tcBorders>
              <w:bottom w:val="dashed" w:sz="4" w:space="0" w:color="auto"/>
            </w:tcBorders>
            <w:shd w:val="clear" w:color="auto" w:fill="FFFFFF"/>
            <w:noWrap/>
            <w:tcMar>
              <w:top w:w="0" w:type="dxa"/>
              <w:left w:w="108" w:type="dxa"/>
              <w:bottom w:w="0" w:type="dxa"/>
              <w:right w:w="108" w:type="dxa"/>
            </w:tcMar>
            <w:hideMark/>
          </w:tcPr>
          <w:p w14:paraId="2A6B4065" w14:textId="712918EC"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5,382,398 </w:t>
            </w:r>
          </w:p>
        </w:tc>
        <w:tc>
          <w:tcPr>
            <w:tcW w:w="3325" w:type="dxa"/>
            <w:tcBorders>
              <w:bottom w:val="dashed" w:sz="4" w:space="0" w:color="auto"/>
            </w:tcBorders>
            <w:shd w:val="clear" w:color="auto" w:fill="FFFFFF"/>
          </w:tcPr>
          <w:p w14:paraId="7E33EE5A" w14:textId="50ADFA23" w:rsidR="00B63AD1" w:rsidRPr="002E0189" w:rsidRDefault="00B63AD1" w:rsidP="002E0189">
            <w:pPr>
              <w:spacing w:after="0" w:line="240" w:lineRule="auto"/>
              <w:ind w:left="174"/>
              <w:rPr>
                <w:rFonts w:ascii="Arial" w:eastAsia="Times New Roman" w:hAnsi="Arial" w:cs="Arial"/>
                <w:color w:val="222222"/>
                <w:sz w:val="18"/>
                <w:szCs w:val="18"/>
              </w:rPr>
            </w:pPr>
            <w:r w:rsidRPr="002E0189">
              <w:rPr>
                <w:rFonts w:ascii="Arial" w:hAnsi="Arial" w:cs="Arial"/>
                <w:sz w:val="18"/>
                <w:szCs w:val="18"/>
              </w:rPr>
              <w:t>1%</w:t>
            </w:r>
          </w:p>
        </w:tc>
      </w:tr>
      <w:tr w:rsidR="00B63AD1" w:rsidRPr="00C2310E" w14:paraId="7359E254" w14:textId="294BE749" w:rsidTr="002E0189">
        <w:trPr>
          <w:trHeight w:val="258"/>
        </w:trPr>
        <w:tc>
          <w:tcPr>
            <w:tcW w:w="3685" w:type="dxa"/>
            <w:tcBorders>
              <w:top w:val="dashed" w:sz="4" w:space="0" w:color="auto"/>
            </w:tcBorders>
            <w:shd w:val="clear" w:color="auto" w:fill="D5DCE4" w:themeFill="text2" w:themeFillTint="33"/>
            <w:noWrap/>
            <w:tcMar>
              <w:top w:w="0" w:type="dxa"/>
              <w:left w:w="108" w:type="dxa"/>
              <w:bottom w:w="0" w:type="dxa"/>
              <w:right w:w="108" w:type="dxa"/>
            </w:tcMar>
            <w:vAlign w:val="bottom"/>
            <w:hideMark/>
          </w:tcPr>
          <w:p w14:paraId="534C5713" w14:textId="737B2352" w:rsidR="00B63AD1" w:rsidRPr="00C2310E" w:rsidRDefault="00B63AD1" w:rsidP="00B63AD1">
            <w:pPr>
              <w:spacing w:after="0" w:line="240" w:lineRule="auto"/>
              <w:rPr>
                <w:rFonts w:ascii="Arial" w:eastAsia="Times New Roman" w:hAnsi="Arial" w:cs="Arial"/>
                <w:b/>
                <w:color w:val="222222"/>
                <w:sz w:val="18"/>
                <w:szCs w:val="24"/>
              </w:rPr>
            </w:pPr>
            <w:r w:rsidRPr="00C2310E">
              <w:rPr>
                <w:rFonts w:ascii="Arial" w:eastAsia="Times New Roman" w:hAnsi="Arial" w:cs="Arial"/>
                <w:b/>
                <w:color w:val="222222"/>
                <w:sz w:val="18"/>
              </w:rPr>
              <w:t>Total Expenditure</w:t>
            </w:r>
          </w:p>
        </w:tc>
        <w:tc>
          <w:tcPr>
            <w:tcW w:w="2340" w:type="dxa"/>
            <w:tcBorders>
              <w:top w:val="dashed" w:sz="4" w:space="0" w:color="auto"/>
            </w:tcBorders>
            <w:shd w:val="clear" w:color="auto" w:fill="D5DCE4" w:themeFill="text2" w:themeFillTint="33"/>
            <w:noWrap/>
            <w:tcMar>
              <w:top w:w="0" w:type="dxa"/>
              <w:left w:w="108" w:type="dxa"/>
              <w:bottom w:w="0" w:type="dxa"/>
              <w:right w:w="108" w:type="dxa"/>
            </w:tcMar>
            <w:hideMark/>
          </w:tcPr>
          <w:p w14:paraId="32B56113" w14:textId="3D61F9D7" w:rsidR="00B63AD1" w:rsidRPr="002E0189" w:rsidRDefault="00B63AD1" w:rsidP="002E0189">
            <w:pPr>
              <w:spacing w:after="0" w:line="240" w:lineRule="auto"/>
              <w:rPr>
                <w:rFonts w:ascii="Arial" w:eastAsia="Times New Roman" w:hAnsi="Arial" w:cs="Arial"/>
                <w:color w:val="222222"/>
                <w:sz w:val="18"/>
                <w:szCs w:val="18"/>
              </w:rPr>
            </w:pPr>
            <w:r w:rsidRPr="002E0189">
              <w:rPr>
                <w:rFonts w:ascii="Arial" w:hAnsi="Arial" w:cs="Arial"/>
                <w:sz w:val="18"/>
                <w:szCs w:val="18"/>
              </w:rPr>
              <w:t xml:space="preserve"> 611,991,252 </w:t>
            </w:r>
          </w:p>
        </w:tc>
        <w:tc>
          <w:tcPr>
            <w:tcW w:w="3325" w:type="dxa"/>
            <w:tcBorders>
              <w:top w:val="dashed" w:sz="4" w:space="0" w:color="auto"/>
            </w:tcBorders>
            <w:shd w:val="clear" w:color="auto" w:fill="D5DCE4" w:themeFill="text2" w:themeFillTint="33"/>
          </w:tcPr>
          <w:p w14:paraId="5FF4A745" w14:textId="72BA80DF" w:rsidR="00B63AD1" w:rsidRPr="002E0189" w:rsidRDefault="00B63AD1" w:rsidP="002E0189">
            <w:pPr>
              <w:spacing w:after="0" w:line="240" w:lineRule="auto"/>
              <w:ind w:left="174"/>
              <w:rPr>
                <w:rFonts w:ascii="Arial" w:eastAsia="Times New Roman" w:hAnsi="Arial" w:cs="Arial"/>
                <w:b/>
                <w:bCs/>
                <w:color w:val="222222"/>
                <w:sz w:val="18"/>
                <w:szCs w:val="18"/>
              </w:rPr>
            </w:pPr>
            <w:r w:rsidRPr="002E0189">
              <w:rPr>
                <w:rFonts w:ascii="Arial" w:hAnsi="Arial" w:cs="Arial"/>
                <w:sz w:val="18"/>
                <w:szCs w:val="18"/>
              </w:rPr>
              <w:t>100%</w:t>
            </w:r>
          </w:p>
        </w:tc>
      </w:tr>
    </w:tbl>
    <w:p w14:paraId="1D34FFE9" w14:textId="0E44D0DF" w:rsidR="008120CE" w:rsidRDefault="008120CE" w:rsidP="00276364">
      <w:pPr>
        <w:spacing w:after="0"/>
        <w:rPr>
          <w:rFonts w:ascii="Arial" w:hAnsi="Arial" w:cs="Arial"/>
          <w:szCs w:val="22"/>
        </w:rPr>
      </w:pPr>
    </w:p>
    <w:p w14:paraId="010DAE6B" w14:textId="400F078E" w:rsidR="00184CA8" w:rsidRPr="00505F88" w:rsidRDefault="00184CA8" w:rsidP="00863FC3">
      <w:pPr>
        <w:rPr>
          <w:rFonts w:ascii="Arial" w:hAnsi="Arial" w:cs="Arial"/>
          <w:i/>
          <w:sz w:val="24"/>
          <w:szCs w:val="24"/>
        </w:rPr>
      </w:pPr>
      <w:r>
        <w:rPr>
          <w:rFonts w:ascii="Arial" w:hAnsi="Arial" w:cs="Arial"/>
          <w:i/>
          <w:sz w:val="24"/>
          <w:szCs w:val="24"/>
        </w:rPr>
        <w:t>Global Fund</w:t>
      </w:r>
    </w:p>
    <w:p w14:paraId="1345B714" w14:textId="119D4293" w:rsidR="00074B8A" w:rsidRDefault="007E44DE" w:rsidP="00276364">
      <w:pPr>
        <w:rPr>
          <w:rFonts w:ascii="Arial" w:hAnsi="Arial" w:cs="Arial"/>
          <w:i/>
          <w:sz w:val="18"/>
          <w:szCs w:val="22"/>
        </w:rPr>
      </w:pPr>
      <w:r>
        <w:rPr>
          <w:rFonts w:ascii="Arial" w:hAnsi="Arial" w:cs="Arial"/>
          <w:szCs w:val="22"/>
        </w:rPr>
        <w:t>Contributions by the Global Fund have</w:t>
      </w:r>
      <w:r w:rsidR="00A36AD2" w:rsidRPr="004424CD">
        <w:rPr>
          <w:rFonts w:ascii="Arial" w:hAnsi="Arial" w:cs="Arial"/>
          <w:szCs w:val="22"/>
        </w:rPr>
        <w:t xml:space="preserve"> been focused on specific interventions</w:t>
      </w:r>
      <w:r>
        <w:rPr>
          <w:rFonts w:ascii="Arial" w:hAnsi="Arial" w:cs="Arial"/>
          <w:szCs w:val="22"/>
        </w:rPr>
        <w:t xml:space="preserve">. </w:t>
      </w:r>
      <w:r w:rsidR="00A36AD2" w:rsidRPr="004424CD">
        <w:rPr>
          <w:rFonts w:ascii="Arial" w:hAnsi="Arial" w:cs="Arial"/>
          <w:szCs w:val="22"/>
        </w:rPr>
        <w:t>The largest contribution has been for the ‘Treatment, care and support’ of HIV positive people.</w:t>
      </w:r>
      <w:r>
        <w:rPr>
          <w:rFonts w:ascii="Arial" w:hAnsi="Arial" w:cs="Arial"/>
          <w:szCs w:val="22"/>
        </w:rPr>
        <w:t xml:space="preserve"> </w:t>
      </w:r>
      <w:r w:rsidR="00826039">
        <w:rPr>
          <w:rFonts w:ascii="Arial" w:hAnsi="Arial" w:cs="Arial"/>
          <w:szCs w:val="22"/>
        </w:rPr>
        <w:t xml:space="preserve">Expenditures in this area </w:t>
      </w:r>
      <w:r w:rsidR="00A36AD2" w:rsidRPr="004424CD">
        <w:rPr>
          <w:rFonts w:ascii="Arial" w:hAnsi="Arial" w:cs="Arial"/>
          <w:szCs w:val="22"/>
        </w:rPr>
        <w:t xml:space="preserve">increased from </w:t>
      </w:r>
      <w:r w:rsidR="00C2310E">
        <w:rPr>
          <w:rFonts w:ascii="Arial" w:hAnsi="Arial" w:cs="Arial"/>
          <w:szCs w:val="22"/>
        </w:rPr>
        <w:t xml:space="preserve">USD 119.8 </w:t>
      </w:r>
      <w:r w:rsidR="000A1997">
        <w:rPr>
          <w:rFonts w:ascii="Arial" w:hAnsi="Arial" w:cs="Arial"/>
          <w:szCs w:val="22"/>
        </w:rPr>
        <w:t>M</w:t>
      </w:r>
      <w:r w:rsidR="00A36AD2" w:rsidRPr="004424CD">
        <w:rPr>
          <w:rFonts w:ascii="Arial" w:hAnsi="Arial" w:cs="Arial"/>
          <w:szCs w:val="22"/>
        </w:rPr>
        <w:t xml:space="preserve"> in 2016 to </w:t>
      </w:r>
      <w:r w:rsidR="00C2310E">
        <w:rPr>
          <w:rFonts w:ascii="Arial" w:hAnsi="Arial" w:cs="Arial"/>
          <w:szCs w:val="22"/>
        </w:rPr>
        <w:t xml:space="preserve">USD </w:t>
      </w:r>
      <w:r w:rsidR="00A36AD2" w:rsidRPr="004424CD">
        <w:rPr>
          <w:rFonts w:ascii="Arial" w:hAnsi="Arial" w:cs="Arial"/>
          <w:szCs w:val="22"/>
        </w:rPr>
        <w:t>1</w:t>
      </w:r>
      <w:r w:rsidR="00C2310E">
        <w:rPr>
          <w:rFonts w:ascii="Arial" w:hAnsi="Arial" w:cs="Arial"/>
          <w:szCs w:val="22"/>
        </w:rPr>
        <w:t>42.0</w:t>
      </w:r>
      <w:r w:rsidR="00A36AD2" w:rsidRPr="004424CD">
        <w:rPr>
          <w:rFonts w:ascii="Arial" w:hAnsi="Arial" w:cs="Arial"/>
          <w:szCs w:val="22"/>
        </w:rPr>
        <w:t xml:space="preserve"> </w:t>
      </w:r>
      <w:r w:rsidR="000A1997">
        <w:rPr>
          <w:rFonts w:ascii="Arial" w:hAnsi="Arial" w:cs="Arial"/>
          <w:szCs w:val="22"/>
        </w:rPr>
        <w:t>M</w:t>
      </w:r>
      <w:r w:rsidR="00A36AD2" w:rsidRPr="004424CD">
        <w:rPr>
          <w:rFonts w:ascii="Arial" w:hAnsi="Arial" w:cs="Arial"/>
          <w:szCs w:val="22"/>
        </w:rPr>
        <w:t xml:space="preserve"> in 2017 and amounted to </w:t>
      </w:r>
      <w:r w:rsidR="00C2310E">
        <w:rPr>
          <w:rFonts w:ascii="Arial" w:hAnsi="Arial" w:cs="Arial"/>
          <w:szCs w:val="22"/>
        </w:rPr>
        <w:t>about</w:t>
      </w:r>
      <w:r w:rsidR="00A36AD2" w:rsidRPr="004424CD">
        <w:rPr>
          <w:rFonts w:ascii="Arial" w:hAnsi="Arial" w:cs="Arial"/>
          <w:szCs w:val="22"/>
        </w:rPr>
        <w:t xml:space="preserve"> 80% of total </w:t>
      </w:r>
      <w:r>
        <w:rPr>
          <w:rFonts w:ascii="Arial" w:hAnsi="Arial" w:cs="Arial"/>
          <w:szCs w:val="22"/>
        </w:rPr>
        <w:t xml:space="preserve">Global Fund </w:t>
      </w:r>
      <w:r w:rsidR="00A36AD2" w:rsidRPr="004424CD">
        <w:rPr>
          <w:rFonts w:ascii="Arial" w:hAnsi="Arial" w:cs="Arial"/>
          <w:szCs w:val="22"/>
        </w:rPr>
        <w:t>expenditure</w:t>
      </w:r>
      <w:r w:rsidR="00C2310E">
        <w:rPr>
          <w:rFonts w:ascii="Arial" w:hAnsi="Arial" w:cs="Arial"/>
          <w:szCs w:val="22"/>
        </w:rPr>
        <w:t xml:space="preserve"> in both years.</w:t>
      </w:r>
      <w:r w:rsidR="00A36AD2" w:rsidRPr="004424CD">
        <w:rPr>
          <w:rFonts w:ascii="Arial" w:hAnsi="Arial" w:cs="Arial"/>
          <w:szCs w:val="22"/>
        </w:rPr>
        <w:t xml:space="preserve"> </w:t>
      </w:r>
      <w:r w:rsidR="00C2310E">
        <w:rPr>
          <w:rFonts w:ascii="Arial" w:hAnsi="Arial" w:cs="Arial"/>
          <w:szCs w:val="22"/>
        </w:rPr>
        <w:t>The</w:t>
      </w:r>
      <w:r w:rsidR="00A36AD2" w:rsidRPr="004424CD">
        <w:rPr>
          <w:rFonts w:ascii="Arial" w:hAnsi="Arial" w:cs="Arial"/>
          <w:szCs w:val="22"/>
        </w:rPr>
        <w:t xml:space="preserve"> ‘Other prevention’ </w:t>
      </w:r>
      <w:r w:rsidR="00C2310E">
        <w:rPr>
          <w:rFonts w:ascii="Arial" w:hAnsi="Arial" w:cs="Arial"/>
          <w:szCs w:val="22"/>
        </w:rPr>
        <w:t>category  includes</w:t>
      </w:r>
      <w:r w:rsidR="00A36AD2" w:rsidRPr="004424CD">
        <w:rPr>
          <w:rFonts w:ascii="Arial" w:hAnsi="Arial" w:cs="Arial"/>
          <w:szCs w:val="22"/>
        </w:rPr>
        <w:t xml:space="preserve"> HIV testing and counselling</w:t>
      </w:r>
      <w:r w:rsidR="00C2310E">
        <w:rPr>
          <w:rFonts w:ascii="Arial" w:hAnsi="Arial" w:cs="Arial"/>
          <w:szCs w:val="22"/>
        </w:rPr>
        <w:t xml:space="preserve"> and accounted for 6.1% of expenditure in 2016 and 15.0% in 2017. Spending on key population interventions reached almost 7% of total funding in 2016 but then declined to 0.5% in 2017. </w:t>
      </w:r>
      <w:r w:rsidR="00A36AD2" w:rsidRPr="004424CD">
        <w:rPr>
          <w:rFonts w:ascii="Arial" w:hAnsi="Arial" w:cs="Arial"/>
          <w:szCs w:val="22"/>
        </w:rPr>
        <w:t xml:space="preserve">Other investments are by comparison relatively small, notwithstanding their strategic importance.  </w:t>
      </w:r>
    </w:p>
    <w:p w14:paraId="75980E77" w14:textId="590FBB8C" w:rsidR="00A36AD2" w:rsidRPr="00B61AA0" w:rsidRDefault="003F268C" w:rsidP="008544A5">
      <w:pPr>
        <w:rPr>
          <w:sz w:val="22"/>
        </w:rPr>
      </w:pPr>
      <w:r w:rsidRPr="00B61AA0">
        <w:rPr>
          <w:rFonts w:ascii="Arial" w:hAnsi="Arial" w:cs="Arial"/>
          <w:i/>
          <w:sz w:val="18"/>
          <w:szCs w:val="22"/>
        </w:rPr>
        <w:t>Figure 2-1</w:t>
      </w:r>
      <w:r w:rsidR="00BD2E89">
        <w:rPr>
          <w:rFonts w:ascii="Arial" w:hAnsi="Arial" w:cs="Arial"/>
          <w:i/>
          <w:sz w:val="18"/>
          <w:szCs w:val="22"/>
        </w:rPr>
        <w:t>2</w:t>
      </w:r>
      <w:r w:rsidRPr="00B61AA0">
        <w:rPr>
          <w:rFonts w:ascii="Arial" w:hAnsi="Arial" w:cs="Arial"/>
          <w:i/>
          <w:sz w:val="18"/>
          <w:szCs w:val="22"/>
        </w:rPr>
        <w:t>. The Global Fund</w:t>
      </w:r>
      <w:r w:rsidR="003C54E8">
        <w:rPr>
          <w:rFonts w:ascii="Arial" w:hAnsi="Arial" w:cs="Arial"/>
          <w:i/>
          <w:sz w:val="18"/>
          <w:szCs w:val="22"/>
        </w:rPr>
        <w:t xml:space="preserve"> h</w:t>
      </w:r>
      <w:r w:rsidRPr="00B61AA0">
        <w:rPr>
          <w:rFonts w:ascii="Arial" w:hAnsi="Arial" w:cs="Arial"/>
          <w:i/>
          <w:sz w:val="18"/>
          <w:szCs w:val="22"/>
        </w:rPr>
        <w:t>igh-level analysis of expenditure by intervention category (USD M)</w:t>
      </w:r>
    </w:p>
    <w:tbl>
      <w:tblPr>
        <w:tblStyle w:val="GridTable2-Accent5"/>
        <w:tblW w:w="7796" w:type="dxa"/>
        <w:tblLook w:val="04A0" w:firstRow="1" w:lastRow="0" w:firstColumn="1" w:lastColumn="0" w:noHBand="0" w:noVBand="1"/>
      </w:tblPr>
      <w:tblGrid>
        <w:gridCol w:w="2835"/>
        <w:gridCol w:w="992"/>
        <w:gridCol w:w="1092"/>
        <w:gridCol w:w="9"/>
        <w:gridCol w:w="1450"/>
        <w:gridCol w:w="1418"/>
      </w:tblGrid>
      <w:tr w:rsidR="00A36AD2" w:rsidRPr="00E73709" w14:paraId="56F1A9BD" w14:textId="77777777" w:rsidTr="00E0457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5" w:type="dxa"/>
            <w:tcBorders>
              <w:bottom w:val="single" w:sz="12" w:space="0" w:color="FF0000"/>
              <w:right w:val="single" w:sz="4" w:space="0" w:color="000000"/>
            </w:tcBorders>
            <w:noWrap/>
            <w:vAlign w:val="center"/>
            <w:hideMark/>
          </w:tcPr>
          <w:p w14:paraId="656FDEB1" w14:textId="77777777" w:rsidR="00A36AD2" w:rsidRPr="00E73709" w:rsidRDefault="00A36AD2" w:rsidP="00E40EB0">
            <w:pPr>
              <w:jc w:val="center"/>
              <w:rPr>
                <w:rFonts w:ascii="Arial" w:eastAsia="Times New Roman" w:hAnsi="Arial" w:cs="Arial"/>
                <w:sz w:val="18"/>
                <w:lang w:val="en-ZA" w:eastAsia="en-ZA"/>
              </w:rPr>
            </w:pPr>
            <w:r w:rsidRPr="00E73709">
              <w:rPr>
                <w:rFonts w:ascii="Arial" w:eastAsia="Times New Roman" w:hAnsi="Arial" w:cs="Arial"/>
                <w:sz w:val="18"/>
                <w:lang w:val="en-ZA" w:eastAsia="en-ZA"/>
              </w:rPr>
              <w:t xml:space="preserve">HIV Intervention </w:t>
            </w:r>
          </w:p>
        </w:tc>
        <w:tc>
          <w:tcPr>
            <w:tcW w:w="992" w:type="dxa"/>
            <w:tcBorders>
              <w:left w:val="single" w:sz="4" w:space="0" w:color="000000"/>
              <w:bottom w:val="single" w:sz="12" w:space="0" w:color="FF0000"/>
              <w:right w:val="single" w:sz="4" w:space="0" w:color="000000"/>
            </w:tcBorders>
            <w:noWrap/>
            <w:vAlign w:val="center"/>
            <w:hideMark/>
          </w:tcPr>
          <w:p w14:paraId="0FBF290F" w14:textId="77777777" w:rsidR="00A36AD2" w:rsidRPr="00E73709" w:rsidRDefault="00A36AD2" w:rsidP="00E40EB0">
            <w:pPr>
              <w:tabs>
                <w:tab w:val="center" w:pos="671"/>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2016</w:t>
            </w:r>
            <w:r w:rsidRPr="00E73709">
              <w:rPr>
                <w:rStyle w:val="FootnoteReference"/>
                <w:rFonts w:ascii="Arial" w:eastAsia="Times New Roman" w:hAnsi="Arial" w:cs="Arial"/>
                <w:sz w:val="18"/>
                <w:lang w:val="en-ZA" w:eastAsia="en-ZA"/>
              </w:rPr>
              <w:footnoteReference w:id="2"/>
            </w:r>
          </w:p>
        </w:tc>
        <w:tc>
          <w:tcPr>
            <w:tcW w:w="1101" w:type="dxa"/>
            <w:gridSpan w:val="2"/>
            <w:tcBorders>
              <w:left w:val="single" w:sz="4" w:space="0" w:color="000000"/>
              <w:right w:val="single" w:sz="4" w:space="0" w:color="000000"/>
            </w:tcBorders>
            <w:noWrap/>
            <w:vAlign w:val="center"/>
            <w:hideMark/>
          </w:tcPr>
          <w:p w14:paraId="3396E87C" w14:textId="77777777" w:rsidR="00A36AD2" w:rsidRPr="00E73709" w:rsidRDefault="00A36AD2" w:rsidP="00E40EB0">
            <w:pPr>
              <w:tabs>
                <w:tab w:val="center" w:pos="53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2017</w:t>
            </w:r>
          </w:p>
        </w:tc>
        <w:tc>
          <w:tcPr>
            <w:tcW w:w="1450" w:type="dxa"/>
            <w:tcBorders>
              <w:left w:val="single" w:sz="4" w:space="0" w:color="000000"/>
              <w:bottom w:val="single" w:sz="12" w:space="0" w:color="FF0000"/>
              <w:right w:val="single" w:sz="4" w:space="0" w:color="000000"/>
            </w:tcBorders>
            <w:noWrap/>
            <w:vAlign w:val="center"/>
            <w:hideMark/>
          </w:tcPr>
          <w:p w14:paraId="3F61B430" w14:textId="77777777" w:rsidR="00A36AD2" w:rsidRPr="00E73709" w:rsidRDefault="00A36AD2" w:rsidP="00E40E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lang w:val="en-ZA" w:eastAsia="en-ZA"/>
              </w:rPr>
            </w:pPr>
            <w:r w:rsidRPr="00E73709">
              <w:rPr>
                <w:rFonts w:ascii="Arial" w:eastAsia="Times New Roman" w:hAnsi="Arial" w:cs="Arial"/>
                <w:sz w:val="18"/>
                <w:lang w:val="en-ZA" w:eastAsia="en-ZA"/>
              </w:rPr>
              <w:t>2016</w:t>
            </w:r>
          </w:p>
          <w:p w14:paraId="224A78CB" w14:textId="77777777" w:rsidR="00A36AD2" w:rsidRPr="00E73709" w:rsidRDefault="00A36AD2" w:rsidP="00E40E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 distribution</w:t>
            </w:r>
          </w:p>
        </w:tc>
        <w:tc>
          <w:tcPr>
            <w:tcW w:w="1418" w:type="dxa"/>
            <w:tcBorders>
              <w:left w:val="single" w:sz="4" w:space="0" w:color="000000"/>
              <w:bottom w:val="single" w:sz="12" w:space="0" w:color="FF0000"/>
            </w:tcBorders>
            <w:noWrap/>
            <w:vAlign w:val="center"/>
            <w:hideMark/>
          </w:tcPr>
          <w:p w14:paraId="1E08D80B" w14:textId="77777777" w:rsidR="00A36AD2" w:rsidRPr="00E73709" w:rsidRDefault="00A36AD2" w:rsidP="00E40E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lang w:val="en-ZA" w:eastAsia="en-ZA"/>
              </w:rPr>
            </w:pPr>
            <w:r w:rsidRPr="00E73709">
              <w:rPr>
                <w:rFonts w:ascii="Arial" w:eastAsia="Times New Roman" w:hAnsi="Arial" w:cs="Arial"/>
                <w:sz w:val="18"/>
                <w:lang w:val="en-ZA" w:eastAsia="en-ZA"/>
              </w:rPr>
              <w:t>2017</w:t>
            </w:r>
          </w:p>
          <w:p w14:paraId="5454DEBC" w14:textId="77777777" w:rsidR="00A36AD2" w:rsidRPr="00E73709" w:rsidRDefault="00A36AD2" w:rsidP="00E40EB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 distribution</w:t>
            </w:r>
          </w:p>
        </w:tc>
      </w:tr>
      <w:tr w:rsidR="00A36AD2" w:rsidRPr="00E73709" w14:paraId="74E32297" w14:textId="77777777" w:rsidTr="00E045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0000"/>
              <w:bottom w:val="single" w:sz="12" w:space="0" w:color="FF0000"/>
              <w:right w:val="single" w:sz="4" w:space="0" w:color="000000"/>
            </w:tcBorders>
            <w:shd w:val="clear" w:color="auto" w:fill="FFFFFF" w:themeFill="background1"/>
            <w:noWrap/>
            <w:hideMark/>
          </w:tcPr>
          <w:p w14:paraId="10099087"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Treatment, care and support</w:t>
            </w:r>
          </w:p>
        </w:tc>
        <w:tc>
          <w:tcPr>
            <w:tcW w:w="992" w:type="dxa"/>
            <w:tcBorders>
              <w:top w:val="single" w:sz="12" w:space="0" w:color="FF0000"/>
              <w:left w:val="single" w:sz="4" w:space="0" w:color="000000"/>
              <w:bottom w:val="single" w:sz="12" w:space="0" w:color="FF0000"/>
              <w:right w:val="single" w:sz="4" w:space="0" w:color="000000"/>
            </w:tcBorders>
            <w:shd w:val="clear" w:color="auto" w:fill="FFFFFF" w:themeFill="background1"/>
            <w:noWrap/>
            <w:hideMark/>
          </w:tcPr>
          <w:p w14:paraId="59FA4EDA" w14:textId="4B9AD8E7"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119.8</w:t>
            </w:r>
            <w:r w:rsidR="00A36AD2" w:rsidRPr="00E73709">
              <w:rPr>
                <w:rFonts w:ascii="Arial" w:eastAsia="Times New Roman" w:hAnsi="Arial" w:cs="Arial"/>
                <w:sz w:val="18"/>
                <w:lang w:val="en-ZA" w:eastAsia="en-ZA"/>
              </w:rPr>
              <w:t xml:space="preserve"> </w:t>
            </w:r>
          </w:p>
        </w:tc>
        <w:tc>
          <w:tcPr>
            <w:tcW w:w="1092" w:type="dxa"/>
            <w:tcBorders>
              <w:top w:val="single" w:sz="12" w:space="0" w:color="FF0000"/>
              <w:left w:val="single" w:sz="4" w:space="0" w:color="000000"/>
              <w:bottom w:val="single" w:sz="12" w:space="0" w:color="FF0000"/>
              <w:right w:val="single" w:sz="4" w:space="0" w:color="000000"/>
            </w:tcBorders>
            <w:shd w:val="clear" w:color="auto" w:fill="FFFFFF" w:themeFill="background1"/>
            <w:noWrap/>
            <w:hideMark/>
          </w:tcPr>
          <w:p w14:paraId="72AFE9CB" w14:textId="0E7FF71A"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142.0</w:t>
            </w:r>
          </w:p>
        </w:tc>
        <w:tc>
          <w:tcPr>
            <w:tcW w:w="1459" w:type="dxa"/>
            <w:gridSpan w:val="2"/>
            <w:tcBorders>
              <w:left w:val="single" w:sz="4" w:space="0" w:color="000000"/>
              <w:bottom w:val="single" w:sz="12" w:space="0" w:color="FF0000"/>
              <w:right w:val="single" w:sz="4" w:space="0" w:color="000000"/>
            </w:tcBorders>
            <w:shd w:val="clear" w:color="auto" w:fill="FFFFFF" w:themeFill="background1"/>
            <w:noWrap/>
            <w:hideMark/>
          </w:tcPr>
          <w:p w14:paraId="61A90076" w14:textId="5E376A79"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83.8%</w:t>
            </w:r>
          </w:p>
        </w:tc>
        <w:tc>
          <w:tcPr>
            <w:tcW w:w="1418" w:type="dxa"/>
            <w:tcBorders>
              <w:top w:val="single" w:sz="12" w:space="0" w:color="FF0000"/>
              <w:left w:val="single" w:sz="4" w:space="0" w:color="000000"/>
              <w:bottom w:val="single" w:sz="12" w:space="0" w:color="FF0000"/>
            </w:tcBorders>
            <w:shd w:val="clear" w:color="auto" w:fill="FFFFFF" w:themeFill="background1"/>
            <w:noWrap/>
            <w:hideMark/>
          </w:tcPr>
          <w:p w14:paraId="2B83A87A" w14:textId="0EFC8F7C"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79.7%</w:t>
            </w:r>
          </w:p>
        </w:tc>
      </w:tr>
      <w:tr w:rsidR="00A36AD2" w:rsidRPr="00E73709" w14:paraId="33045DF7" w14:textId="77777777" w:rsidTr="00E04577">
        <w:trPr>
          <w:trHeight w:val="25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0000"/>
              <w:bottom w:val="single" w:sz="4" w:space="0" w:color="000000"/>
              <w:right w:val="single" w:sz="4" w:space="0" w:color="000000"/>
            </w:tcBorders>
            <w:shd w:val="clear" w:color="auto" w:fill="FFFFFF" w:themeFill="background1"/>
            <w:noWrap/>
            <w:hideMark/>
          </w:tcPr>
          <w:p w14:paraId="48B2E5A1"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Key populations</w:t>
            </w:r>
          </w:p>
        </w:tc>
        <w:tc>
          <w:tcPr>
            <w:tcW w:w="992" w:type="dxa"/>
            <w:tcBorders>
              <w:top w:val="single" w:sz="12" w:space="0" w:color="FF0000"/>
              <w:left w:val="single" w:sz="4" w:space="0" w:color="000000"/>
              <w:bottom w:val="single" w:sz="4" w:space="0" w:color="000000"/>
              <w:right w:val="single" w:sz="4" w:space="0" w:color="000000"/>
            </w:tcBorders>
            <w:shd w:val="clear" w:color="auto" w:fill="FFFFFF" w:themeFill="background1"/>
            <w:noWrap/>
            <w:hideMark/>
          </w:tcPr>
          <w:p w14:paraId="12202530" w14:textId="0A192E44"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9.8</w:t>
            </w:r>
            <w:r w:rsidR="00A36AD2" w:rsidRPr="00E73709">
              <w:rPr>
                <w:rFonts w:ascii="Arial" w:eastAsia="Times New Roman" w:hAnsi="Arial" w:cs="Arial"/>
                <w:sz w:val="18"/>
                <w:lang w:val="en-ZA" w:eastAsia="en-ZA"/>
              </w:rPr>
              <w:t xml:space="preserve"> </w:t>
            </w:r>
          </w:p>
        </w:tc>
        <w:tc>
          <w:tcPr>
            <w:tcW w:w="1092" w:type="dxa"/>
            <w:tcBorders>
              <w:top w:val="single" w:sz="12" w:space="0" w:color="FF0000"/>
              <w:left w:val="single" w:sz="4" w:space="0" w:color="000000"/>
              <w:bottom w:val="single" w:sz="4" w:space="0" w:color="000000"/>
              <w:right w:val="single" w:sz="4" w:space="0" w:color="000000"/>
            </w:tcBorders>
            <w:shd w:val="clear" w:color="auto" w:fill="FFFFFF" w:themeFill="background1"/>
            <w:noWrap/>
            <w:hideMark/>
          </w:tcPr>
          <w:p w14:paraId="763F51CA" w14:textId="03108C3F"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1.0</w:t>
            </w:r>
          </w:p>
        </w:tc>
        <w:tc>
          <w:tcPr>
            <w:tcW w:w="1459" w:type="dxa"/>
            <w:gridSpan w:val="2"/>
            <w:tcBorders>
              <w:top w:val="single" w:sz="12" w:space="0" w:color="FF0000"/>
              <w:left w:val="single" w:sz="4" w:space="0" w:color="000000"/>
              <w:bottom w:val="single" w:sz="4" w:space="0" w:color="000000"/>
              <w:right w:val="single" w:sz="4" w:space="0" w:color="000000"/>
            </w:tcBorders>
            <w:shd w:val="clear" w:color="auto" w:fill="FFFFFF" w:themeFill="background1"/>
            <w:noWrap/>
            <w:hideMark/>
          </w:tcPr>
          <w:p w14:paraId="7631AACA" w14:textId="2CE10070"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6.9%</w:t>
            </w:r>
          </w:p>
        </w:tc>
        <w:tc>
          <w:tcPr>
            <w:tcW w:w="1418" w:type="dxa"/>
            <w:tcBorders>
              <w:top w:val="single" w:sz="12" w:space="0" w:color="FF0000"/>
              <w:left w:val="single" w:sz="4" w:space="0" w:color="000000"/>
              <w:bottom w:val="single" w:sz="4" w:space="0" w:color="000000"/>
            </w:tcBorders>
            <w:shd w:val="clear" w:color="auto" w:fill="FFFFFF" w:themeFill="background1"/>
            <w:noWrap/>
            <w:hideMark/>
          </w:tcPr>
          <w:p w14:paraId="6A7203B0" w14:textId="4EDAA154"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0.5%</w:t>
            </w:r>
          </w:p>
        </w:tc>
      </w:tr>
      <w:tr w:rsidR="00A36AD2" w:rsidRPr="00E73709" w14:paraId="5287B6DD" w14:textId="77777777" w:rsidTr="00E045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bottom w:val="single" w:sz="4" w:space="0" w:color="000000"/>
              <w:right w:val="single" w:sz="4" w:space="0" w:color="000000"/>
            </w:tcBorders>
            <w:shd w:val="clear" w:color="auto" w:fill="FFFFFF" w:themeFill="background1"/>
            <w:noWrap/>
            <w:hideMark/>
          </w:tcPr>
          <w:p w14:paraId="49959D34"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 xml:space="preserve">Other prevention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BBCB0E1" w14:textId="346BFFCA"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8.7</w:t>
            </w:r>
            <w:r w:rsidR="00A36AD2" w:rsidRPr="00E73709">
              <w:rPr>
                <w:rFonts w:ascii="Arial" w:eastAsia="Times New Roman" w:hAnsi="Arial" w:cs="Arial"/>
                <w:sz w:val="18"/>
                <w:lang w:val="en-ZA" w:eastAsia="en-ZA"/>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60DA6B2C" w14:textId="2E40ADEB"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2.7</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64E631B" w14:textId="025CD96E"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6.1%</w:t>
            </w:r>
          </w:p>
        </w:tc>
        <w:tc>
          <w:tcPr>
            <w:tcW w:w="1418" w:type="dxa"/>
            <w:tcBorders>
              <w:top w:val="single" w:sz="4" w:space="0" w:color="000000"/>
              <w:left w:val="single" w:sz="4" w:space="0" w:color="000000"/>
              <w:bottom w:val="single" w:sz="4" w:space="0" w:color="000000"/>
            </w:tcBorders>
            <w:shd w:val="clear" w:color="auto" w:fill="FFFFFF" w:themeFill="background1"/>
            <w:noWrap/>
            <w:hideMark/>
          </w:tcPr>
          <w:p w14:paraId="783CE0C4" w14:textId="3F0E0842"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15.0%</w:t>
            </w:r>
          </w:p>
        </w:tc>
      </w:tr>
      <w:tr w:rsidR="00A36AD2" w:rsidRPr="00E73709" w14:paraId="50C9EAB3" w14:textId="77777777" w:rsidTr="00E04577">
        <w:trPr>
          <w:trHeight w:val="25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bottom w:val="single" w:sz="4" w:space="0" w:color="000000"/>
              <w:right w:val="single" w:sz="4" w:space="0" w:color="000000"/>
            </w:tcBorders>
            <w:shd w:val="clear" w:color="auto" w:fill="FFFFFF" w:themeFill="background1"/>
            <w:noWrap/>
            <w:hideMark/>
          </w:tcPr>
          <w:p w14:paraId="3B7F1946"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Systems strengthening</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5F955DE" w14:textId="28B3E83D"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1</w:t>
            </w:r>
            <w:r w:rsidR="00C2310E">
              <w:rPr>
                <w:rFonts w:ascii="Arial" w:eastAsia="Times New Roman" w:hAnsi="Arial" w:cs="Arial"/>
                <w:sz w:val="18"/>
                <w:lang w:val="en-ZA" w:eastAsia="en-ZA"/>
              </w:rPr>
              <w:t>.5</w:t>
            </w:r>
            <w:r w:rsidRPr="00E73709">
              <w:rPr>
                <w:rFonts w:ascii="Arial" w:eastAsia="Times New Roman" w:hAnsi="Arial" w:cs="Arial"/>
                <w:sz w:val="18"/>
                <w:lang w:val="en-ZA" w:eastAsia="en-ZA"/>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95FEB69" w14:textId="18E1446E"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2.8</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FD6D2BF" w14:textId="150AE264"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1.1%</w:t>
            </w:r>
          </w:p>
        </w:tc>
        <w:tc>
          <w:tcPr>
            <w:tcW w:w="1418" w:type="dxa"/>
            <w:tcBorders>
              <w:top w:val="single" w:sz="4" w:space="0" w:color="000000"/>
              <w:left w:val="single" w:sz="4" w:space="0" w:color="000000"/>
              <w:bottom w:val="single" w:sz="4" w:space="0" w:color="000000"/>
            </w:tcBorders>
            <w:shd w:val="clear" w:color="auto" w:fill="FFFFFF" w:themeFill="background1"/>
            <w:noWrap/>
            <w:hideMark/>
          </w:tcPr>
          <w:p w14:paraId="3F5F9452" w14:textId="5D9BD32B"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1.6%</w:t>
            </w:r>
          </w:p>
        </w:tc>
      </w:tr>
      <w:tr w:rsidR="00A36AD2" w:rsidRPr="00E73709" w14:paraId="69944798" w14:textId="77777777" w:rsidTr="00E045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bottom w:val="single" w:sz="4" w:space="0" w:color="000000"/>
              <w:right w:val="single" w:sz="4" w:space="0" w:color="000000"/>
            </w:tcBorders>
            <w:shd w:val="clear" w:color="auto" w:fill="FFFFFF" w:themeFill="background1"/>
            <w:noWrap/>
            <w:hideMark/>
          </w:tcPr>
          <w:p w14:paraId="6D3DB7DB"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 xml:space="preserve">Other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3C33CCC" w14:textId="3E010558"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3.1</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24006236" w14:textId="4836C9F3"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5.6</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DC46E16" w14:textId="78EE45F7"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2.1%</w:t>
            </w:r>
          </w:p>
        </w:tc>
        <w:tc>
          <w:tcPr>
            <w:tcW w:w="1418" w:type="dxa"/>
            <w:tcBorders>
              <w:top w:val="single" w:sz="4" w:space="0" w:color="000000"/>
              <w:left w:val="single" w:sz="4" w:space="0" w:color="000000"/>
              <w:bottom w:val="single" w:sz="4" w:space="0" w:color="000000"/>
            </w:tcBorders>
            <w:shd w:val="clear" w:color="auto" w:fill="FFFFFF" w:themeFill="background1"/>
            <w:noWrap/>
            <w:hideMark/>
          </w:tcPr>
          <w:p w14:paraId="33C00BDF" w14:textId="67FF1B00" w:rsidR="00A36AD2" w:rsidRPr="00E73709" w:rsidRDefault="00C2310E"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Pr>
                <w:rFonts w:ascii="Arial" w:eastAsia="Times New Roman" w:hAnsi="Arial" w:cs="Arial"/>
                <w:sz w:val="18"/>
                <w:lang w:val="en-ZA" w:eastAsia="en-ZA"/>
              </w:rPr>
              <w:t>3.1%</w:t>
            </w:r>
          </w:p>
        </w:tc>
      </w:tr>
      <w:tr w:rsidR="00A36AD2" w:rsidRPr="00E73709" w14:paraId="780AA075" w14:textId="77777777" w:rsidTr="00E04577">
        <w:trPr>
          <w:trHeight w:val="26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0000"/>
              <w:bottom w:val="single" w:sz="4" w:space="0" w:color="000000"/>
              <w:right w:val="single" w:sz="4" w:space="0" w:color="000000"/>
            </w:tcBorders>
            <w:shd w:val="clear" w:color="auto" w:fill="FFFFFF" w:themeFill="background1"/>
            <w:noWrap/>
            <w:hideMark/>
          </w:tcPr>
          <w:p w14:paraId="788B8D66" w14:textId="67BE2E26" w:rsidR="00A36AD2" w:rsidRPr="00E73709" w:rsidRDefault="00A36AD2" w:rsidP="00E40EB0">
            <w:pPr>
              <w:rPr>
                <w:rFonts w:ascii="Arial" w:eastAsia="Times New Roman" w:hAnsi="Arial" w:cs="Arial"/>
                <w:sz w:val="18"/>
                <w:lang w:val="en-ZA" w:eastAsia="en-ZA"/>
              </w:rPr>
            </w:pPr>
            <w:r w:rsidRPr="00E73709">
              <w:rPr>
                <w:rFonts w:ascii="Arial" w:eastAsia="Times New Roman" w:hAnsi="Arial" w:cs="Arial"/>
                <w:sz w:val="18"/>
                <w:lang w:val="en-ZA" w:eastAsia="en-ZA"/>
              </w:rPr>
              <w:t>T</w:t>
            </w:r>
            <w:r w:rsidR="003E1382">
              <w:rPr>
                <w:rFonts w:ascii="Arial" w:eastAsia="Times New Roman" w:hAnsi="Arial" w:cs="Arial"/>
                <w:sz w:val="18"/>
                <w:lang w:val="en-ZA" w:eastAsia="en-ZA"/>
              </w:rPr>
              <w:t>otal</w:t>
            </w:r>
            <w:r w:rsidRPr="00E73709">
              <w:rPr>
                <w:rFonts w:ascii="Arial" w:eastAsia="Times New Roman" w:hAnsi="Arial" w:cs="Arial"/>
                <w:sz w:val="18"/>
                <w:lang w:val="en-ZA" w:eastAsia="en-ZA"/>
              </w:rPr>
              <w:t xml:space="preserve"> expenditure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CBC7393" w14:textId="40BBBC05"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lang w:val="en-ZA" w:eastAsia="en-ZA"/>
              </w:rPr>
            </w:pPr>
            <w:r>
              <w:rPr>
                <w:rFonts w:ascii="Arial" w:eastAsia="Times New Roman" w:hAnsi="Arial" w:cs="Arial"/>
                <w:b/>
                <w:bCs/>
                <w:sz w:val="18"/>
                <w:lang w:val="en-ZA" w:eastAsia="en-ZA"/>
              </w:rPr>
              <w:t>143.0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4AA8913" w14:textId="7D28F0AB" w:rsidR="00A36AD2" w:rsidRPr="00E73709" w:rsidRDefault="00C2310E"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lang w:val="en-ZA" w:eastAsia="en-ZA"/>
              </w:rPr>
            </w:pPr>
            <w:r>
              <w:rPr>
                <w:rFonts w:ascii="Arial" w:eastAsia="Times New Roman" w:hAnsi="Arial" w:cs="Arial"/>
                <w:b/>
                <w:bCs/>
                <w:sz w:val="18"/>
                <w:lang w:val="en-ZA" w:eastAsia="en-ZA"/>
              </w:rPr>
              <w:t>178.1</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D5959FF"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100.0%</w:t>
            </w:r>
          </w:p>
        </w:tc>
        <w:tc>
          <w:tcPr>
            <w:tcW w:w="1418" w:type="dxa"/>
            <w:tcBorders>
              <w:top w:val="single" w:sz="4" w:space="0" w:color="000000"/>
              <w:left w:val="single" w:sz="4" w:space="0" w:color="000000"/>
              <w:bottom w:val="single" w:sz="4" w:space="0" w:color="000000"/>
            </w:tcBorders>
            <w:shd w:val="clear" w:color="auto" w:fill="FFFFFF" w:themeFill="background1"/>
            <w:noWrap/>
            <w:hideMark/>
          </w:tcPr>
          <w:p w14:paraId="07DE590B"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100.0%</w:t>
            </w:r>
          </w:p>
        </w:tc>
      </w:tr>
    </w:tbl>
    <w:p w14:paraId="44651B8C" w14:textId="1FFC4B8D" w:rsidR="00363BF3" w:rsidRDefault="003F268C" w:rsidP="00A36AD2">
      <w:pPr>
        <w:rPr>
          <w:rFonts w:ascii="Arial" w:hAnsi="Arial" w:cs="Arial"/>
          <w:sz w:val="18"/>
        </w:rPr>
      </w:pPr>
      <w:r w:rsidRPr="008544A5">
        <w:rPr>
          <w:rFonts w:ascii="Arial" w:hAnsi="Arial" w:cs="Arial"/>
          <w:sz w:val="16"/>
        </w:rPr>
        <w:t>Source: Global Fund Expenditure Report 4E Tanzania HIV Expenditure</w:t>
      </w:r>
      <w:r w:rsidRPr="008544A5" w:rsidDel="003F268C">
        <w:rPr>
          <w:rFonts w:ascii="Arial" w:hAnsi="Arial" w:cs="Arial"/>
          <w:sz w:val="18"/>
        </w:rPr>
        <w:t xml:space="preserve"> </w:t>
      </w:r>
    </w:p>
    <w:p w14:paraId="688CADC2" w14:textId="5EFB089D" w:rsidR="00C00118" w:rsidRPr="008D3CCA" w:rsidRDefault="00363BF3" w:rsidP="008D3CCA">
      <w:pPr>
        <w:rPr>
          <w:rFonts w:ascii="Arial" w:hAnsi="Arial" w:cs="Arial"/>
        </w:rPr>
      </w:pPr>
      <w:r>
        <w:rPr>
          <w:rFonts w:ascii="Arial" w:hAnsi="Arial" w:cs="Arial"/>
        </w:rPr>
        <w:t xml:space="preserve">The current Global Fund grant (2018-2020) </w:t>
      </w:r>
      <w:r w:rsidRPr="00363BF3">
        <w:rPr>
          <w:rFonts w:ascii="Arial" w:hAnsi="Arial" w:cs="Arial"/>
        </w:rPr>
        <w:t xml:space="preserve">amounts to </w:t>
      </w:r>
      <w:r w:rsidR="004973A2">
        <w:rPr>
          <w:rFonts w:ascii="Arial" w:hAnsi="Arial" w:cs="Arial"/>
        </w:rPr>
        <w:t xml:space="preserve">USD </w:t>
      </w:r>
      <w:r w:rsidRPr="00363BF3">
        <w:rPr>
          <w:rFonts w:ascii="Arial" w:hAnsi="Arial" w:cs="Arial"/>
        </w:rPr>
        <w:t xml:space="preserve">367.6 </w:t>
      </w:r>
      <w:r w:rsidR="00B61AA0">
        <w:rPr>
          <w:rFonts w:ascii="Arial" w:hAnsi="Arial" w:cs="Arial"/>
        </w:rPr>
        <w:t>M</w:t>
      </w:r>
      <w:r w:rsidRPr="00363BF3">
        <w:rPr>
          <w:rFonts w:ascii="Arial" w:hAnsi="Arial" w:cs="Arial"/>
        </w:rPr>
        <w:t xml:space="preserve"> for HIV interventions and has been allocated almost evenly over the three years (2018-2020) which implies approximately </w:t>
      </w:r>
      <w:r w:rsidR="00826039">
        <w:rPr>
          <w:rFonts w:ascii="Arial" w:hAnsi="Arial" w:cs="Arial"/>
        </w:rPr>
        <w:t xml:space="preserve">USD </w:t>
      </w:r>
      <w:r w:rsidRPr="00363BF3">
        <w:rPr>
          <w:rFonts w:ascii="Arial" w:hAnsi="Arial" w:cs="Arial"/>
        </w:rPr>
        <w:t xml:space="preserve">120 </w:t>
      </w:r>
      <w:r w:rsidR="003C54E8">
        <w:rPr>
          <w:rFonts w:ascii="Arial" w:hAnsi="Arial" w:cs="Arial"/>
        </w:rPr>
        <w:t xml:space="preserve">M </w:t>
      </w:r>
      <w:r w:rsidRPr="00363BF3">
        <w:rPr>
          <w:rFonts w:ascii="Arial" w:hAnsi="Arial" w:cs="Arial"/>
        </w:rPr>
        <w:t>per annum over the grant period</w:t>
      </w:r>
      <w:r w:rsidR="00826039">
        <w:rPr>
          <w:rFonts w:ascii="Arial" w:hAnsi="Arial" w:cs="Arial"/>
        </w:rPr>
        <w:t xml:space="preserve"> (significantly lower than the USD 172.4</w:t>
      </w:r>
      <w:r w:rsidR="00B61AA0">
        <w:rPr>
          <w:rFonts w:ascii="Arial" w:hAnsi="Arial" w:cs="Arial"/>
        </w:rPr>
        <w:t xml:space="preserve"> M </w:t>
      </w:r>
      <w:r w:rsidR="00826039">
        <w:rPr>
          <w:rFonts w:ascii="Arial" w:hAnsi="Arial" w:cs="Arial"/>
        </w:rPr>
        <w:t>contributed by the GF in 2017)</w:t>
      </w:r>
      <w:r w:rsidRPr="00363BF3">
        <w:rPr>
          <w:rFonts w:ascii="Arial" w:hAnsi="Arial" w:cs="Arial"/>
        </w:rPr>
        <w:t xml:space="preserve">. </w:t>
      </w:r>
      <w:r w:rsidR="003C54E8">
        <w:rPr>
          <w:rFonts w:ascii="Arial" w:hAnsi="Arial" w:cs="Arial"/>
        </w:rPr>
        <w:t>T</w:t>
      </w:r>
      <w:r w:rsidRPr="00363BF3">
        <w:rPr>
          <w:rFonts w:ascii="Arial" w:hAnsi="Arial" w:cs="Arial"/>
        </w:rPr>
        <w:t>reatment, care and support remain the most important focus for funding</w:t>
      </w:r>
      <w:r w:rsidR="003C54E8">
        <w:rPr>
          <w:rFonts w:ascii="Arial" w:hAnsi="Arial" w:cs="Arial"/>
        </w:rPr>
        <w:t xml:space="preserve"> in the current grant (USD 285 M, 78%)</w:t>
      </w:r>
      <w:r w:rsidRPr="00363BF3">
        <w:rPr>
          <w:rFonts w:ascii="Arial" w:hAnsi="Arial" w:cs="Arial"/>
        </w:rPr>
        <w:t xml:space="preserve">. </w:t>
      </w:r>
      <w:r w:rsidR="003C54E8">
        <w:rPr>
          <w:rFonts w:ascii="Arial" w:hAnsi="Arial" w:cs="Arial"/>
        </w:rPr>
        <w:t xml:space="preserve">About USD 44 M is for prevention (general population, key populations, and adolescents and youth), about 12% of total funding. </w:t>
      </w:r>
      <w:r w:rsidRPr="00363BF3">
        <w:rPr>
          <w:rFonts w:ascii="Arial" w:hAnsi="Arial" w:cs="Arial"/>
        </w:rPr>
        <w:t xml:space="preserve">In addition to specific amounts for health management information and procurement systems, </w:t>
      </w:r>
      <w:r w:rsidR="00826039">
        <w:rPr>
          <w:rFonts w:ascii="Arial" w:hAnsi="Arial" w:cs="Arial"/>
        </w:rPr>
        <w:t xml:space="preserve">USD </w:t>
      </w:r>
      <w:r w:rsidRPr="00363BF3">
        <w:rPr>
          <w:rFonts w:ascii="Arial" w:hAnsi="Arial" w:cs="Arial"/>
        </w:rPr>
        <w:t>4</w:t>
      </w:r>
      <w:r w:rsidR="003C54E8">
        <w:rPr>
          <w:rFonts w:ascii="Arial" w:hAnsi="Arial" w:cs="Arial"/>
        </w:rPr>
        <w:t>1</w:t>
      </w:r>
      <w:r w:rsidR="00B61AA0">
        <w:rPr>
          <w:rFonts w:ascii="Arial" w:hAnsi="Arial" w:cs="Arial"/>
        </w:rPr>
        <w:t xml:space="preserve"> M</w:t>
      </w:r>
      <w:r w:rsidRPr="00363BF3">
        <w:rPr>
          <w:rFonts w:ascii="Arial" w:hAnsi="Arial" w:cs="Arial"/>
        </w:rPr>
        <w:t xml:space="preserve"> has been allocated to health systems strengthening. </w:t>
      </w:r>
    </w:p>
    <w:p w14:paraId="50B65928" w14:textId="1EF6439D" w:rsidR="00184CA8" w:rsidRPr="00505F88" w:rsidRDefault="00184CA8" w:rsidP="00A36AD2">
      <w:pPr>
        <w:rPr>
          <w:rFonts w:ascii="Arial" w:hAnsi="Arial" w:cs="Arial"/>
          <w:i/>
          <w:sz w:val="24"/>
          <w:szCs w:val="24"/>
        </w:rPr>
      </w:pPr>
      <w:r>
        <w:rPr>
          <w:rFonts w:ascii="Arial" w:hAnsi="Arial" w:cs="Arial"/>
          <w:i/>
          <w:sz w:val="24"/>
          <w:szCs w:val="24"/>
        </w:rPr>
        <w:t>PEPFAR</w:t>
      </w:r>
    </w:p>
    <w:p w14:paraId="74DE8565" w14:textId="64BE2C7F" w:rsidR="00A36AD2" w:rsidRDefault="00A36AD2" w:rsidP="00A36AD2">
      <w:pPr>
        <w:rPr>
          <w:rFonts w:ascii="Arial" w:hAnsi="Arial" w:cs="Arial"/>
        </w:rPr>
      </w:pPr>
      <w:r w:rsidRPr="007E44DE">
        <w:rPr>
          <w:rFonts w:ascii="Arial" w:hAnsi="Arial" w:cs="Arial"/>
        </w:rPr>
        <w:t>PEPFAR expenditure is disbursed over a wider group of interventions but the expenditure on treatment remains</w:t>
      </w:r>
      <w:r w:rsidR="00A2301F">
        <w:rPr>
          <w:rFonts w:ascii="Arial" w:hAnsi="Arial" w:cs="Arial"/>
        </w:rPr>
        <w:t xml:space="preserve"> at</w:t>
      </w:r>
      <w:r w:rsidR="003B2E20">
        <w:rPr>
          <w:rFonts w:ascii="Arial" w:hAnsi="Arial" w:cs="Arial"/>
        </w:rPr>
        <w:t xml:space="preserve"> a</w:t>
      </w:r>
      <w:r w:rsidRPr="007E44DE">
        <w:rPr>
          <w:rFonts w:ascii="Arial" w:hAnsi="Arial" w:cs="Arial"/>
        </w:rPr>
        <w:t xml:space="preserve">pproximately one half of all PEPFAR HIV </w:t>
      </w:r>
      <w:r w:rsidR="003B2E20">
        <w:rPr>
          <w:rFonts w:ascii="Arial" w:hAnsi="Arial" w:cs="Arial"/>
        </w:rPr>
        <w:t>spending</w:t>
      </w:r>
      <w:r w:rsidRPr="007E44DE">
        <w:rPr>
          <w:rFonts w:ascii="Arial" w:hAnsi="Arial" w:cs="Arial"/>
        </w:rPr>
        <w:t xml:space="preserve">. The procurement of ARVs comprised less than </w:t>
      </w:r>
      <w:r w:rsidR="003B2E20">
        <w:rPr>
          <w:rFonts w:ascii="Arial" w:hAnsi="Arial" w:cs="Arial"/>
        </w:rPr>
        <w:t xml:space="preserve">USD </w:t>
      </w:r>
      <w:r w:rsidRPr="007E44DE">
        <w:rPr>
          <w:rFonts w:ascii="Arial" w:hAnsi="Arial" w:cs="Arial"/>
        </w:rPr>
        <w:t xml:space="preserve">2 million in 2015 but </w:t>
      </w:r>
      <w:r w:rsidR="007E44DE">
        <w:rPr>
          <w:rFonts w:ascii="Arial" w:hAnsi="Arial" w:cs="Arial"/>
        </w:rPr>
        <w:t>rose to</w:t>
      </w:r>
      <w:r w:rsidRPr="007E44DE">
        <w:rPr>
          <w:rFonts w:ascii="Arial" w:hAnsi="Arial" w:cs="Arial"/>
        </w:rPr>
        <w:t xml:space="preserve"> </w:t>
      </w:r>
      <w:r w:rsidR="003B2E20">
        <w:rPr>
          <w:rFonts w:ascii="Arial" w:hAnsi="Arial" w:cs="Arial"/>
        </w:rPr>
        <w:t xml:space="preserve">USD </w:t>
      </w:r>
      <w:r w:rsidRPr="007E44DE">
        <w:rPr>
          <w:rFonts w:ascii="Arial" w:hAnsi="Arial" w:cs="Arial"/>
        </w:rPr>
        <w:t xml:space="preserve">41 </w:t>
      </w:r>
      <w:r w:rsidR="00585A95">
        <w:rPr>
          <w:rFonts w:ascii="Arial" w:hAnsi="Arial" w:cs="Arial"/>
        </w:rPr>
        <w:t>M</w:t>
      </w:r>
      <w:r w:rsidRPr="007E44DE">
        <w:rPr>
          <w:rFonts w:ascii="Arial" w:hAnsi="Arial" w:cs="Arial"/>
        </w:rPr>
        <w:t xml:space="preserve"> in 201</w:t>
      </w:r>
      <w:r w:rsidR="007E44DE">
        <w:rPr>
          <w:rFonts w:ascii="Arial" w:hAnsi="Arial" w:cs="Arial"/>
        </w:rPr>
        <w:t>6</w:t>
      </w:r>
      <w:r w:rsidRPr="007E44DE">
        <w:rPr>
          <w:rFonts w:ascii="Arial" w:hAnsi="Arial" w:cs="Arial"/>
        </w:rPr>
        <w:t xml:space="preserve">. Other significant investments include HIV testing and counselling, providing support to orphans and vulnerable children, prevention through medical male circumcision and combination prevention for key and priority populations and the general population. Importantly, PEPFAR makes significant investments in health systems strengthening, more than </w:t>
      </w:r>
      <w:r w:rsidR="003B2E20">
        <w:rPr>
          <w:rFonts w:ascii="Arial" w:hAnsi="Arial" w:cs="Arial"/>
        </w:rPr>
        <w:t xml:space="preserve">USD </w:t>
      </w:r>
      <w:r w:rsidRPr="007E44DE">
        <w:rPr>
          <w:rFonts w:ascii="Arial" w:hAnsi="Arial" w:cs="Arial"/>
        </w:rPr>
        <w:t>40</w:t>
      </w:r>
      <w:r w:rsidR="00585A95">
        <w:rPr>
          <w:rFonts w:ascii="Arial" w:hAnsi="Arial" w:cs="Arial"/>
        </w:rPr>
        <w:t xml:space="preserve"> M</w:t>
      </w:r>
      <w:r w:rsidRPr="007E44DE">
        <w:rPr>
          <w:rFonts w:ascii="Arial" w:hAnsi="Arial" w:cs="Arial"/>
        </w:rPr>
        <w:t xml:space="preserve"> in 2015 and 2016. </w:t>
      </w:r>
    </w:p>
    <w:p w14:paraId="17B075EB" w14:textId="160D0F8D" w:rsidR="00A36AD2" w:rsidRPr="00E519E4" w:rsidRDefault="003F268C" w:rsidP="008544A5">
      <w:pPr>
        <w:rPr>
          <w:sz w:val="22"/>
        </w:rPr>
      </w:pPr>
      <w:r w:rsidRPr="00E519E4">
        <w:rPr>
          <w:rFonts w:ascii="Arial" w:hAnsi="Arial" w:cs="Arial"/>
          <w:i/>
          <w:sz w:val="18"/>
          <w:szCs w:val="22"/>
        </w:rPr>
        <w:t>Figure 2-1</w:t>
      </w:r>
      <w:r w:rsidR="003C54E8">
        <w:rPr>
          <w:rFonts w:ascii="Arial" w:hAnsi="Arial" w:cs="Arial"/>
          <w:i/>
          <w:sz w:val="18"/>
          <w:szCs w:val="22"/>
        </w:rPr>
        <w:t>3</w:t>
      </w:r>
      <w:r w:rsidRPr="00E519E4">
        <w:rPr>
          <w:rFonts w:ascii="Arial" w:hAnsi="Arial" w:cs="Arial"/>
          <w:i/>
          <w:sz w:val="18"/>
          <w:szCs w:val="22"/>
        </w:rPr>
        <w:t>. PEPFAR- High-level analysis of expenditure by intervention category (USD M)</w:t>
      </w:r>
    </w:p>
    <w:tbl>
      <w:tblPr>
        <w:tblStyle w:val="GridTable2-Accent5"/>
        <w:tblW w:w="9067" w:type="dxa"/>
        <w:tblLook w:val="04A0" w:firstRow="1" w:lastRow="0" w:firstColumn="1" w:lastColumn="0" w:noHBand="0" w:noVBand="1"/>
      </w:tblPr>
      <w:tblGrid>
        <w:gridCol w:w="3297"/>
        <w:gridCol w:w="1319"/>
        <w:gridCol w:w="989"/>
        <w:gridCol w:w="1813"/>
        <w:gridCol w:w="1649"/>
      </w:tblGrid>
      <w:tr w:rsidR="00A36AD2" w:rsidRPr="00E73709" w14:paraId="635B3592" w14:textId="77777777" w:rsidTr="00E0457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97" w:type="dxa"/>
            <w:tcBorders>
              <w:bottom w:val="single" w:sz="12" w:space="0" w:color="FF0000"/>
              <w:right w:val="single" w:sz="4" w:space="0" w:color="000000"/>
            </w:tcBorders>
            <w:noWrap/>
            <w:hideMark/>
          </w:tcPr>
          <w:p w14:paraId="67A88685" w14:textId="77777777" w:rsidR="00A36AD2" w:rsidRPr="00E73709" w:rsidRDefault="00A36AD2" w:rsidP="00E40EB0">
            <w:pPr>
              <w:rPr>
                <w:rFonts w:ascii="Arial" w:eastAsia="Times New Roman" w:hAnsi="Arial" w:cs="Arial"/>
                <w:sz w:val="18"/>
                <w:szCs w:val="24"/>
                <w:lang w:val="en-ZA" w:eastAsia="en-ZA"/>
              </w:rPr>
            </w:pPr>
            <w:r w:rsidRPr="00E73709">
              <w:rPr>
                <w:rFonts w:ascii="Arial" w:eastAsia="Times New Roman" w:hAnsi="Arial" w:cs="Arial"/>
                <w:sz w:val="18"/>
                <w:szCs w:val="24"/>
                <w:lang w:val="en-ZA" w:eastAsia="en-ZA"/>
              </w:rPr>
              <w:t>HIV Intervention</w:t>
            </w:r>
          </w:p>
        </w:tc>
        <w:tc>
          <w:tcPr>
            <w:tcW w:w="1319" w:type="dxa"/>
            <w:tcBorders>
              <w:left w:val="single" w:sz="4" w:space="0" w:color="000000"/>
              <w:bottom w:val="single" w:sz="12" w:space="0" w:color="FF0000"/>
              <w:right w:val="single" w:sz="4" w:space="0" w:color="000000"/>
            </w:tcBorders>
            <w:noWrap/>
            <w:vAlign w:val="center"/>
            <w:hideMark/>
          </w:tcPr>
          <w:p w14:paraId="473D8777" w14:textId="77777777" w:rsidR="00A36AD2" w:rsidRPr="00E73709" w:rsidRDefault="00A36AD2" w:rsidP="002E01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2015</w:t>
            </w:r>
          </w:p>
        </w:tc>
        <w:tc>
          <w:tcPr>
            <w:tcW w:w="989" w:type="dxa"/>
            <w:tcBorders>
              <w:left w:val="single" w:sz="4" w:space="0" w:color="000000"/>
              <w:bottom w:val="single" w:sz="12" w:space="0" w:color="FF0000"/>
              <w:right w:val="single" w:sz="4" w:space="0" w:color="000000"/>
            </w:tcBorders>
            <w:noWrap/>
            <w:vAlign w:val="center"/>
            <w:hideMark/>
          </w:tcPr>
          <w:p w14:paraId="1E82B055" w14:textId="77777777" w:rsidR="00A36AD2" w:rsidRPr="00E73709" w:rsidRDefault="00A36AD2" w:rsidP="002E01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2016</w:t>
            </w:r>
          </w:p>
        </w:tc>
        <w:tc>
          <w:tcPr>
            <w:tcW w:w="1813" w:type="dxa"/>
            <w:tcBorders>
              <w:left w:val="single" w:sz="4" w:space="0" w:color="000000"/>
              <w:bottom w:val="single" w:sz="12" w:space="0" w:color="FF0000"/>
              <w:right w:val="single" w:sz="4" w:space="0" w:color="000000"/>
            </w:tcBorders>
            <w:noWrap/>
            <w:vAlign w:val="center"/>
            <w:hideMark/>
          </w:tcPr>
          <w:p w14:paraId="16B36707" w14:textId="77777777" w:rsidR="00A36AD2" w:rsidRPr="00E73709" w:rsidRDefault="00A36AD2" w:rsidP="002E01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lang w:val="en-ZA" w:eastAsia="en-ZA"/>
              </w:rPr>
            </w:pPr>
            <w:r w:rsidRPr="00E73709">
              <w:rPr>
                <w:rFonts w:ascii="Arial" w:eastAsia="Times New Roman" w:hAnsi="Arial" w:cs="Arial"/>
                <w:sz w:val="18"/>
                <w:lang w:val="en-ZA" w:eastAsia="en-ZA"/>
              </w:rPr>
              <w:t>2015</w:t>
            </w:r>
          </w:p>
          <w:p w14:paraId="7B842938" w14:textId="77777777" w:rsidR="00A36AD2" w:rsidRPr="00E73709" w:rsidRDefault="00A36AD2" w:rsidP="002E01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 distribution</w:t>
            </w:r>
          </w:p>
        </w:tc>
        <w:tc>
          <w:tcPr>
            <w:tcW w:w="1649" w:type="dxa"/>
            <w:tcBorders>
              <w:left w:val="single" w:sz="4" w:space="0" w:color="000000"/>
              <w:bottom w:val="single" w:sz="12" w:space="0" w:color="FF0000"/>
            </w:tcBorders>
            <w:noWrap/>
            <w:vAlign w:val="center"/>
            <w:hideMark/>
          </w:tcPr>
          <w:p w14:paraId="182E3398" w14:textId="77777777" w:rsidR="00A36AD2" w:rsidRPr="00E73709" w:rsidRDefault="00A36AD2" w:rsidP="002E01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lang w:val="en-ZA" w:eastAsia="en-ZA"/>
              </w:rPr>
            </w:pPr>
            <w:r w:rsidRPr="00E73709">
              <w:rPr>
                <w:rFonts w:ascii="Arial" w:eastAsia="Times New Roman" w:hAnsi="Arial" w:cs="Arial"/>
                <w:sz w:val="18"/>
                <w:lang w:val="en-ZA" w:eastAsia="en-ZA"/>
              </w:rPr>
              <w:t>2016</w:t>
            </w:r>
          </w:p>
          <w:p w14:paraId="3F7E1793" w14:textId="77777777" w:rsidR="00A36AD2" w:rsidRPr="00E73709" w:rsidRDefault="00A36AD2" w:rsidP="002E018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eastAsia="Times New Roman" w:hAnsi="Arial" w:cs="Arial"/>
                <w:sz w:val="18"/>
                <w:lang w:val="en-ZA" w:eastAsia="en-ZA"/>
              </w:rPr>
              <w:t>% distribution</w:t>
            </w:r>
          </w:p>
        </w:tc>
      </w:tr>
      <w:tr w:rsidR="00A36AD2" w:rsidRPr="00E73709" w14:paraId="6AB33C4B" w14:textId="77777777" w:rsidTr="00E045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12" w:space="0" w:color="FF0000"/>
              <w:bottom w:val="single" w:sz="12" w:space="0" w:color="FF0000"/>
              <w:right w:val="single" w:sz="4" w:space="0" w:color="000000"/>
            </w:tcBorders>
            <w:shd w:val="clear" w:color="auto" w:fill="FFFFFF" w:themeFill="background1"/>
            <w:noWrap/>
            <w:hideMark/>
          </w:tcPr>
          <w:p w14:paraId="3D2313B5"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Treatment, care and support</w:t>
            </w:r>
          </w:p>
        </w:tc>
        <w:tc>
          <w:tcPr>
            <w:tcW w:w="1319" w:type="dxa"/>
            <w:tcBorders>
              <w:top w:val="single" w:sz="12" w:space="0" w:color="FF0000"/>
              <w:left w:val="single" w:sz="4" w:space="0" w:color="000000"/>
              <w:bottom w:val="single" w:sz="12" w:space="0" w:color="FF0000"/>
              <w:right w:val="single" w:sz="4" w:space="0" w:color="000000"/>
            </w:tcBorders>
            <w:shd w:val="clear" w:color="auto" w:fill="FFFFFF" w:themeFill="background1"/>
            <w:noWrap/>
            <w:hideMark/>
          </w:tcPr>
          <w:p w14:paraId="05B7CF4A"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147.9 </w:t>
            </w:r>
          </w:p>
        </w:tc>
        <w:tc>
          <w:tcPr>
            <w:tcW w:w="989" w:type="dxa"/>
            <w:tcBorders>
              <w:top w:val="single" w:sz="12" w:space="0" w:color="FF0000"/>
              <w:left w:val="single" w:sz="4" w:space="0" w:color="000000"/>
              <w:bottom w:val="single" w:sz="12" w:space="0" w:color="FF0000"/>
              <w:right w:val="single" w:sz="4" w:space="0" w:color="000000"/>
            </w:tcBorders>
            <w:shd w:val="clear" w:color="auto" w:fill="FFFFFF" w:themeFill="background1"/>
            <w:noWrap/>
            <w:hideMark/>
          </w:tcPr>
          <w:p w14:paraId="7797F6C3"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192.5 </w:t>
            </w:r>
          </w:p>
        </w:tc>
        <w:tc>
          <w:tcPr>
            <w:tcW w:w="1813" w:type="dxa"/>
            <w:tcBorders>
              <w:top w:val="single" w:sz="12" w:space="0" w:color="FF0000"/>
              <w:left w:val="single" w:sz="4" w:space="0" w:color="000000"/>
              <w:bottom w:val="single" w:sz="12" w:space="0" w:color="FF0000"/>
              <w:right w:val="single" w:sz="4" w:space="0" w:color="000000"/>
            </w:tcBorders>
            <w:shd w:val="clear" w:color="auto" w:fill="FFFFFF" w:themeFill="background1"/>
            <w:noWrap/>
            <w:vAlign w:val="center"/>
            <w:hideMark/>
          </w:tcPr>
          <w:p w14:paraId="1BE28F7A"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54.5%</w:t>
            </w:r>
          </w:p>
        </w:tc>
        <w:tc>
          <w:tcPr>
            <w:tcW w:w="1649" w:type="dxa"/>
            <w:tcBorders>
              <w:top w:val="single" w:sz="12" w:space="0" w:color="FF0000"/>
              <w:left w:val="single" w:sz="4" w:space="0" w:color="000000"/>
              <w:bottom w:val="single" w:sz="12" w:space="0" w:color="FF0000"/>
            </w:tcBorders>
            <w:shd w:val="clear" w:color="auto" w:fill="FFFFFF" w:themeFill="background1"/>
            <w:noWrap/>
            <w:vAlign w:val="center"/>
            <w:hideMark/>
          </w:tcPr>
          <w:p w14:paraId="5DA6FFE1"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50.9%</w:t>
            </w:r>
          </w:p>
        </w:tc>
      </w:tr>
      <w:tr w:rsidR="00A36AD2" w:rsidRPr="00E73709" w14:paraId="7848BA9B" w14:textId="77777777" w:rsidTr="00E04577">
        <w:trPr>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12" w:space="0" w:color="FF0000"/>
              <w:bottom w:val="single" w:sz="4" w:space="0" w:color="000000"/>
              <w:right w:val="single" w:sz="4" w:space="0" w:color="000000"/>
            </w:tcBorders>
            <w:shd w:val="clear" w:color="auto" w:fill="FFFFFF" w:themeFill="background1"/>
            <w:noWrap/>
            <w:hideMark/>
          </w:tcPr>
          <w:p w14:paraId="791CF61D"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HIV testing and counselling</w:t>
            </w:r>
          </w:p>
        </w:tc>
        <w:tc>
          <w:tcPr>
            <w:tcW w:w="1319" w:type="dxa"/>
            <w:tcBorders>
              <w:top w:val="single" w:sz="12" w:space="0" w:color="FF0000"/>
              <w:left w:val="single" w:sz="4" w:space="0" w:color="000000"/>
              <w:bottom w:val="single" w:sz="4" w:space="0" w:color="000000"/>
              <w:right w:val="single" w:sz="4" w:space="0" w:color="000000"/>
            </w:tcBorders>
            <w:shd w:val="clear" w:color="auto" w:fill="FFFFFF" w:themeFill="background1"/>
            <w:noWrap/>
            <w:hideMark/>
          </w:tcPr>
          <w:p w14:paraId="671AB3D0"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19.3 </w:t>
            </w:r>
          </w:p>
        </w:tc>
        <w:tc>
          <w:tcPr>
            <w:tcW w:w="989" w:type="dxa"/>
            <w:tcBorders>
              <w:top w:val="single" w:sz="12" w:space="0" w:color="FF0000"/>
              <w:left w:val="single" w:sz="4" w:space="0" w:color="000000"/>
              <w:bottom w:val="single" w:sz="4" w:space="0" w:color="000000"/>
              <w:right w:val="single" w:sz="4" w:space="0" w:color="000000"/>
            </w:tcBorders>
            <w:shd w:val="clear" w:color="auto" w:fill="FFFFFF" w:themeFill="background1"/>
            <w:noWrap/>
            <w:hideMark/>
          </w:tcPr>
          <w:p w14:paraId="06712761"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36.5 </w:t>
            </w:r>
          </w:p>
        </w:tc>
        <w:tc>
          <w:tcPr>
            <w:tcW w:w="1813" w:type="dxa"/>
            <w:tcBorders>
              <w:top w:val="single" w:sz="12" w:space="0" w:color="FF0000"/>
              <w:left w:val="single" w:sz="4" w:space="0" w:color="000000"/>
              <w:bottom w:val="single" w:sz="4" w:space="0" w:color="000000"/>
              <w:right w:val="single" w:sz="4" w:space="0" w:color="000000"/>
            </w:tcBorders>
            <w:shd w:val="clear" w:color="auto" w:fill="FFFFFF" w:themeFill="background1"/>
            <w:noWrap/>
            <w:vAlign w:val="center"/>
            <w:hideMark/>
          </w:tcPr>
          <w:p w14:paraId="3E006E88"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6.4%</w:t>
            </w:r>
          </w:p>
        </w:tc>
        <w:tc>
          <w:tcPr>
            <w:tcW w:w="1649" w:type="dxa"/>
            <w:tcBorders>
              <w:top w:val="single" w:sz="12" w:space="0" w:color="FF0000"/>
              <w:left w:val="single" w:sz="4" w:space="0" w:color="000000"/>
              <w:bottom w:val="single" w:sz="4" w:space="0" w:color="000000"/>
            </w:tcBorders>
            <w:shd w:val="clear" w:color="auto" w:fill="FFFFFF" w:themeFill="background1"/>
            <w:noWrap/>
            <w:vAlign w:val="center"/>
            <w:hideMark/>
          </w:tcPr>
          <w:p w14:paraId="319D3D63"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6.6%</w:t>
            </w:r>
          </w:p>
        </w:tc>
      </w:tr>
      <w:tr w:rsidR="00A36AD2" w:rsidRPr="00E73709" w14:paraId="2B13ED7D" w14:textId="77777777" w:rsidTr="00E045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000000"/>
              <w:bottom w:val="single" w:sz="4" w:space="0" w:color="000000"/>
              <w:right w:val="single" w:sz="4" w:space="0" w:color="000000"/>
            </w:tcBorders>
            <w:shd w:val="clear" w:color="auto" w:fill="FFFFFF" w:themeFill="background1"/>
            <w:noWrap/>
            <w:hideMark/>
          </w:tcPr>
          <w:p w14:paraId="192BBCA1"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Orphans &amp; vulnerable children</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DF02AC1"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20.1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41A505C8"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30.8 </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2DB910F"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6.7%</w:t>
            </w:r>
          </w:p>
        </w:tc>
        <w:tc>
          <w:tcPr>
            <w:tcW w:w="1649" w:type="dxa"/>
            <w:tcBorders>
              <w:top w:val="single" w:sz="4" w:space="0" w:color="000000"/>
              <w:left w:val="single" w:sz="4" w:space="0" w:color="000000"/>
              <w:bottom w:val="single" w:sz="4" w:space="0" w:color="000000"/>
            </w:tcBorders>
            <w:shd w:val="clear" w:color="auto" w:fill="FFFFFF" w:themeFill="background1"/>
            <w:noWrap/>
            <w:vAlign w:val="center"/>
            <w:hideMark/>
          </w:tcPr>
          <w:p w14:paraId="6C58F09F"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6.9%</w:t>
            </w:r>
          </w:p>
        </w:tc>
      </w:tr>
      <w:tr w:rsidR="00A36AD2" w:rsidRPr="00E73709" w14:paraId="01AE99D5" w14:textId="77777777" w:rsidTr="00E04577">
        <w:trPr>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000000"/>
              <w:bottom w:val="single" w:sz="4" w:space="0" w:color="000000"/>
              <w:right w:val="single" w:sz="4" w:space="0" w:color="000000"/>
            </w:tcBorders>
            <w:shd w:val="clear" w:color="auto" w:fill="FFFFFF" w:themeFill="background1"/>
            <w:noWrap/>
            <w:hideMark/>
          </w:tcPr>
          <w:p w14:paraId="368A9347"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Prevention Key and priority populations</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D40CD7A"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16.9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A17B47C"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21.8 </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A73D9EE"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3.6%</w:t>
            </w:r>
          </w:p>
        </w:tc>
        <w:tc>
          <w:tcPr>
            <w:tcW w:w="1649" w:type="dxa"/>
            <w:tcBorders>
              <w:top w:val="single" w:sz="4" w:space="0" w:color="000000"/>
              <w:left w:val="single" w:sz="4" w:space="0" w:color="000000"/>
              <w:bottom w:val="single" w:sz="4" w:space="0" w:color="000000"/>
            </w:tcBorders>
            <w:shd w:val="clear" w:color="auto" w:fill="FFFFFF" w:themeFill="background1"/>
            <w:noWrap/>
            <w:vAlign w:val="center"/>
            <w:hideMark/>
          </w:tcPr>
          <w:p w14:paraId="097C53FC"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5.8%</w:t>
            </w:r>
          </w:p>
        </w:tc>
      </w:tr>
      <w:tr w:rsidR="00A36AD2" w:rsidRPr="00E73709" w14:paraId="0DA3E653" w14:textId="77777777" w:rsidTr="00E045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000000"/>
              <w:bottom w:val="single" w:sz="4" w:space="0" w:color="000000"/>
              <w:right w:val="single" w:sz="4" w:space="0" w:color="000000"/>
            </w:tcBorders>
            <w:shd w:val="clear" w:color="auto" w:fill="FFFFFF" w:themeFill="background1"/>
            <w:noWrap/>
            <w:hideMark/>
          </w:tcPr>
          <w:p w14:paraId="22502519" w14:textId="45C6904E" w:rsidR="00A36AD2" w:rsidRPr="00E73709" w:rsidRDefault="003F268C" w:rsidP="00E40EB0">
            <w:pPr>
              <w:rPr>
                <w:rFonts w:ascii="Arial" w:eastAsia="Times New Roman" w:hAnsi="Arial" w:cs="Arial"/>
                <w:b w:val="0"/>
                <w:sz w:val="18"/>
                <w:lang w:val="en-ZA" w:eastAsia="en-ZA"/>
              </w:rPr>
            </w:pPr>
            <w:r>
              <w:rPr>
                <w:rFonts w:ascii="Arial" w:eastAsia="Times New Roman" w:hAnsi="Arial" w:cs="Arial"/>
                <w:b w:val="0"/>
                <w:sz w:val="18"/>
                <w:lang w:val="en-ZA" w:eastAsia="en-ZA"/>
              </w:rPr>
              <w:t>VMMC</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7ABE3B5"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31.0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84B8D5E"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23.2 </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257B174E"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7.4%</w:t>
            </w:r>
          </w:p>
        </w:tc>
        <w:tc>
          <w:tcPr>
            <w:tcW w:w="1649" w:type="dxa"/>
            <w:tcBorders>
              <w:top w:val="single" w:sz="4" w:space="0" w:color="000000"/>
              <w:left w:val="single" w:sz="4" w:space="0" w:color="000000"/>
              <w:bottom w:val="single" w:sz="4" w:space="0" w:color="000000"/>
            </w:tcBorders>
            <w:shd w:val="clear" w:color="auto" w:fill="FFFFFF" w:themeFill="background1"/>
            <w:noWrap/>
            <w:vAlign w:val="center"/>
            <w:hideMark/>
          </w:tcPr>
          <w:p w14:paraId="7E39E219"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10.7%</w:t>
            </w:r>
          </w:p>
        </w:tc>
      </w:tr>
      <w:tr w:rsidR="00A36AD2" w:rsidRPr="00E73709" w14:paraId="22843A5F" w14:textId="77777777" w:rsidTr="00E04577">
        <w:trPr>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000000"/>
              <w:bottom w:val="single" w:sz="4" w:space="0" w:color="000000"/>
              <w:right w:val="single" w:sz="4" w:space="0" w:color="000000"/>
            </w:tcBorders>
            <w:shd w:val="clear" w:color="auto" w:fill="FFFFFF" w:themeFill="background1"/>
            <w:noWrap/>
            <w:hideMark/>
          </w:tcPr>
          <w:p w14:paraId="63C7C0C3"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Prevention - General population</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13AE50A"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8.1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4B716F33"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   </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59C3C4B4"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5.6%</w:t>
            </w:r>
          </w:p>
        </w:tc>
        <w:tc>
          <w:tcPr>
            <w:tcW w:w="1649" w:type="dxa"/>
            <w:tcBorders>
              <w:top w:val="single" w:sz="4" w:space="0" w:color="000000"/>
              <w:left w:val="single" w:sz="4" w:space="0" w:color="000000"/>
              <w:bottom w:val="single" w:sz="4" w:space="0" w:color="000000"/>
            </w:tcBorders>
            <w:shd w:val="clear" w:color="auto" w:fill="FFFFFF" w:themeFill="background1"/>
            <w:noWrap/>
            <w:vAlign w:val="center"/>
            <w:hideMark/>
          </w:tcPr>
          <w:p w14:paraId="465E1624"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2.8%</w:t>
            </w:r>
          </w:p>
        </w:tc>
      </w:tr>
      <w:tr w:rsidR="00A36AD2" w:rsidRPr="00E73709" w14:paraId="6A1E39B9" w14:textId="77777777" w:rsidTr="00E045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000000"/>
              <w:bottom w:val="single" w:sz="4" w:space="0" w:color="000000"/>
              <w:right w:val="single" w:sz="4" w:space="0" w:color="000000"/>
            </w:tcBorders>
            <w:shd w:val="clear" w:color="auto" w:fill="FFFFFF" w:themeFill="background1"/>
            <w:noWrap/>
            <w:hideMark/>
          </w:tcPr>
          <w:p w14:paraId="45C01971"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Health systems</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59CD01A"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41.9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BE85D4C"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31.0 </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C4FFD28"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14.4%</w:t>
            </w:r>
          </w:p>
        </w:tc>
        <w:tc>
          <w:tcPr>
            <w:tcW w:w="1649" w:type="dxa"/>
            <w:tcBorders>
              <w:top w:val="single" w:sz="4" w:space="0" w:color="000000"/>
              <w:left w:val="single" w:sz="4" w:space="0" w:color="000000"/>
              <w:bottom w:val="single" w:sz="4" w:space="0" w:color="000000"/>
            </w:tcBorders>
            <w:shd w:val="clear" w:color="auto" w:fill="FFFFFF" w:themeFill="background1"/>
            <w:noWrap/>
            <w:vAlign w:val="center"/>
            <w:hideMark/>
          </w:tcPr>
          <w:p w14:paraId="63AFCB7C"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14.4%</w:t>
            </w:r>
          </w:p>
        </w:tc>
      </w:tr>
      <w:tr w:rsidR="00A36AD2" w:rsidRPr="00E73709" w14:paraId="3FCE6BC4" w14:textId="77777777" w:rsidTr="00E04577">
        <w:trPr>
          <w:trHeight w:val="240"/>
        </w:trPr>
        <w:tc>
          <w:tcPr>
            <w:cnfStyle w:val="001000000000" w:firstRow="0" w:lastRow="0" w:firstColumn="1" w:lastColumn="0" w:oddVBand="0" w:evenVBand="0" w:oddHBand="0" w:evenHBand="0" w:firstRowFirstColumn="0" w:firstRowLastColumn="0" w:lastRowFirstColumn="0" w:lastRowLastColumn="0"/>
            <w:tcW w:w="3297" w:type="dxa"/>
            <w:tcBorders>
              <w:top w:val="single" w:sz="4" w:space="0" w:color="000000"/>
              <w:bottom w:val="single" w:sz="4" w:space="0" w:color="000000"/>
              <w:right w:val="single" w:sz="4" w:space="0" w:color="000000"/>
            </w:tcBorders>
            <w:shd w:val="clear" w:color="auto" w:fill="FFFFFF" w:themeFill="background1"/>
            <w:noWrap/>
            <w:hideMark/>
          </w:tcPr>
          <w:p w14:paraId="24995AB5" w14:textId="77777777" w:rsidR="00A36AD2" w:rsidRPr="00E73709" w:rsidRDefault="00A36AD2" w:rsidP="00E40EB0">
            <w:pPr>
              <w:rPr>
                <w:rFonts w:ascii="Arial" w:eastAsia="Times New Roman" w:hAnsi="Arial" w:cs="Arial"/>
                <w:b w:val="0"/>
                <w:sz w:val="18"/>
                <w:lang w:val="en-ZA" w:eastAsia="en-ZA"/>
              </w:rPr>
            </w:pPr>
            <w:r w:rsidRPr="00E73709">
              <w:rPr>
                <w:rFonts w:ascii="Arial" w:eastAsia="Times New Roman" w:hAnsi="Arial" w:cs="Arial"/>
                <w:b w:val="0"/>
                <w:sz w:val="18"/>
                <w:lang w:val="en-ZA" w:eastAsia="en-ZA"/>
              </w:rPr>
              <w:t>Other</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2A3985D5"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5.22 </w:t>
            </w:r>
          </w:p>
        </w:tc>
        <w:tc>
          <w:tcPr>
            <w:tcW w:w="98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BCFF911"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 xml:space="preserve"> 3.49 </w:t>
            </w:r>
          </w:p>
        </w:tc>
        <w:tc>
          <w:tcPr>
            <w:tcW w:w="181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4930652"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1.4%</w:t>
            </w:r>
          </w:p>
        </w:tc>
        <w:tc>
          <w:tcPr>
            <w:tcW w:w="1649" w:type="dxa"/>
            <w:tcBorders>
              <w:top w:val="single" w:sz="4" w:space="0" w:color="000000"/>
              <w:left w:val="single" w:sz="4" w:space="0" w:color="000000"/>
              <w:bottom w:val="single" w:sz="4" w:space="0" w:color="000000"/>
            </w:tcBorders>
            <w:shd w:val="clear" w:color="auto" w:fill="FFFFFF" w:themeFill="background1"/>
            <w:noWrap/>
            <w:vAlign w:val="center"/>
            <w:hideMark/>
          </w:tcPr>
          <w:p w14:paraId="47666F73" w14:textId="77777777" w:rsidR="00A36AD2" w:rsidRPr="00E73709" w:rsidRDefault="00A36AD2" w:rsidP="002E018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1.8%</w:t>
            </w:r>
          </w:p>
        </w:tc>
      </w:tr>
      <w:tr w:rsidR="00A36AD2" w:rsidRPr="00E73709" w14:paraId="12C5765E" w14:textId="77777777" w:rsidTr="00A178D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bottom w:val="single" w:sz="4" w:space="0" w:color="000000"/>
              <w:right w:val="single" w:sz="4" w:space="0" w:color="000000"/>
            </w:tcBorders>
            <w:shd w:val="clear" w:color="auto" w:fill="FFFFFF" w:themeFill="background1"/>
            <w:noWrap/>
            <w:hideMark/>
          </w:tcPr>
          <w:p w14:paraId="6D0901A3" w14:textId="6D9AC7E4" w:rsidR="00A36AD2" w:rsidRPr="00E73709" w:rsidRDefault="00A36AD2" w:rsidP="00E40EB0">
            <w:pPr>
              <w:rPr>
                <w:rFonts w:ascii="Arial" w:eastAsia="Times New Roman" w:hAnsi="Arial" w:cs="Arial"/>
                <w:sz w:val="18"/>
                <w:lang w:val="en-ZA" w:eastAsia="en-ZA"/>
              </w:rPr>
            </w:pPr>
            <w:r w:rsidRPr="00E73709">
              <w:rPr>
                <w:rFonts w:ascii="Arial" w:eastAsia="Times New Roman" w:hAnsi="Arial" w:cs="Arial"/>
                <w:sz w:val="18"/>
                <w:lang w:val="en-ZA" w:eastAsia="en-ZA"/>
              </w:rPr>
              <w:t>T</w:t>
            </w:r>
            <w:r w:rsidR="003F268C">
              <w:rPr>
                <w:rFonts w:ascii="Arial" w:eastAsia="Times New Roman" w:hAnsi="Arial" w:cs="Arial"/>
                <w:sz w:val="18"/>
                <w:lang w:val="en-ZA" w:eastAsia="en-ZA"/>
              </w:rPr>
              <w:t>otal</w:t>
            </w:r>
            <w:r w:rsidRPr="00E73709">
              <w:rPr>
                <w:rFonts w:ascii="Arial" w:eastAsia="Times New Roman" w:hAnsi="Arial" w:cs="Arial"/>
                <w:sz w:val="18"/>
                <w:lang w:val="en-ZA" w:eastAsia="en-ZA"/>
              </w:rPr>
              <w:t xml:space="preserve"> expenditure</w:t>
            </w: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D90B657"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lang w:val="en-ZA" w:eastAsia="en-ZA"/>
              </w:rPr>
            </w:pPr>
            <w:r w:rsidRPr="00E73709">
              <w:rPr>
                <w:rFonts w:ascii="Arial" w:hAnsi="Arial" w:cs="Arial"/>
                <w:sz w:val="18"/>
              </w:rPr>
              <w:t xml:space="preserve"> 290.4 </w:t>
            </w: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3AFDF48"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lang w:val="en-ZA" w:eastAsia="en-ZA"/>
              </w:rPr>
            </w:pPr>
            <w:r w:rsidRPr="00E73709">
              <w:rPr>
                <w:rFonts w:ascii="Arial" w:hAnsi="Arial" w:cs="Arial"/>
                <w:sz w:val="18"/>
              </w:rPr>
              <w:t xml:space="preserve"> 339.3 </w:t>
            </w:r>
          </w:p>
        </w:tc>
        <w:tc>
          <w:tcPr>
            <w:tcW w:w="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D157F10"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100.0%</w:t>
            </w:r>
          </w:p>
        </w:tc>
        <w:tc>
          <w:tcPr>
            <w:tcW w:w="0" w:type="dxa"/>
            <w:tcBorders>
              <w:top w:val="single" w:sz="4" w:space="0" w:color="000000"/>
              <w:left w:val="single" w:sz="4" w:space="0" w:color="000000"/>
              <w:bottom w:val="single" w:sz="4" w:space="0" w:color="000000"/>
            </w:tcBorders>
            <w:shd w:val="clear" w:color="auto" w:fill="FFFFFF" w:themeFill="background1"/>
            <w:noWrap/>
            <w:vAlign w:val="center"/>
            <w:hideMark/>
          </w:tcPr>
          <w:p w14:paraId="0CB83B3E" w14:textId="77777777" w:rsidR="00A36AD2" w:rsidRPr="00E73709" w:rsidRDefault="00A36AD2" w:rsidP="002E018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E73709">
              <w:rPr>
                <w:rFonts w:ascii="Arial" w:hAnsi="Arial" w:cs="Arial"/>
                <w:sz w:val="18"/>
              </w:rPr>
              <w:t>100.0%</w:t>
            </w:r>
          </w:p>
        </w:tc>
      </w:tr>
    </w:tbl>
    <w:p w14:paraId="4E9013A6" w14:textId="0E1A4ED2" w:rsidR="00BD2E89" w:rsidRPr="008544A5" w:rsidRDefault="00A36AD2" w:rsidP="00E519E4">
      <w:pPr>
        <w:spacing w:after="0"/>
        <w:rPr>
          <w:rFonts w:ascii="Arial" w:hAnsi="Arial" w:cs="Arial"/>
          <w:sz w:val="16"/>
        </w:rPr>
      </w:pPr>
      <w:r w:rsidRPr="008544A5">
        <w:rPr>
          <w:rFonts w:ascii="Arial" w:hAnsi="Arial" w:cs="Arial"/>
          <w:b/>
          <w:sz w:val="16"/>
        </w:rPr>
        <w:t>Note</w:t>
      </w:r>
      <w:r w:rsidRPr="008544A5">
        <w:rPr>
          <w:rFonts w:ascii="Arial" w:hAnsi="Arial" w:cs="Arial"/>
          <w:sz w:val="16"/>
        </w:rPr>
        <w:t>: Treatment, care and support includes prevention of mother to child transmission. A breakdown of 2017 expenditure was not available at the time of writing.</w:t>
      </w:r>
      <w:r w:rsidR="00074B8A">
        <w:rPr>
          <w:rFonts w:ascii="Arial" w:hAnsi="Arial" w:cs="Arial"/>
          <w:sz w:val="16"/>
        </w:rPr>
        <w:t xml:space="preserve"> </w:t>
      </w:r>
      <w:r w:rsidR="003F268C" w:rsidRPr="00276364">
        <w:rPr>
          <w:rFonts w:ascii="Arial" w:hAnsi="Arial" w:cs="Arial"/>
          <w:b/>
          <w:sz w:val="16"/>
        </w:rPr>
        <w:t>Sources:</w:t>
      </w:r>
      <w:r w:rsidR="003F268C">
        <w:rPr>
          <w:rFonts w:ascii="Arial" w:hAnsi="Arial" w:cs="Arial"/>
          <w:sz w:val="16"/>
        </w:rPr>
        <w:t xml:space="preserve"> PEPFAR Expenditure Report</w:t>
      </w:r>
      <w:r w:rsidR="000A1997">
        <w:rPr>
          <w:rFonts w:ascii="Arial" w:hAnsi="Arial" w:cs="Arial"/>
          <w:sz w:val="16"/>
        </w:rPr>
        <w:t>, 2017</w:t>
      </w:r>
    </w:p>
    <w:p w14:paraId="4959BEEF" w14:textId="3160456E" w:rsidR="00142CB4" w:rsidRPr="00142CB4" w:rsidRDefault="00142CB4" w:rsidP="00444084">
      <w:pPr>
        <w:spacing w:after="0"/>
      </w:pPr>
    </w:p>
    <w:p w14:paraId="3B6F3188" w14:textId="60961605" w:rsidR="001F3C53" w:rsidRDefault="001F3C53" w:rsidP="002B3153">
      <w:pPr>
        <w:pStyle w:val="Heading3"/>
        <w:spacing w:before="0"/>
        <w:rPr>
          <w:rFonts w:ascii="Arial" w:hAnsi="Arial" w:cs="Arial"/>
          <w:i/>
          <w:color w:val="000000" w:themeColor="text1"/>
        </w:rPr>
      </w:pPr>
      <w:bookmarkStart w:id="52" w:name="_Toc57035149"/>
      <w:r>
        <w:rPr>
          <w:rFonts w:ascii="Arial" w:hAnsi="Arial" w:cs="Arial"/>
          <w:i/>
          <w:color w:val="000000" w:themeColor="text1"/>
        </w:rPr>
        <w:t>Domestic financing</w:t>
      </w:r>
      <w:bookmarkEnd w:id="52"/>
    </w:p>
    <w:p w14:paraId="78D7ACA2" w14:textId="77777777" w:rsidR="00C57DC0" w:rsidRPr="00505F88" w:rsidRDefault="00C57DC0" w:rsidP="002B3153">
      <w:pPr>
        <w:spacing w:after="0"/>
      </w:pPr>
    </w:p>
    <w:p w14:paraId="0772CEC3" w14:textId="7B8E8C14" w:rsidR="001F3C53" w:rsidRDefault="00C57DC0" w:rsidP="002B3153">
      <w:pPr>
        <w:spacing w:after="0"/>
        <w:rPr>
          <w:rFonts w:ascii="Arial" w:hAnsi="Arial" w:cs="Arial"/>
        </w:rPr>
      </w:pPr>
      <w:r w:rsidRPr="0071750D">
        <w:rPr>
          <w:rFonts w:ascii="Arial" w:hAnsi="Arial" w:cs="Arial"/>
        </w:rPr>
        <w:t>In 2017, the estimated domestic contribution was</w:t>
      </w:r>
      <w:r>
        <w:rPr>
          <w:rFonts w:ascii="Arial" w:hAnsi="Arial" w:cs="Arial"/>
        </w:rPr>
        <w:t xml:space="preserve"> USD </w:t>
      </w:r>
      <w:r w:rsidRPr="0071750D">
        <w:rPr>
          <w:rFonts w:ascii="Arial" w:hAnsi="Arial" w:cs="Arial"/>
        </w:rPr>
        <w:t xml:space="preserve">52.3 </w:t>
      </w:r>
      <w:r>
        <w:rPr>
          <w:rFonts w:ascii="Arial" w:hAnsi="Arial" w:cs="Arial"/>
        </w:rPr>
        <w:t xml:space="preserve">M, less than 10% of total </w:t>
      </w:r>
      <w:r w:rsidR="003B2E20">
        <w:rPr>
          <w:rFonts w:ascii="Arial" w:hAnsi="Arial" w:cs="Arial"/>
        </w:rPr>
        <w:t xml:space="preserve">HIV </w:t>
      </w:r>
      <w:r>
        <w:rPr>
          <w:rFonts w:ascii="Arial" w:hAnsi="Arial" w:cs="Arial"/>
        </w:rPr>
        <w:t>expenditure</w:t>
      </w:r>
      <w:r w:rsidRPr="0071750D">
        <w:rPr>
          <w:rFonts w:ascii="Arial" w:hAnsi="Arial" w:cs="Arial"/>
        </w:rPr>
        <w:t xml:space="preserve">. </w:t>
      </w:r>
      <w:r w:rsidR="003B2E20">
        <w:rPr>
          <w:rFonts w:ascii="Arial" w:hAnsi="Arial" w:cs="Arial"/>
        </w:rPr>
        <w:t>D</w:t>
      </w:r>
      <w:r>
        <w:rPr>
          <w:rFonts w:ascii="Arial" w:hAnsi="Arial" w:cs="Arial"/>
        </w:rPr>
        <w:t>omestic resources have increased over time</w:t>
      </w:r>
      <w:r w:rsidR="003B2E20">
        <w:rPr>
          <w:rFonts w:ascii="Arial" w:hAnsi="Arial" w:cs="Arial"/>
        </w:rPr>
        <w:t xml:space="preserve">, </w:t>
      </w:r>
      <w:r w:rsidRPr="0071750D">
        <w:rPr>
          <w:rFonts w:ascii="Arial" w:hAnsi="Arial" w:cs="Arial"/>
        </w:rPr>
        <w:t xml:space="preserve">from </w:t>
      </w:r>
      <w:r>
        <w:rPr>
          <w:rFonts w:ascii="Arial" w:hAnsi="Arial" w:cs="Arial"/>
        </w:rPr>
        <w:t xml:space="preserve">USD </w:t>
      </w:r>
      <w:r w:rsidRPr="0071750D">
        <w:rPr>
          <w:rFonts w:ascii="Arial" w:hAnsi="Arial" w:cs="Arial"/>
        </w:rPr>
        <w:t xml:space="preserve">36.8 </w:t>
      </w:r>
      <w:r>
        <w:rPr>
          <w:rFonts w:ascii="Arial" w:hAnsi="Arial" w:cs="Arial"/>
        </w:rPr>
        <w:t>M in fiscal year 2014-2015</w:t>
      </w:r>
      <w:r w:rsidRPr="0071750D">
        <w:rPr>
          <w:rFonts w:ascii="Arial" w:hAnsi="Arial" w:cs="Arial"/>
        </w:rPr>
        <w:t xml:space="preserve"> to </w:t>
      </w:r>
      <w:r>
        <w:rPr>
          <w:rFonts w:ascii="Arial" w:hAnsi="Arial" w:cs="Arial"/>
        </w:rPr>
        <w:t xml:space="preserve">USD </w:t>
      </w:r>
      <w:r w:rsidRPr="0071750D">
        <w:rPr>
          <w:rFonts w:ascii="Arial" w:hAnsi="Arial" w:cs="Arial"/>
        </w:rPr>
        <w:t xml:space="preserve">52.3 </w:t>
      </w:r>
      <w:r w:rsidR="00585A95">
        <w:rPr>
          <w:rFonts w:ascii="Arial" w:hAnsi="Arial" w:cs="Arial"/>
        </w:rPr>
        <w:t xml:space="preserve">M </w:t>
      </w:r>
      <w:r>
        <w:rPr>
          <w:rFonts w:ascii="Arial" w:hAnsi="Arial" w:cs="Arial"/>
        </w:rPr>
        <w:t xml:space="preserve">in </w:t>
      </w:r>
      <w:r w:rsidRPr="0071750D">
        <w:rPr>
          <w:rFonts w:ascii="Arial" w:hAnsi="Arial" w:cs="Arial"/>
        </w:rPr>
        <w:t>2016</w:t>
      </w:r>
      <w:r>
        <w:rPr>
          <w:rFonts w:ascii="Arial" w:hAnsi="Arial" w:cs="Arial"/>
        </w:rPr>
        <w:t>-20</w:t>
      </w:r>
      <w:r w:rsidRPr="0071750D">
        <w:rPr>
          <w:rFonts w:ascii="Arial" w:hAnsi="Arial" w:cs="Arial"/>
        </w:rPr>
        <w:t>17</w:t>
      </w:r>
      <w:r>
        <w:rPr>
          <w:rFonts w:ascii="Arial" w:hAnsi="Arial" w:cs="Arial"/>
        </w:rPr>
        <w:t xml:space="preserve">, a </w:t>
      </w:r>
      <w:r w:rsidRPr="0071750D">
        <w:rPr>
          <w:rFonts w:ascii="Arial" w:hAnsi="Arial" w:cs="Arial"/>
        </w:rPr>
        <w:t xml:space="preserve">42% </w:t>
      </w:r>
      <w:r w:rsidR="003B2E20">
        <w:rPr>
          <w:rFonts w:ascii="Arial" w:hAnsi="Arial" w:cs="Arial"/>
        </w:rPr>
        <w:t xml:space="preserve">rise </w:t>
      </w:r>
      <w:r w:rsidRPr="0071750D">
        <w:rPr>
          <w:rFonts w:ascii="Arial" w:hAnsi="Arial" w:cs="Arial"/>
        </w:rPr>
        <w:t xml:space="preserve">over the three-year period. </w:t>
      </w:r>
      <w:r>
        <w:rPr>
          <w:rFonts w:ascii="Arial" w:hAnsi="Arial" w:cs="Arial"/>
        </w:rPr>
        <w:t xml:space="preserve">Looking further back, from </w:t>
      </w:r>
      <w:r w:rsidRPr="0071750D">
        <w:rPr>
          <w:rFonts w:ascii="Arial" w:hAnsi="Arial" w:cs="Arial"/>
        </w:rPr>
        <w:t>July 2011 to June 2014</w:t>
      </w:r>
      <w:r>
        <w:rPr>
          <w:rFonts w:ascii="Arial" w:hAnsi="Arial" w:cs="Arial"/>
        </w:rPr>
        <w:t xml:space="preserve"> the 3-year total funding was USD </w:t>
      </w:r>
      <w:r w:rsidRPr="0071750D">
        <w:rPr>
          <w:rFonts w:ascii="Arial" w:hAnsi="Arial" w:cs="Arial"/>
        </w:rPr>
        <w:t xml:space="preserve">78.7 </w:t>
      </w:r>
      <w:r>
        <w:rPr>
          <w:rFonts w:ascii="Arial" w:hAnsi="Arial" w:cs="Arial"/>
        </w:rPr>
        <w:t>M</w:t>
      </w:r>
      <w:r w:rsidR="003B2E20">
        <w:rPr>
          <w:rFonts w:ascii="Arial" w:hAnsi="Arial" w:cs="Arial"/>
        </w:rPr>
        <w:t>,</w:t>
      </w:r>
      <w:r w:rsidRPr="0071750D">
        <w:rPr>
          <w:rFonts w:ascii="Arial" w:hAnsi="Arial" w:cs="Arial"/>
        </w:rPr>
        <w:t xml:space="preserve"> </w:t>
      </w:r>
      <w:r>
        <w:rPr>
          <w:rFonts w:ascii="Arial" w:hAnsi="Arial" w:cs="Arial"/>
        </w:rPr>
        <w:t>and</w:t>
      </w:r>
      <w:r w:rsidRPr="0071750D">
        <w:rPr>
          <w:rFonts w:ascii="Arial" w:hAnsi="Arial" w:cs="Arial"/>
        </w:rPr>
        <w:t xml:space="preserve"> </w:t>
      </w:r>
      <w:r>
        <w:rPr>
          <w:rFonts w:ascii="Arial" w:hAnsi="Arial" w:cs="Arial"/>
        </w:rPr>
        <w:t xml:space="preserve">this increased to USD </w:t>
      </w:r>
      <w:r w:rsidRPr="0071750D">
        <w:rPr>
          <w:rFonts w:ascii="Arial" w:hAnsi="Arial" w:cs="Arial"/>
        </w:rPr>
        <w:t xml:space="preserve">138.8 </w:t>
      </w:r>
      <w:r>
        <w:rPr>
          <w:rFonts w:ascii="Arial" w:hAnsi="Arial" w:cs="Arial"/>
        </w:rPr>
        <w:t>M</w:t>
      </w:r>
      <w:r w:rsidR="00585A95">
        <w:rPr>
          <w:rFonts w:ascii="Arial" w:hAnsi="Arial" w:cs="Arial"/>
        </w:rPr>
        <w:t xml:space="preserve"> </w:t>
      </w:r>
      <w:r>
        <w:rPr>
          <w:rFonts w:ascii="Arial" w:hAnsi="Arial" w:cs="Arial"/>
        </w:rPr>
        <w:t xml:space="preserve">from </w:t>
      </w:r>
      <w:r w:rsidRPr="0071750D">
        <w:rPr>
          <w:rFonts w:ascii="Arial" w:hAnsi="Arial" w:cs="Arial"/>
        </w:rPr>
        <w:t xml:space="preserve">July 2014 to June 2017. It should be noted that </w:t>
      </w:r>
      <w:r>
        <w:rPr>
          <w:rFonts w:ascii="Arial" w:hAnsi="Arial" w:cs="Arial"/>
        </w:rPr>
        <w:t>these figures for government contributions include human resources</w:t>
      </w:r>
      <w:r w:rsidR="003B2E20">
        <w:rPr>
          <w:rFonts w:ascii="Arial" w:hAnsi="Arial" w:cs="Arial"/>
        </w:rPr>
        <w:t xml:space="preserve">, </w:t>
      </w:r>
      <w:r w:rsidR="00CF1B34">
        <w:rPr>
          <w:rFonts w:ascii="Arial" w:hAnsi="Arial" w:cs="Arial"/>
        </w:rPr>
        <w:t xml:space="preserve">logistics support, and infrastructure, </w:t>
      </w:r>
      <w:r w:rsidR="003B2E20">
        <w:rPr>
          <w:rFonts w:ascii="Arial" w:hAnsi="Arial" w:cs="Arial"/>
        </w:rPr>
        <w:t>with relatively little spending on commodities, equipment, and technical assistance which is financed by the donors</w:t>
      </w:r>
      <w:r w:rsidRPr="0071750D">
        <w:rPr>
          <w:rFonts w:ascii="Arial" w:hAnsi="Arial" w:cs="Arial"/>
        </w:rPr>
        <w:t>.</w:t>
      </w:r>
    </w:p>
    <w:p w14:paraId="26A0E01E" w14:textId="04C29454" w:rsidR="001B499B" w:rsidRDefault="001B499B" w:rsidP="002B3153">
      <w:pPr>
        <w:spacing w:after="0"/>
        <w:rPr>
          <w:rFonts w:ascii="Arial" w:hAnsi="Arial" w:cs="Arial"/>
        </w:rPr>
      </w:pPr>
    </w:p>
    <w:p w14:paraId="37C0FB2F" w14:textId="24877315" w:rsidR="001B499B" w:rsidRDefault="001B499B" w:rsidP="002B3153">
      <w:pPr>
        <w:spacing w:after="0"/>
        <w:rPr>
          <w:rFonts w:ascii="Arial" w:hAnsi="Arial" w:cs="Arial"/>
        </w:rPr>
      </w:pPr>
      <w:r>
        <w:rPr>
          <w:rFonts w:ascii="Arial" w:hAnsi="Arial" w:cs="Arial"/>
          <w:color w:val="222222"/>
          <w:shd w:val="clear" w:color="auto" w:fill="FFFFFF"/>
        </w:rPr>
        <w:t>The estimates of the domestic contribution were derived from the Global Fund funding landscape analysis included in the funding request for the current grant. A breakdown of these amounts is not provided in the funding request but notes point to the National Health Accounts as the original source for the first-year o estimate (2015). For the years 2018-2020, approximately half the total domestic contribution is allocated to Program Administration and M&amp;E, including significant allocations for human resources, logistical support and infrastructure. Thus, the increase in domestic contribution between 2015 and 2017 may have resulted, in part, from improved record keeping and reporting, salary increments and a change in the method for allocating shared costs to the HIV response. Significant increases were not reflected in the relatively low spending on commodities, equipment, and technical assistance, which remain hea</w:t>
      </w:r>
      <w:r w:rsidR="000D6814">
        <w:rPr>
          <w:rFonts w:ascii="Arial" w:hAnsi="Arial" w:cs="Arial"/>
          <w:color w:val="222222"/>
          <w:shd w:val="clear" w:color="auto" w:fill="FFFFFF"/>
        </w:rPr>
        <w:t>v</w:t>
      </w:r>
      <w:r>
        <w:rPr>
          <w:rFonts w:ascii="Arial" w:hAnsi="Arial" w:cs="Arial"/>
          <w:color w:val="222222"/>
          <w:shd w:val="clear" w:color="auto" w:fill="FFFFFF"/>
        </w:rPr>
        <w:t>ily financed by donors. ‘</w:t>
      </w:r>
    </w:p>
    <w:p w14:paraId="46621794" w14:textId="77777777" w:rsidR="003B2E20" w:rsidRPr="00505F88" w:rsidRDefault="003B2E20" w:rsidP="002B3153">
      <w:pPr>
        <w:spacing w:after="0"/>
      </w:pPr>
    </w:p>
    <w:p w14:paraId="55545172" w14:textId="45968B6A" w:rsidR="00142CB4" w:rsidRDefault="00AC1B5F" w:rsidP="002B3153">
      <w:pPr>
        <w:pStyle w:val="Heading3"/>
        <w:spacing w:before="0"/>
        <w:rPr>
          <w:rFonts w:ascii="Arial" w:hAnsi="Arial" w:cs="Arial"/>
          <w:i/>
          <w:color w:val="000000" w:themeColor="text1"/>
        </w:rPr>
      </w:pPr>
      <w:bookmarkStart w:id="53" w:name="_Toc57035150"/>
      <w:r>
        <w:rPr>
          <w:rFonts w:ascii="Arial" w:hAnsi="Arial" w:cs="Arial"/>
          <w:i/>
          <w:color w:val="000000" w:themeColor="text1"/>
        </w:rPr>
        <w:t xml:space="preserve">Future </w:t>
      </w:r>
      <w:r w:rsidR="00045F9F">
        <w:rPr>
          <w:rFonts w:ascii="Arial" w:hAnsi="Arial" w:cs="Arial"/>
          <w:i/>
          <w:color w:val="000000" w:themeColor="text1"/>
        </w:rPr>
        <w:t>financing</w:t>
      </w:r>
      <w:bookmarkEnd w:id="53"/>
    </w:p>
    <w:p w14:paraId="4ABB1662" w14:textId="0544B096" w:rsidR="00AC1B5F" w:rsidRPr="00AC1B5F" w:rsidRDefault="00FB2E13" w:rsidP="002B3153">
      <w:pPr>
        <w:spacing w:after="0"/>
      </w:pPr>
      <w:r>
        <w:rPr>
          <w:noProof/>
        </w:rPr>
        <mc:AlternateContent>
          <mc:Choice Requires="wps">
            <w:drawing>
              <wp:anchor distT="0" distB="0" distL="114300" distR="114300" simplePos="0" relativeHeight="251784192" behindDoc="0" locked="0" layoutInCell="1" allowOverlap="1" wp14:anchorId="37370B63" wp14:editId="115E3A9A">
                <wp:simplePos x="0" y="0"/>
                <wp:positionH relativeFrom="column">
                  <wp:posOffset>3992880</wp:posOffset>
                </wp:positionH>
                <wp:positionV relativeFrom="paragraph">
                  <wp:posOffset>168275</wp:posOffset>
                </wp:positionV>
                <wp:extent cx="1859280" cy="1203960"/>
                <wp:effectExtent l="0" t="0" r="26670" b="15240"/>
                <wp:wrapSquare wrapText="bothSides"/>
                <wp:docPr id="24" name="Rectangle 24"/>
                <wp:cNvGraphicFramePr/>
                <a:graphic xmlns:a="http://schemas.openxmlformats.org/drawingml/2006/main">
                  <a:graphicData uri="http://schemas.microsoft.com/office/word/2010/wordprocessingShape">
                    <wps:wsp>
                      <wps:cNvSpPr/>
                      <wps:spPr>
                        <a:xfrm>
                          <a:off x="0" y="0"/>
                          <a:ext cx="1859280" cy="120396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6E7C9" w14:textId="77777777" w:rsidR="00426F25" w:rsidRPr="00276364" w:rsidRDefault="00426F25" w:rsidP="00276364">
                            <w:pPr>
                              <w:rPr>
                                <w:rFonts w:ascii="Arial" w:hAnsi="Arial" w:cs="Arial"/>
                                <w:b/>
                                <w:bCs/>
                              </w:rPr>
                            </w:pPr>
                            <w:r w:rsidRPr="00276364">
                              <w:rPr>
                                <w:rFonts w:ascii="Arial" w:hAnsi="Arial" w:cs="Arial"/>
                                <w:b/>
                                <w:bCs/>
                              </w:rPr>
                              <w:t xml:space="preserve">Donor funding declines are on the horizon: </w:t>
                            </w:r>
                          </w:p>
                          <w:p w14:paraId="1998EEBD" w14:textId="605C4CE5" w:rsidR="00426F25" w:rsidRPr="00276364" w:rsidRDefault="00426F25" w:rsidP="00276364">
                            <w:pPr>
                              <w:rPr>
                                <w:rFonts w:ascii="Arial" w:hAnsi="Arial" w:cs="Arial"/>
                                <w:b/>
                                <w:bCs/>
                              </w:rPr>
                            </w:pPr>
                            <w:r w:rsidRPr="00276364">
                              <w:rPr>
                                <w:rFonts w:ascii="Arial" w:hAnsi="Arial" w:cs="Arial"/>
                                <w:b/>
                                <w:bCs/>
                              </w:rPr>
                              <w:t>A 23% decline</w:t>
                            </w:r>
                            <w:r>
                              <w:rPr>
                                <w:rFonts w:ascii="Arial" w:hAnsi="Arial" w:cs="Arial"/>
                                <w:b/>
                                <w:bCs/>
                              </w:rPr>
                              <w:t xml:space="preserve"> in PEPFAR funding</w:t>
                            </w:r>
                            <w:r w:rsidRPr="00276364">
                              <w:rPr>
                                <w:rFonts w:ascii="Arial" w:hAnsi="Arial" w:cs="Arial"/>
                                <w:b/>
                                <w:bCs/>
                              </w:rPr>
                              <w:t xml:space="preserve"> is expected in </w:t>
                            </w:r>
                            <w:r>
                              <w:rPr>
                                <w:rFonts w:ascii="Arial" w:hAnsi="Arial" w:cs="Arial"/>
                                <w:b/>
                                <w:bCs/>
                              </w:rPr>
                              <w:t>FY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370B63" id="Rectangle 24" o:spid="_x0000_s1030" style="position:absolute;margin-left:314.4pt;margin-top:13.25pt;width:146.4pt;height:94.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" fillcolor="#c00000" strokecolor="black [3213]" strokeweight="1pt">
                <v:textbox>
                  <w:txbxContent>
                    <w:p w14:paraId="63D6E7C9" w14:textId="77777777" w:rsidR="00426F25" w:rsidRPr="00276364" w:rsidRDefault="00426F25" w:rsidP="00276364">
                      <w:pPr>
                        <w:rPr>
                          <w:rFonts w:ascii="Arial" w:hAnsi="Arial" w:cs="Arial"/>
                          <w:b/>
                          <w:bCs/>
                        </w:rPr>
                      </w:pPr>
                      <w:r w:rsidRPr="00276364">
                        <w:rPr>
                          <w:rFonts w:ascii="Arial" w:hAnsi="Arial" w:cs="Arial"/>
                          <w:b/>
                          <w:bCs/>
                        </w:rPr>
                        <w:t xml:space="preserve">Donor funding declines are on the horizon: </w:t>
                      </w:r>
                    </w:p>
                    <w:p w14:paraId="1998EEBD" w14:textId="605C4CE5" w:rsidR="00426F25" w:rsidRPr="00276364" w:rsidRDefault="00426F25" w:rsidP="00276364">
                      <w:pPr>
                        <w:rPr>
                          <w:rFonts w:ascii="Arial" w:hAnsi="Arial" w:cs="Arial"/>
                          <w:b/>
                          <w:bCs/>
                        </w:rPr>
                      </w:pPr>
                      <w:r w:rsidRPr="00276364">
                        <w:rPr>
                          <w:rFonts w:ascii="Arial" w:hAnsi="Arial" w:cs="Arial"/>
                          <w:b/>
                          <w:bCs/>
                        </w:rPr>
                        <w:t>A 23% decline</w:t>
                      </w:r>
                      <w:r>
                        <w:rPr>
                          <w:rFonts w:ascii="Arial" w:hAnsi="Arial" w:cs="Arial"/>
                          <w:b/>
                          <w:bCs/>
                        </w:rPr>
                        <w:t xml:space="preserve"> in PEPFAR funding</w:t>
                      </w:r>
                      <w:r w:rsidRPr="00276364">
                        <w:rPr>
                          <w:rFonts w:ascii="Arial" w:hAnsi="Arial" w:cs="Arial"/>
                          <w:b/>
                          <w:bCs/>
                        </w:rPr>
                        <w:t xml:space="preserve"> is expected in </w:t>
                      </w:r>
                      <w:r>
                        <w:rPr>
                          <w:rFonts w:ascii="Arial" w:hAnsi="Arial" w:cs="Arial"/>
                          <w:b/>
                          <w:bCs/>
                        </w:rPr>
                        <w:t>FY 2020</w:t>
                      </w:r>
                    </w:p>
                  </w:txbxContent>
                </v:textbox>
                <w10:wrap type="square"/>
              </v:rect>
            </w:pict>
          </mc:Fallback>
        </mc:AlternateContent>
      </w:r>
    </w:p>
    <w:p w14:paraId="251C1B27" w14:textId="07F0331C" w:rsidR="001F3C53" w:rsidRDefault="00DB2971" w:rsidP="008D3CCA">
      <w:pPr>
        <w:spacing w:after="0"/>
        <w:rPr>
          <w:rFonts w:ascii="Arial" w:hAnsi="Arial" w:cs="Arial"/>
          <w:szCs w:val="22"/>
        </w:rPr>
      </w:pPr>
      <w:r>
        <w:rPr>
          <w:rFonts w:ascii="Arial" w:hAnsi="Arial" w:cs="Arial"/>
          <w:szCs w:val="22"/>
        </w:rPr>
        <w:t xml:space="preserve">Although HIV financing trends in Tanzania </w:t>
      </w:r>
      <w:r w:rsidR="003B2E20">
        <w:rPr>
          <w:rFonts w:ascii="Arial" w:hAnsi="Arial" w:cs="Arial"/>
          <w:szCs w:val="22"/>
        </w:rPr>
        <w:t xml:space="preserve">were upward during 2015-17, </w:t>
      </w:r>
      <w:r>
        <w:rPr>
          <w:rFonts w:ascii="Arial" w:hAnsi="Arial" w:cs="Arial"/>
          <w:szCs w:val="22"/>
        </w:rPr>
        <w:t>b</w:t>
      </w:r>
      <w:r w:rsidR="00142CB4">
        <w:rPr>
          <w:rFonts w:ascii="Arial" w:hAnsi="Arial" w:cs="Arial"/>
          <w:szCs w:val="22"/>
        </w:rPr>
        <w:t xml:space="preserve">oth PEPFAR and </w:t>
      </w:r>
      <w:r w:rsidR="00A2301F">
        <w:rPr>
          <w:rFonts w:ascii="Arial" w:hAnsi="Arial" w:cs="Arial"/>
          <w:szCs w:val="22"/>
        </w:rPr>
        <w:t xml:space="preserve">the </w:t>
      </w:r>
      <w:r w:rsidR="00142CB4">
        <w:rPr>
          <w:rFonts w:ascii="Arial" w:hAnsi="Arial" w:cs="Arial"/>
          <w:szCs w:val="22"/>
        </w:rPr>
        <w:t>Global Fund have signaled</w:t>
      </w:r>
      <w:r w:rsidR="00F85FA0">
        <w:rPr>
          <w:rFonts w:ascii="Arial" w:hAnsi="Arial" w:cs="Arial"/>
          <w:szCs w:val="22"/>
        </w:rPr>
        <w:t xml:space="preserve"> </w:t>
      </w:r>
      <w:r w:rsidR="00142CB4">
        <w:rPr>
          <w:rFonts w:ascii="Arial" w:hAnsi="Arial" w:cs="Arial"/>
          <w:szCs w:val="22"/>
        </w:rPr>
        <w:t>that the year on year increas</w:t>
      </w:r>
      <w:r w:rsidR="00D136EF">
        <w:rPr>
          <w:rFonts w:ascii="Arial" w:hAnsi="Arial" w:cs="Arial"/>
          <w:szCs w:val="22"/>
        </w:rPr>
        <w:t>e</w:t>
      </w:r>
      <w:r w:rsidR="00142CB4">
        <w:rPr>
          <w:rFonts w:ascii="Arial" w:hAnsi="Arial" w:cs="Arial"/>
          <w:szCs w:val="22"/>
        </w:rPr>
        <w:t xml:space="preserve"> in financing seen until 2017 will likely not continue. </w:t>
      </w:r>
      <w:r w:rsidR="0007051B">
        <w:rPr>
          <w:rFonts w:ascii="Arial" w:hAnsi="Arial" w:cs="Arial"/>
          <w:szCs w:val="22"/>
        </w:rPr>
        <w:t xml:space="preserve">PEPFAR has </w:t>
      </w:r>
      <w:r w:rsidR="00F85FA0">
        <w:rPr>
          <w:rFonts w:ascii="Arial" w:hAnsi="Arial" w:cs="Arial"/>
          <w:szCs w:val="22"/>
        </w:rPr>
        <w:t xml:space="preserve">indicated </w:t>
      </w:r>
      <w:r w:rsidR="00045F9F">
        <w:rPr>
          <w:rFonts w:ascii="Arial" w:hAnsi="Arial" w:cs="Arial"/>
          <w:szCs w:val="22"/>
        </w:rPr>
        <w:t>in the COP Planning Letter 2019 that the next funding cycle will see a 23% decline in</w:t>
      </w:r>
      <w:r w:rsidR="005B067B">
        <w:rPr>
          <w:rFonts w:ascii="Arial" w:hAnsi="Arial" w:cs="Arial"/>
          <w:szCs w:val="22"/>
        </w:rPr>
        <w:t xml:space="preserve"> allocated</w:t>
      </w:r>
      <w:r w:rsidR="00045F9F">
        <w:rPr>
          <w:rFonts w:ascii="Arial" w:hAnsi="Arial" w:cs="Arial"/>
          <w:szCs w:val="22"/>
        </w:rPr>
        <w:t xml:space="preserve"> funding due to </w:t>
      </w:r>
      <w:r w:rsidR="003B2E20">
        <w:rPr>
          <w:rFonts w:ascii="Arial" w:hAnsi="Arial" w:cs="Arial"/>
          <w:szCs w:val="22"/>
        </w:rPr>
        <w:t xml:space="preserve">unsatisfactory </w:t>
      </w:r>
      <w:r w:rsidR="00045F9F">
        <w:rPr>
          <w:rFonts w:ascii="Arial" w:hAnsi="Arial" w:cs="Arial"/>
          <w:szCs w:val="22"/>
        </w:rPr>
        <w:t xml:space="preserve">country program performance. </w:t>
      </w:r>
      <w:r w:rsidR="003B2E20">
        <w:rPr>
          <w:rFonts w:ascii="Arial" w:hAnsi="Arial" w:cs="Arial"/>
          <w:szCs w:val="22"/>
        </w:rPr>
        <w:t>For t</w:t>
      </w:r>
      <w:r w:rsidR="00045F9F">
        <w:rPr>
          <w:rFonts w:ascii="Arial" w:hAnsi="Arial" w:cs="Arial"/>
          <w:szCs w:val="22"/>
        </w:rPr>
        <w:t>he next Global Fund funding proposal</w:t>
      </w:r>
      <w:r w:rsidR="003B2E20">
        <w:rPr>
          <w:rFonts w:ascii="Arial" w:hAnsi="Arial" w:cs="Arial"/>
          <w:szCs w:val="22"/>
        </w:rPr>
        <w:t xml:space="preserve"> to cover </w:t>
      </w:r>
      <w:r w:rsidR="00045F9F">
        <w:rPr>
          <w:rFonts w:ascii="Arial" w:hAnsi="Arial" w:cs="Arial"/>
          <w:szCs w:val="22"/>
        </w:rPr>
        <w:t>202</w:t>
      </w:r>
      <w:r w:rsidR="005B067B">
        <w:rPr>
          <w:rFonts w:ascii="Arial" w:hAnsi="Arial" w:cs="Arial"/>
          <w:szCs w:val="22"/>
        </w:rPr>
        <w:t>1</w:t>
      </w:r>
      <w:r w:rsidR="00045F9F">
        <w:rPr>
          <w:rFonts w:ascii="Arial" w:hAnsi="Arial" w:cs="Arial"/>
          <w:szCs w:val="22"/>
        </w:rPr>
        <w:t>-202</w:t>
      </w:r>
      <w:r w:rsidR="005B067B">
        <w:rPr>
          <w:rFonts w:ascii="Arial" w:hAnsi="Arial" w:cs="Arial"/>
          <w:szCs w:val="22"/>
        </w:rPr>
        <w:t>3</w:t>
      </w:r>
      <w:r w:rsidR="003B2E20">
        <w:rPr>
          <w:rFonts w:ascii="Arial" w:hAnsi="Arial" w:cs="Arial"/>
          <w:szCs w:val="22"/>
        </w:rPr>
        <w:t>, t</w:t>
      </w:r>
      <w:r w:rsidR="00045F9F">
        <w:rPr>
          <w:rFonts w:ascii="Arial" w:hAnsi="Arial" w:cs="Arial"/>
          <w:szCs w:val="22"/>
        </w:rPr>
        <w:t xml:space="preserve">he Global Fund has not offered specific guidance but key stakeholder interviews suggest that </w:t>
      </w:r>
      <w:r w:rsidR="00D81C6A">
        <w:rPr>
          <w:rFonts w:ascii="Arial" w:hAnsi="Arial" w:cs="Arial"/>
          <w:szCs w:val="22"/>
        </w:rPr>
        <w:t xml:space="preserve">grant </w:t>
      </w:r>
      <w:r w:rsidR="00045F9F">
        <w:rPr>
          <w:rFonts w:ascii="Arial" w:hAnsi="Arial" w:cs="Arial"/>
          <w:szCs w:val="22"/>
        </w:rPr>
        <w:t>funding w</w:t>
      </w:r>
      <w:r w:rsidR="00D81C6A">
        <w:rPr>
          <w:rFonts w:ascii="Arial" w:hAnsi="Arial" w:cs="Arial"/>
          <w:szCs w:val="22"/>
        </w:rPr>
        <w:t xml:space="preserve">ill </w:t>
      </w:r>
      <w:r w:rsidR="00045F9F">
        <w:rPr>
          <w:rFonts w:ascii="Arial" w:hAnsi="Arial" w:cs="Arial"/>
          <w:szCs w:val="22"/>
        </w:rPr>
        <w:t>not increase and Tanzania should be prepared for a decline in the next grant.</w:t>
      </w:r>
      <w:r w:rsidR="000F5E56">
        <w:rPr>
          <w:rFonts w:ascii="Arial" w:hAnsi="Arial" w:cs="Arial"/>
          <w:szCs w:val="22"/>
        </w:rPr>
        <w:t xml:space="preserve"> </w:t>
      </w:r>
      <w:r>
        <w:rPr>
          <w:rFonts w:ascii="Arial" w:hAnsi="Arial" w:cs="Arial"/>
          <w:szCs w:val="22"/>
        </w:rPr>
        <w:t>A</w:t>
      </w:r>
      <w:r w:rsidR="005B067B">
        <w:rPr>
          <w:rFonts w:ascii="Arial" w:hAnsi="Arial" w:cs="Arial"/>
          <w:szCs w:val="22"/>
        </w:rPr>
        <w:t xml:space="preserve">nticipated </w:t>
      </w:r>
      <w:r w:rsidR="00D81C6A">
        <w:rPr>
          <w:rFonts w:ascii="Arial" w:hAnsi="Arial" w:cs="Arial"/>
          <w:szCs w:val="22"/>
        </w:rPr>
        <w:t xml:space="preserve">possible </w:t>
      </w:r>
      <w:r w:rsidR="005B067B">
        <w:rPr>
          <w:rFonts w:ascii="Arial" w:hAnsi="Arial" w:cs="Arial"/>
          <w:szCs w:val="22"/>
        </w:rPr>
        <w:t>decrease</w:t>
      </w:r>
      <w:r>
        <w:rPr>
          <w:rFonts w:ascii="Arial" w:hAnsi="Arial" w:cs="Arial"/>
          <w:szCs w:val="22"/>
        </w:rPr>
        <w:t>s</w:t>
      </w:r>
      <w:r w:rsidR="005B067B">
        <w:rPr>
          <w:rFonts w:ascii="Arial" w:hAnsi="Arial" w:cs="Arial"/>
          <w:szCs w:val="22"/>
        </w:rPr>
        <w:t xml:space="preserve"> in external funding </w:t>
      </w:r>
      <w:r w:rsidR="00D81C6A">
        <w:rPr>
          <w:rFonts w:ascii="Arial" w:hAnsi="Arial" w:cs="Arial"/>
          <w:szCs w:val="22"/>
        </w:rPr>
        <w:t xml:space="preserve">are </w:t>
      </w:r>
      <w:r w:rsidR="005B067B">
        <w:rPr>
          <w:rFonts w:ascii="Arial" w:hAnsi="Arial" w:cs="Arial"/>
          <w:szCs w:val="22"/>
        </w:rPr>
        <w:t xml:space="preserve">described in more detail in Chapter 6. </w:t>
      </w:r>
    </w:p>
    <w:p w14:paraId="561B32FA" w14:textId="77777777" w:rsidR="00386C4D" w:rsidRDefault="00386C4D" w:rsidP="008D3CCA">
      <w:pPr>
        <w:pStyle w:val="Heading3"/>
        <w:spacing w:before="0"/>
        <w:rPr>
          <w:rFonts w:ascii="Arial" w:hAnsi="Arial" w:cs="Arial"/>
          <w:i/>
          <w:color w:val="000000" w:themeColor="text1"/>
        </w:rPr>
      </w:pPr>
    </w:p>
    <w:p w14:paraId="6ECFCE3E" w14:textId="0B9B0BAA" w:rsidR="001F3C53" w:rsidRPr="00505F88" w:rsidRDefault="001F3C53" w:rsidP="00505F88">
      <w:pPr>
        <w:pStyle w:val="Heading3"/>
        <w:rPr>
          <w:rFonts w:ascii="Arial" w:hAnsi="Arial" w:cs="Arial"/>
          <w:i/>
          <w:color w:val="000000" w:themeColor="text1"/>
        </w:rPr>
      </w:pPr>
      <w:bookmarkStart w:id="54" w:name="_Toc57035151"/>
      <w:r w:rsidRPr="00505F88">
        <w:rPr>
          <w:rFonts w:ascii="Arial" w:hAnsi="Arial" w:cs="Arial"/>
          <w:i/>
          <w:color w:val="000000" w:themeColor="text1"/>
        </w:rPr>
        <w:t xml:space="preserve">Key </w:t>
      </w:r>
      <w:r w:rsidR="00F31749">
        <w:rPr>
          <w:rFonts w:ascii="Arial" w:hAnsi="Arial" w:cs="Arial"/>
          <w:i/>
          <w:color w:val="000000" w:themeColor="text1"/>
        </w:rPr>
        <w:t xml:space="preserve">takeaways on HIV </w:t>
      </w:r>
      <w:r w:rsidRPr="00505F88">
        <w:rPr>
          <w:rFonts w:ascii="Arial" w:hAnsi="Arial" w:cs="Arial"/>
          <w:i/>
          <w:color w:val="000000" w:themeColor="text1"/>
        </w:rPr>
        <w:t>financing</w:t>
      </w:r>
      <w:bookmarkEnd w:id="54"/>
      <w:r w:rsidRPr="00505F88">
        <w:rPr>
          <w:rFonts w:ascii="Arial" w:hAnsi="Arial" w:cs="Arial"/>
          <w:i/>
          <w:color w:val="000000" w:themeColor="text1"/>
        </w:rPr>
        <w:t xml:space="preserve"> </w:t>
      </w:r>
    </w:p>
    <w:p w14:paraId="5ECFD913" w14:textId="196C353C" w:rsidR="001F3C53" w:rsidRDefault="001F3C53" w:rsidP="00505F88">
      <w:pPr>
        <w:spacing w:after="0"/>
        <w:rPr>
          <w:rFonts w:ascii="Arial" w:hAnsi="Arial" w:cs="Arial"/>
          <w:szCs w:val="22"/>
        </w:rPr>
      </w:pPr>
    </w:p>
    <w:p w14:paraId="1382570B" w14:textId="213F9B9B" w:rsidR="001F3C53" w:rsidRDefault="001F3C53" w:rsidP="00355514">
      <w:pPr>
        <w:spacing w:after="0"/>
        <w:rPr>
          <w:rFonts w:ascii="Arial" w:hAnsi="Arial" w:cs="Arial"/>
          <w:szCs w:val="22"/>
        </w:rPr>
      </w:pPr>
      <w:r>
        <w:rPr>
          <w:rFonts w:ascii="Arial" w:hAnsi="Arial" w:cs="Arial"/>
          <w:szCs w:val="22"/>
        </w:rPr>
        <w:t xml:space="preserve">In summary, although Tanzania has benefitted from increasing HIV expenditure over the past decade, the current financing landscape </w:t>
      </w:r>
      <w:r w:rsidR="00F31749">
        <w:rPr>
          <w:rFonts w:ascii="Arial" w:hAnsi="Arial" w:cs="Arial"/>
          <w:szCs w:val="22"/>
        </w:rPr>
        <w:t xml:space="preserve">is less promising and the country will need to address several </w:t>
      </w:r>
      <w:r>
        <w:rPr>
          <w:rFonts w:ascii="Arial" w:hAnsi="Arial" w:cs="Arial"/>
          <w:szCs w:val="22"/>
        </w:rPr>
        <w:t>challenges moving forward:</w:t>
      </w:r>
    </w:p>
    <w:p w14:paraId="3B7D9461" w14:textId="77777777" w:rsidR="0037029C" w:rsidRDefault="0037029C" w:rsidP="00505F88">
      <w:pPr>
        <w:spacing w:after="0"/>
        <w:rPr>
          <w:rFonts w:ascii="Arial" w:hAnsi="Arial" w:cs="Arial"/>
          <w:szCs w:val="22"/>
        </w:rPr>
      </w:pPr>
    </w:p>
    <w:p w14:paraId="67430634" w14:textId="1365CCDF" w:rsidR="001F3C53" w:rsidRDefault="001F3C53" w:rsidP="00E519E4">
      <w:pPr>
        <w:pStyle w:val="ListParagraph"/>
        <w:numPr>
          <w:ilvl w:val="0"/>
          <w:numId w:val="45"/>
        </w:numPr>
        <w:jc w:val="both"/>
        <w:rPr>
          <w:rFonts w:ascii="Arial" w:hAnsi="Arial" w:cs="Arial"/>
          <w:szCs w:val="22"/>
        </w:rPr>
      </w:pPr>
      <w:r>
        <w:rPr>
          <w:rFonts w:ascii="Arial" w:hAnsi="Arial" w:cs="Arial"/>
          <w:szCs w:val="22"/>
        </w:rPr>
        <w:t>The HIV response has had a high dependence on external funding</w:t>
      </w:r>
      <w:r w:rsidR="00F31749">
        <w:rPr>
          <w:rFonts w:ascii="Arial" w:hAnsi="Arial" w:cs="Arial"/>
          <w:szCs w:val="22"/>
        </w:rPr>
        <w:t xml:space="preserve">, </w:t>
      </w:r>
      <w:r w:rsidR="00A2301F">
        <w:rPr>
          <w:rFonts w:ascii="Arial" w:hAnsi="Arial" w:cs="Arial"/>
          <w:szCs w:val="22"/>
        </w:rPr>
        <w:t>but this external financing is likely to either stabilize or decline over the next few years.</w:t>
      </w:r>
      <w:r>
        <w:rPr>
          <w:rFonts w:ascii="Arial" w:hAnsi="Arial" w:cs="Arial"/>
          <w:szCs w:val="22"/>
        </w:rPr>
        <w:t xml:space="preserve"> </w:t>
      </w:r>
    </w:p>
    <w:p w14:paraId="4D5E7517" w14:textId="43714D38" w:rsidR="003A4A6D" w:rsidRDefault="001F3C53" w:rsidP="00E519E4">
      <w:pPr>
        <w:pStyle w:val="ListParagraph"/>
        <w:numPr>
          <w:ilvl w:val="0"/>
          <w:numId w:val="45"/>
        </w:numPr>
        <w:spacing w:after="0"/>
        <w:jc w:val="both"/>
        <w:rPr>
          <w:rFonts w:ascii="Arial" w:hAnsi="Arial" w:cs="Arial"/>
          <w:szCs w:val="22"/>
        </w:rPr>
      </w:pPr>
      <w:r>
        <w:rPr>
          <w:rFonts w:ascii="Arial" w:hAnsi="Arial" w:cs="Arial"/>
          <w:szCs w:val="22"/>
        </w:rPr>
        <w:t>Domestic</w:t>
      </w:r>
      <w:r w:rsidR="00BD2E89">
        <w:rPr>
          <w:rFonts w:ascii="Arial" w:hAnsi="Arial" w:cs="Arial"/>
          <w:szCs w:val="22"/>
        </w:rPr>
        <w:t xml:space="preserve"> </w:t>
      </w:r>
      <w:r>
        <w:rPr>
          <w:rFonts w:ascii="Arial" w:hAnsi="Arial" w:cs="Arial"/>
          <w:szCs w:val="22"/>
        </w:rPr>
        <w:t>funding is mainly for HR, infrastructure, and program management, rather than for commodities and treatment, which is the largest program expenditure</w:t>
      </w:r>
      <w:r w:rsidR="00F31749">
        <w:rPr>
          <w:rFonts w:ascii="Arial" w:hAnsi="Arial" w:cs="Arial"/>
          <w:szCs w:val="22"/>
        </w:rPr>
        <w:t>, or for critical prevention services, all of which are financed by donors</w:t>
      </w:r>
      <w:r w:rsidR="00A2301F">
        <w:rPr>
          <w:rFonts w:ascii="Arial" w:hAnsi="Arial" w:cs="Arial"/>
          <w:szCs w:val="22"/>
        </w:rPr>
        <w:t>.</w:t>
      </w:r>
      <w:r>
        <w:rPr>
          <w:rFonts w:ascii="Arial" w:hAnsi="Arial" w:cs="Arial"/>
          <w:szCs w:val="22"/>
        </w:rPr>
        <w:t xml:space="preserve"> </w:t>
      </w:r>
    </w:p>
    <w:p w14:paraId="6F611AF5" w14:textId="06896105" w:rsidR="00BD2E89" w:rsidRDefault="003A4A6D" w:rsidP="002B3153">
      <w:pPr>
        <w:numPr>
          <w:ilvl w:val="0"/>
          <w:numId w:val="45"/>
        </w:numPr>
        <w:spacing w:after="0"/>
        <w:jc w:val="both"/>
        <w:rPr>
          <w:rFonts w:ascii="Arial" w:hAnsi="Arial" w:cs="Arial"/>
        </w:rPr>
      </w:pPr>
      <w:r>
        <w:rPr>
          <w:rFonts w:ascii="Arial" w:hAnsi="Arial" w:cs="Arial"/>
        </w:rPr>
        <w:t>In addition to ensuring availability of future funds for the response, p</w:t>
      </w:r>
      <w:r w:rsidR="001F3C53" w:rsidRPr="00505F88">
        <w:rPr>
          <w:rFonts w:ascii="Arial" w:hAnsi="Arial" w:cs="Arial"/>
        </w:rPr>
        <w:t>oor absorption capacity is a barrier to scaling up and realizing the NSP</w:t>
      </w:r>
      <w:r w:rsidR="00A2301F">
        <w:rPr>
          <w:rFonts w:ascii="Arial" w:hAnsi="Arial" w:cs="Arial"/>
        </w:rPr>
        <w:t>.</w:t>
      </w:r>
    </w:p>
    <w:p w14:paraId="5F5B9FF5" w14:textId="77777777" w:rsidR="00BD2E89" w:rsidRDefault="00BD2E89">
      <w:pPr>
        <w:rPr>
          <w:rFonts w:ascii="Arial" w:hAnsi="Arial" w:cs="Arial"/>
        </w:rPr>
      </w:pPr>
      <w:r>
        <w:rPr>
          <w:rFonts w:ascii="Arial" w:hAnsi="Arial" w:cs="Arial"/>
        </w:rPr>
        <w:br w:type="page"/>
      </w:r>
    </w:p>
    <w:p w14:paraId="4B90A150" w14:textId="77777777" w:rsidR="00F85FA0" w:rsidRDefault="00F85FA0" w:rsidP="00444084">
      <w:pPr>
        <w:spacing w:after="0"/>
        <w:jc w:val="both"/>
        <w:rPr>
          <w:rFonts w:ascii="Arial" w:hAnsi="Arial" w:cs="Arial"/>
          <w:szCs w:val="22"/>
        </w:rPr>
      </w:pPr>
    </w:p>
    <w:p w14:paraId="404F89E7" w14:textId="73F6BA86" w:rsidR="00CD3475" w:rsidRPr="001A39C8" w:rsidRDefault="005A468B" w:rsidP="002B3153">
      <w:pPr>
        <w:pStyle w:val="Heading1"/>
        <w:spacing w:before="0"/>
        <w:rPr>
          <w:rFonts w:ascii="Arial" w:hAnsi="Arial" w:cs="Arial"/>
          <w:b/>
          <w:color w:val="C00000"/>
        </w:rPr>
      </w:pPr>
      <w:bookmarkStart w:id="55" w:name="_Toc57035152"/>
      <w:r w:rsidRPr="001A39C8">
        <w:rPr>
          <w:rFonts w:ascii="Arial" w:hAnsi="Arial" w:cs="Arial"/>
          <w:b/>
          <w:color w:val="C00000"/>
        </w:rPr>
        <w:t>C</w:t>
      </w:r>
      <w:r w:rsidR="008A6991">
        <w:rPr>
          <w:rFonts w:ascii="Arial" w:hAnsi="Arial" w:cs="Arial"/>
          <w:b/>
          <w:color w:val="C00000"/>
        </w:rPr>
        <w:t>HAPTER</w:t>
      </w:r>
      <w:r w:rsidRPr="001A39C8">
        <w:rPr>
          <w:rFonts w:ascii="Arial" w:hAnsi="Arial" w:cs="Arial"/>
          <w:b/>
          <w:color w:val="C00000"/>
        </w:rPr>
        <w:t xml:space="preserve"> 3. </w:t>
      </w:r>
      <w:r w:rsidR="008A6991">
        <w:rPr>
          <w:rFonts w:ascii="Arial" w:hAnsi="Arial" w:cs="Arial"/>
          <w:b/>
          <w:color w:val="C00000"/>
        </w:rPr>
        <w:t>INVESTMENT CASE 2.0 FRAMEWORK</w:t>
      </w:r>
      <w:r w:rsidR="005D4B55">
        <w:rPr>
          <w:rFonts w:ascii="Arial" w:hAnsi="Arial" w:cs="Arial"/>
          <w:b/>
          <w:color w:val="C00000"/>
        </w:rPr>
        <w:t xml:space="preserve"> </w:t>
      </w:r>
      <w:r w:rsidR="001A24E8">
        <w:rPr>
          <w:rFonts w:ascii="Arial" w:hAnsi="Arial" w:cs="Arial"/>
          <w:b/>
          <w:color w:val="C00000"/>
        </w:rPr>
        <w:t>AND METHODOLOGY</w:t>
      </w:r>
      <w:bookmarkEnd w:id="55"/>
    </w:p>
    <w:p w14:paraId="177EF083" w14:textId="7BDD9FF6" w:rsidR="005A468B" w:rsidRPr="000F32A2" w:rsidRDefault="005A468B" w:rsidP="00585A95">
      <w:pPr>
        <w:spacing w:after="0"/>
      </w:pPr>
    </w:p>
    <w:p w14:paraId="004EA06D" w14:textId="442D7847" w:rsidR="005A468B" w:rsidRDefault="005A468B" w:rsidP="00585A95">
      <w:pPr>
        <w:pStyle w:val="Heading2"/>
        <w:spacing w:before="0"/>
        <w:rPr>
          <w:rStyle w:val="Heading2Char"/>
          <w:rFonts w:ascii="Arial" w:hAnsi="Arial" w:cs="Arial"/>
          <w:b/>
          <w:color w:val="000000" w:themeColor="text1"/>
          <w:sz w:val="24"/>
        </w:rPr>
      </w:pPr>
      <w:bookmarkStart w:id="56" w:name="_Toc57035153"/>
      <w:r w:rsidRPr="000F32A2">
        <w:rPr>
          <w:rFonts w:ascii="Arial" w:hAnsi="Arial" w:cs="Arial"/>
          <w:b/>
          <w:color w:val="000000" w:themeColor="text1"/>
          <w:sz w:val="24"/>
        </w:rPr>
        <w:t>T</w:t>
      </w:r>
      <w:r w:rsidRPr="000F32A2">
        <w:rPr>
          <w:rStyle w:val="Heading2Char"/>
          <w:rFonts w:ascii="Arial" w:hAnsi="Arial" w:cs="Arial"/>
          <w:b/>
          <w:color w:val="000000" w:themeColor="text1"/>
          <w:sz w:val="24"/>
        </w:rPr>
        <w:t>he investment case framework</w:t>
      </w:r>
      <w:r w:rsidR="00F6611C">
        <w:rPr>
          <w:rStyle w:val="Heading2Char"/>
          <w:rFonts w:ascii="Arial" w:hAnsi="Arial" w:cs="Arial"/>
          <w:b/>
          <w:color w:val="000000" w:themeColor="text1"/>
          <w:sz w:val="24"/>
        </w:rPr>
        <w:t xml:space="preserve"> 2.0</w:t>
      </w:r>
      <w:bookmarkEnd w:id="56"/>
    </w:p>
    <w:p w14:paraId="1F6C0BAB" w14:textId="6F31815F" w:rsidR="003A4A6D" w:rsidRDefault="003A4A6D" w:rsidP="00585A95">
      <w:pPr>
        <w:spacing w:after="0"/>
      </w:pPr>
    </w:p>
    <w:p w14:paraId="543B8104" w14:textId="0316996C" w:rsidR="003C54E8" w:rsidRPr="00646F6C" w:rsidRDefault="00F31A6A" w:rsidP="003C54E8">
      <w:pPr>
        <w:shd w:val="clear" w:color="auto" w:fill="FFFFFF"/>
        <w:spacing w:after="0" w:line="240" w:lineRule="auto"/>
        <w:rPr>
          <w:rFonts w:ascii="Arial" w:eastAsia="Times New Roman" w:hAnsi="Arial" w:cs="Arial"/>
          <w:color w:val="222222"/>
          <w:sz w:val="24"/>
          <w:szCs w:val="24"/>
        </w:rPr>
      </w:pPr>
      <w:r>
        <w:rPr>
          <w:rFonts w:ascii="Arial" w:hAnsi="Arial" w:cs="Arial"/>
          <w:iCs/>
        </w:rPr>
        <w:t>The investment case 2.0 puts forward a framework for how Tanzania can meet its national strategic goal</w:t>
      </w:r>
      <w:r w:rsidR="00501EA7">
        <w:rPr>
          <w:rFonts w:ascii="Arial" w:hAnsi="Arial" w:cs="Arial"/>
          <w:iCs/>
        </w:rPr>
        <w:t>s</w:t>
      </w:r>
      <w:r w:rsidR="00386C4D">
        <w:rPr>
          <w:rFonts w:ascii="Arial" w:hAnsi="Arial" w:cs="Arial"/>
          <w:iCs/>
        </w:rPr>
        <w:t xml:space="preserve"> under the current paradigm of significant target gaps and uncertain donor financing. Even if donor funds stay at current levels, i</w:t>
      </w:r>
      <w:r w:rsidR="003C54E8">
        <w:rPr>
          <w:rFonts w:ascii="Arial" w:hAnsi="Arial" w:cs="Arial"/>
          <w:iCs/>
        </w:rPr>
        <w:t xml:space="preserve">dentifying new approaches for optimizing the impact of </w:t>
      </w:r>
      <w:r w:rsidR="00386C4D">
        <w:rPr>
          <w:rFonts w:ascii="Arial" w:hAnsi="Arial" w:cs="Arial"/>
          <w:iCs/>
        </w:rPr>
        <w:t xml:space="preserve">the limited </w:t>
      </w:r>
      <w:r w:rsidR="003C54E8">
        <w:rPr>
          <w:rFonts w:ascii="Arial" w:hAnsi="Arial" w:cs="Arial"/>
          <w:iCs/>
        </w:rPr>
        <w:t>available funds will be necessary</w:t>
      </w:r>
      <w:r w:rsidR="00386C4D">
        <w:rPr>
          <w:rFonts w:ascii="Arial" w:hAnsi="Arial" w:cs="Arial"/>
          <w:iCs/>
        </w:rPr>
        <w:t xml:space="preserve">. </w:t>
      </w:r>
      <w:r w:rsidR="00301355">
        <w:rPr>
          <w:rFonts w:ascii="Arial" w:hAnsi="Arial" w:cs="Arial"/>
          <w:iCs/>
        </w:rPr>
        <w:t>I</w:t>
      </w:r>
      <w:r w:rsidR="00386C4D">
        <w:rPr>
          <w:rFonts w:ascii="Arial" w:hAnsi="Arial" w:cs="Arial"/>
          <w:iCs/>
        </w:rPr>
        <w:t xml:space="preserve">f donor funds continue to decline, </w:t>
      </w:r>
      <w:r w:rsidR="003C54E8">
        <w:rPr>
          <w:rFonts w:ascii="Arial" w:hAnsi="Arial" w:cs="Arial"/>
          <w:iCs/>
        </w:rPr>
        <w:t xml:space="preserve">domestic resource mobilization </w:t>
      </w:r>
      <w:r w:rsidR="00386C4D">
        <w:rPr>
          <w:rFonts w:ascii="Arial" w:hAnsi="Arial" w:cs="Arial"/>
          <w:iCs/>
        </w:rPr>
        <w:t>and optimization will</w:t>
      </w:r>
      <w:r w:rsidR="00301355">
        <w:rPr>
          <w:rFonts w:ascii="Arial" w:hAnsi="Arial" w:cs="Arial"/>
          <w:iCs/>
        </w:rPr>
        <w:t xml:space="preserve"> both </w:t>
      </w:r>
      <w:r w:rsidR="003C54E8">
        <w:rPr>
          <w:rFonts w:ascii="Arial" w:hAnsi="Arial" w:cs="Arial"/>
          <w:iCs/>
        </w:rPr>
        <w:t xml:space="preserve">be </w:t>
      </w:r>
      <w:r w:rsidR="00386C4D">
        <w:rPr>
          <w:rFonts w:ascii="Arial" w:hAnsi="Arial" w:cs="Arial"/>
          <w:iCs/>
        </w:rPr>
        <w:t xml:space="preserve">critical determinants of </w:t>
      </w:r>
      <w:r w:rsidR="00301355">
        <w:rPr>
          <w:rFonts w:ascii="Arial" w:hAnsi="Arial" w:cs="Arial"/>
          <w:iCs/>
        </w:rPr>
        <w:t>the future of the response</w:t>
      </w:r>
      <w:r w:rsidR="00386C4D">
        <w:rPr>
          <w:rFonts w:ascii="Arial" w:hAnsi="Arial" w:cs="Arial"/>
          <w:iCs/>
        </w:rPr>
        <w:t xml:space="preserve">. </w:t>
      </w:r>
      <w:r w:rsidR="003C54E8" w:rsidRPr="00585A95">
        <w:rPr>
          <w:rFonts w:ascii="Arial" w:hAnsi="Arial" w:cs="Arial"/>
          <w:i/>
        </w:rPr>
        <w:t>Figure 3-1</w:t>
      </w:r>
      <w:r w:rsidR="003C54E8">
        <w:rPr>
          <w:rFonts w:ascii="Arial" w:hAnsi="Arial" w:cs="Arial"/>
        </w:rPr>
        <w:t xml:space="preserve"> summarizes this framework</w:t>
      </w:r>
      <w:r w:rsidR="00386C4D">
        <w:rPr>
          <w:rFonts w:ascii="Arial" w:hAnsi="Arial" w:cs="Arial"/>
        </w:rPr>
        <w:t xml:space="preserve"> and more detail is provided below.</w:t>
      </w:r>
    </w:p>
    <w:p w14:paraId="593D003D" w14:textId="77777777" w:rsidR="00F31A6A" w:rsidRDefault="00F31A6A" w:rsidP="00585A95">
      <w:pPr>
        <w:spacing w:after="0"/>
      </w:pPr>
    </w:p>
    <w:p w14:paraId="5ADF28D8" w14:textId="2056BA3F" w:rsidR="00D3707B" w:rsidRPr="00276364" w:rsidRDefault="00D3707B" w:rsidP="00D3707B">
      <w:pPr>
        <w:shd w:val="clear" w:color="auto" w:fill="FFFFFF"/>
        <w:spacing w:after="0" w:line="240" w:lineRule="auto"/>
        <w:rPr>
          <w:rFonts w:ascii="Arial" w:hAnsi="Arial" w:cs="Arial"/>
        </w:rPr>
      </w:pPr>
      <w:r w:rsidRPr="00276364">
        <w:rPr>
          <w:rFonts w:ascii="Arial" w:hAnsi="Arial" w:cs="Arial"/>
        </w:rPr>
        <w:t xml:space="preserve">As a baseline reference point, the investment case starts by examining the expected cost and impact of maintaining the current national program. Maintaining current levels of HIV </w:t>
      </w:r>
      <w:r w:rsidR="00082170" w:rsidRPr="00276364">
        <w:rPr>
          <w:rFonts w:ascii="Arial" w:hAnsi="Arial" w:cs="Arial"/>
        </w:rPr>
        <w:t>t</w:t>
      </w:r>
      <w:r w:rsidRPr="00276364">
        <w:rPr>
          <w:rFonts w:ascii="Arial" w:hAnsi="Arial" w:cs="Arial"/>
        </w:rPr>
        <w:t xml:space="preserve">reatment (ART) coverage and current scale of prevention programs will not make significant additional progress toward national strategic goals. Maintaining ART coverage level will also have a steadily increasing cost, since the total number of PLHIV will continue to grow.  </w:t>
      </w:r>
    </w:p>
    <w:p w14:paraId="29BE08FB" w14:textId="7E736362" w:rsidR="00D3707B" w:rsidRPr="00276364" w:rsidRDefault="00D3707B" w:rsidP="00D3707B">
      <w:pPr>
        <w:shd w:val="clear" w:color="auto" w:fill="FFFFFF"/>
        <w:spacing w:after="0" w:line="240" w:lineRule="auto"/>
        <w:rPr>
          <w:rFonts w:ascii="Arial" w:hAnsi="Arial" w:cs="Arial"/>
        </w:rPr>
      </w:pPr>
    </w:p>
    <w:p w14:paraId="3E2ED42A" w14:textId="16ACAA1C" w:rsidR="00D3707B" w:rsidRPr="00276364" w:rsidRDefault="00D3707B" w:rsidP="00D3707B">
      <w:pPr>
        <w:shd w:val="clear" w:color="auto" w:fill="FFFFFF"/>
        <w:spacing w:after="0" w:line="240" w:lineRule="auto"/>
        <w:rPr>
          <w:rFonts w:ascii="Arial" w:hAnsi="Arial" w:cs="Arial"/>
        </w:rPr>
      </w:pPr>
      <w:r w:rsidRPr="00276364">
        <w:rPr>
          <w:rFonts w:ascii="Arial" w:hAnsi="Arial" w:cs="Arial"/>
        </w:rPr>
        <w:t xml:space="preserve">Next, the investment case estimates the cost of striving for the national strategic goals using the current program design (i.e. scaling up currently implemented interventions according to the approaches and coverage targets described in the national strategy documents (NMSF IV and HSHSP IV). </w:t>
      </w:r>
      <w:r w:rsidR="00AC1C3A">
        <w:rPr>
          <w:rFonts w:ascii="Arial" w:hAnsi="Arial" w:cs="Arial"/>
        </w:rPr>
        <w:t xml:space="preserve">This program design was influenced by recommendations on optimization from IC 1.0. </w:t>
      </w:r>
      <w:r w:rsidRPr="00276364">
        <w:rPr>
          <w:rFonts w:ascii="Arial" w:hAnsi="Arial" w:cs="Arial"/>
        </w:rPr>
        <w:t>This scenario comes close to achieving strategic goals for annual AIDS deaths and new infections, but at a very high cost</w:t>
      </w:r>
      <w:r w:rsidR="00D52AEC">
        <w:rPr>
          <w:rFonts w:ascii="Arial" w:hAnsi="Arial" w:cs="Arial"/>
        </w:rPr>
        <w:t>.</w:t>
      </w:r>
    </w:p>
    <w:p w14:paraId="3586BC4D" w14:textId="676BACCA" w:rsidR="00082170" w:rsidRPr="00276364" w:rsidRDefault="00082170" w:rsidP="00D3707B">
      <w:pPr>
        <w:shd w:val="clear" w:color="auto" w:fill="FFFFFF"/>
        <w:spacing w:after="0" w:line="240" w:lineRule="auto"/>
        <w:rPr>
          <w:rFonts w:ascii="Arial" w:hAnsi="Arial" w:cs="Arial"/>
        </w:rPr>
      </w:pPr>
    </w:p>
    <w:p w14:paraId="32B66598" w14:textId="02B11F22" w:rsidR="00082170" w:rsidRDefault="00082170" w:rsidP="00082170">
      <w:pPr>
        <w:spacing w:after="0"/>
        <w:rPr>
          <w:rFonts w:ascii="Arial" w:hAnsi="Arial" w:cs="Arial"/>
        </w:rPr>
      </w:pPr>
      <w:r w:rsidRPr="00276364">
        <w:rPr>
          <w:rFonts w:ascii="Arial" w:hAnsi="Arial" w:cs="Arial"/>
        </w:rPr>
        <w:t xml:space="preserve">In Tanzania, the combined expected domestic and donor funding level for the HIV Program will likely be lower than the funding needed to achieve these strategic goals at the high price tag, resulting in a resource gap. </w:t>
      </w:r>
      <w:r w:rsidR="00B3137C">
        <w:rPr>
          <w:rFonts w:ascii="Arial" w:hAnsi="Arial" w:cs="Arial"/>
        </w:rPr>
        <w:t>Given the resource gap</w:t>
      </w:r>
      <w:r w:rsidRPr="00276364">
        <w:rPr>
          <w:rFonts w:ascii="Arial" w:hAnsi="Arial" w:cs="Arial"/>
        </w:rPr>
        <w:t>, the future of the Tanzania HIV response will depend on the ability of the national program to adapt and become</w:t>
      </w:r>
      <w:r w:rsidR="0059798C">
        <w:rPr>
          <w:rFonts w:ascii="Arial" w:hAnsi="Arial" w:cs="Arial"/>
        </w:rPr>
        <w:t xml:space="preserve"> even</w:t>
      </w:r>
      <w:r w:rsidRPr="00276364">
        <w:rPr>
          <w:rFonts w:ascii="Arial" w:hAnsi="Arial" w:cs="Arial"/>
        </w:rPr>
        <w:t xml:space="preserve"> more</w:t>
      </w:r>
      <w:r w:rsidR="0059798C">
        <w:rPr>
          <w:rFonts w:ascii="Arial" w:hAnsi="Arial" w:cs="Arial"/>
        </w:rPr>
        <w:t xml:space="preserve"> </w:t>
      </w:r>
      <w:r w:rsidRPr="00276364">
        <w:rPr>
          <w:rFonts w:ascii="Arial" w:hAnsi="Arial" w:cs="Arial"/>
        </w:rPr>
        <w:t xml:space="preserve">efficient with available funds, by allocating resources to interventions and regions that achieve the greatest impact per dollar spent and by finding ways to deliver critical interventions at a lower unit cost. </w:t>
      </w:r>
    </w:p>
    <w:p w14:paraId="51479EA9" w14:textId="77777777" w:rsidR="00082170" w:rsidRPr="00276364" w:rsidRDefault="00082170" w:rsidP="00D3707B">
      <w:pPr>
        <w:shd w:val="clear" w:color="auto" w:fill="FFFFFF"/>
        <w:spacing w:after="0" w:line="240" w:lineRule="auto"/>
        <w:rPr>
          <w:rFonts w:ascii="Arial" w:hAnsi="Arial" w:cs="Arial"/>
        </w:rPr>
      </w:pPr>
    </w:p>
    <w:p w14:paraId="36140B72" w14:textId="00642C9C" w:rsidR="00D3707B" w:rsidRPr="00276364" w:rsidRDefault="00082170" w:rsidP="00D3707B">
      <w:pPr>
        <w:shd w:val="clear" w:color="auto" w:fill="FFFFFF"/>
        <w:spacing w:after="0" w:line="240" w:lineRule="auto"/>
        <w:rPr>
          <w:rFonts w:ascii="Arial" w:hAnsi="Arial" w:cs="Arial"/>
        </w:rPr>
      </w:pPr>
      <w:r w:rsidRPr="00276364">
        <w:rPr>
          <w:rFonts w:ascii="Arial" w:hAnsi="Arial" w:cs="Arial"/>
        </w:rPr>
        <w:t>The projected impact of</w:t>
      </w:r>
      <w:r w:rsidR="0059798C">
        <w:rPr>
          <w:rFonts w:ascii="Arial" w:hAnsi="Arial" w:cs="Arial"/>
        </w:rPr>
        <w:t xml:space="preserve"> achieving</w:t>
      </w:r>
      <w:r w:rsidRPr="00276364">
        <w:rPr>
          <w:rFonts w:ascii="Arial" w:hAnsi="Arial" w:cs="Arial"/>
        </w:rPr>
        <w:t xml:space="preserve"> optimization</w:t>
      </w:r>
      <w:r w:rsidR="0059798C">
        <w:rPr>
          <w:rFonts w:ascii="Arial" w:hAnsi="Arial" w:cs="Arial"/>
        </w:rPr>
        <w:t xml:space="preserve"> at scale</w:t>
      </w:r>
      <w:r w:rsidRPr="00276364">
        <w:rPr>
          <w:rFonts w:ascii="Arial" w:hAnsi="Arial" w:cs="Arial"/>
        </w:rPr>
        <w:t xml:space="preserve"> within the</w:t>
      </w:r>
      <w:r w:rsidR="005653EF" w:rsidRPr="00276364">
        <w:rPr>
          <w:rFonts w:ascii="Arial" w:hAnsi="Arial" w:cs="Arial"/>
        </w:rPr>
        <w:t xml:space="preserve"> </w:t>
      </w:r>
      <w:r w:rsidR="00422204" w:rsidRPr="00276364">
        <w:rPr>
          <w:rFonts w:ascii="Arial" w:hAnsi="Arial" w:cs="Arial"/>
        </w:rPr>
        <w:t>best- and worst-case</w:t>
      </w:r>
      <w:r w:rsidR="00AD3FB8" w:rsidRPr="00276364">
        <w:rPr>
          <w:rFonts w:ascii="Arial" w:hAnsi="Arial" w:cs="Arial"/>
        </w:rPr>
        <w:t xml:space="preserve"> </w:t>
      </w:r>
      <w:r w:rsidR="005653EF" w:rsidRPr="00276364">
        <w:rPr>
          <w:rFonts w:ascii="Arial" w:hAnsi="Arial" w:cs="Arial"/>
        </w:rPr>
        <w:t xml:space="preserve">estimates of </w:t>
      </w:r>
      <w:r w:rsidR="00AD3FB8" w:rsidRPr="00276364">
        <w:rPr>
          <w:rFonts w:ascii="Arial" w:hAnsi="Arial" w:cs="Arial"/>
        </w:rPr>
        <w:t>future available resource</w:t>
      </w:r>
      <w:r w:rsidRPr="00276364">
        <w:rPr>
          <w:rFonts w:ascii="Arial" w:hAnsi="Arial" w:cs="Arial"/>
        </w:rPr>
        <w:t xml:space="preserve"> is then estimated</w:t>
      </w:r>
      <w:r w:rsidR="00AD3FB8" w:rsidRPr="00276364">
        <w:rPr>
          <w:rFonts w:ascii="Arial" w:hAnsi="Arial" w:cs="Arial"/>
        </w:rPr>
        <w:t>. Given that PEPFAR and Global Fund both have indicated that it is unlikely funding for Tanzania w</w:t>
      </w:r>
      <w:r w:rsidR="00755133" w:rsidRPr="00276364">
        <w:rPr>
          <w:rFonts w:ascii="Arial" w:hAnsi="Arial" w:cs="Arial"/>
        </w:rPr>
        <w:t xml:space="preserve">ill </w:t>
      </w:r>
      <w:r w:rsidR="00AD3FB8" w:rsidRPr="00276364">
        <w:rPr>
          <w:rFonts w:ascii="Arial" w:hAnsi="Arial" w:cs="Arial"/>
        </w:rPr>
        <w:t xml:space="preserve">increase, the best-case scenario </w:t>
      </w:r>
      <w:r w:rsidR="00755133" w:rsidRPr="00276364">
        <w:rPr>
          <w:rFonts w:ascii="Arial" w:hAnsi="Arial" w:cs="Arial"/>
        </w:rPr>
        <w:t xml:space="preserve">assumes </w:t>
      </w:r>
      <w:r w:rsidR="00AD3FB8" w:rsidRPr="00276364">
        <w:rPr>
          <w:rFonts w:ascii="Arial" w:hAnsi="Arial" w:cs="Arial"/>
        </w:rPr>
        <w:t>funding remain</w:t>
      </w:r>
      <w:r w:rsidR="00755133" w:rsidRPr="00276364">
        <w:rPr>
          <w:rFonts w:ascii="Arial" w:hAnsi="Arial" w:cs="Arial"/>
        </w:rPr>
        <w:t>s</w:t>
      </w:r>
      <w:r w:rsidR="00AD3FB8" w:rsidRPr="00276364">
        <w:rPr>
          <w:rFonts w:ascii="Arial" w:hAnsi="Arial" w:cs="Arial"/>
        </w:rPr>
        <w:t xml:space="preserve"> at levels </w:t>
      </w:r>
      <w:r w:rsidR="0059798C">
        <w:rPr>
          <w:rFonts w:ascii="Arial" w:hAnsi="Arial" w:cs="Arial"/>
        </w:rPr>
        <w:t xml:space="preserve">seen in the Constant Coverage scenario </w:t>
      </w:r>
      <w:r w:rsidR="00AD3FB8" w:rsidRPr="00276364">
        <w:rPr>
          <w:rFonts w:ascii="Arial" w:hAnsi="Arial" w:cs="Arial"/>
        </w:rPr>
        <w:t>f</w:t>
      </w:r>
      <w:r w:rsidR="001E233E" w:rsidRPr="00276364">
        <w:rPr>
          <w:rFonts w:ascii="Arial" w:hAnsi="Arial" w:cs="Arial"/>
        </w:rPr>
        <w:t>or</w:t>
      </w:r>
      <w:r w:rsidR="00AD3FB8" w:rsidRPr="00276364">
        <w:rPr>
          <w:rFonts w:ascii="Arial" w:hAnsi="Arial" w:cs="Arial"/>
        </w:rPr>
        <w:t xml:space="preserve"> 2019-2030. </w:t>
      </w:r>
      <w:r w:rsidR="00D3707B" w:rsidRPr="00276364">
        <w:rPr>
          <w:rFonts w:ascii="Arial" w:hAnsi="Arial" w:cs="Arial"/>
        </w:rPr>
        <w:t xml:space="preserve">The worst-case scenario is that donor funds will decline steadily, </w:t>
      </w:r>
      <w:r w:rsidRPr="00276364">
        <w:rPr>
          <w:rFonts w:ascii="Arial" w:hAnsi="Arial" w:cs="Arial"/>
        </w:rPr>
        <w:t xml:space="preserve">about 20% from 2019-2030.  </w:t>
      </w:r>
    </w:p>
    <w:p w14:paraId="3A07F29A" w14:textId="77777777" w:rsidR="00D3707B" w:rsidRPr="00276364" w:rsidRDefault="00D3707B" w:rsidP="00D3707B">
      <w:pPr>
        <w:shd w:val="clear" w:color="auto" w:fill="FFFFFF"/>
        <w:spacing w:after="0" w:line="240" w:lineRule="auto"/>
        <w:rPr>
          <w:rFonts w:ascii="Arial" w:hAnsi="Arial" w:cs="Arial"/>
        </w:rPr>
      </w:pPr>
    </w:p>
    <w:p w14:paraId="5E4C743C" w14:textId="2C489F89" w:rsidR="00D3707B" w:rsidRDefault="00082170" w:rsidP="00F51CC4">
      <w:pPr>
        <w:shd w:val="clear" w:color="auto" w:fill="FFFFFF"/>
        <w:spacing w:after="0" w:line="240" w:lineRule="auto"/>
        <w:rPr>
          <w:rFonts w:ascii="Arial" w:hAnsi="Arial" w:cs="Arial"/>
        </w:rPr>
      </w:pPr>
      <w:r w:rsidRPr="00276364">
        <w:rPr>
          <w:rFonts w:ascii="Arial" w:hAnsi="Arial" w:cs="Arial"/>
        </w:rPr>
        <w:t>Under this worst-case scenario of declining donor funds</w:t>
      </w:r>
      <w:r w:rsidR="00D3707B" w:rsidRPr="00276364">
        <w:rPr>
          <w:rFonts w:ascii="Arial" w:hAnsi="Arial" w:cs="Arial"/>
        </w:rPr>
        <w:t>, we explore the potential of increased domestic financing of the HIV program t</w:t>
      </w:r>
      <w:r w:rsidRPr="00276364">
        <w:rPr>
          <w:rFonts w:ascii="Arial" w:hAnsi="Arial" w:cs="Arial"/>
        </w:rPr>
        <w:t xml:space="preserve">o </w:t>
      </w:r>
      <w:r w:rsidR="00B3137C" w:rsidRPr="00276364">
        <w:rPr>
          <w:rFonts w:ascii="Arial" w:hAnsi="Arial" w:cs="Arial"/>
        </w:rPr>
        <w:t>fill the anticipated ga</w:t>
      </w:r>
      <w:r w:rsidR="00F31A6A">
        <w:rPr>
          <w:rFonts w:ascii="Arial" w:hAnsi="Arial" w:cs="Arial"/>
        </w:rPr>
        <w:t>p.</w:t>
      </w:r>
    </w:p>
    <w:p w14:paraId="791D09C8" w14:textId="6A0D34A4" w:rsidR="007E0B34" w:rsidRDefault="007E0B34" w:rsidP="00F51CC4">
      <w:pPr>
        <w:shd w:val="clear" w:color="auto" w:fill="FFFFFF"/>
        <w:spacing w:after="0" w:line="240" w:lineRule="auto"/>
        <w:rPr>
          <w:rFonts w:ascii="Arial" w:hAnsi="Arial" w:cs="Arial"/>
        </w:rPr>
      </w:pPr>
    </w:p>
    <w:p w14:paraId="7CF5A45D" w14:textId="6C9B39D4" w:rsidR="004C0B98" w:rsidRPr="00276364" w:rsidRDefault="007E0B34" w:rsidP="00F51CC4">
      <w:pPr>
        <w:shd w:val="clear" w:color="auto" w:fill="FFFFFF"/>
        <w:spacing w:after="0" w:line="240" w:lineRule="auto"/>
        <w:rPr>
          <w:rFonts w:ascii="Arial" w:eastAsia="Times New Roman" w:hAnsi="Arial" w:cs="Arial"/>
          <w:color w:val="222222"/>
          <w:sz w:val="24"/>
          <w:szCs w:val="24"/>
        </w:rPr>
      </w:pPr>
      <w:r w:rsidRPr="007A3FED">
        <w:rPr>
          <w:rFonts w:ascii="Arial" w:hAnsi="Arial" w:cs="Arial"/>
        </w:rPr>
        <w:t xml:space="preserve">In light of high incidence among AGYW </w:t>
      </w:r>
      <w:r w:rsidR="004D30CA" w:rsidRPr="007A3FED">
        <w:rPr>
          <w:rFonts w:ascii="Arial" w:hAnsi="Arial" w:cs="Arial"/>
        </w:rPr>
        <w:t xml:space="preserve">and testing </w:t>
      </w:r>
      <w:r w:rsidRPr="007A3FED">
        <w:rPr>
          <w:rFonts w:ascii="Arial" w:hAnsi="Arial" w:cs="Arial"/>
        </w:rPr>
        <w:t xml:space="preserve">recognized as critical challenges for the national program, </w:t>
      </w:r>
      <w:r w:rsidR="004D30CA" w:rsidRPr="007A3FED">
        <w:rPr>
          <w:rFonts w:ascii="Arial" w:hAnsi="Arial" w:cs="Arial"/>
        </w:rPr>
        <w:t xml:space="preserve">special attention is given to the strategies for scaling up these programs, the resources required </w:t>
      </w:r>
      <w:r w:rsidR="007A3FED" w:rsidRPr="007A3FED">
        <w:rPr>
          <w:rFonts w:ascii="Arial" w:hAnsi="Arial" w:cs="Arial"/>
        </w:rPr>
        <w:t>to do so, and the impact that would be achieved from these investments.</w:t>
      </w:r>
      <w:r w:rsidR="007A3FED">
        <w:rPr>
          <w:rFonts w:ascii="Arial" w:hAnsi="Arial" w:cs="Arial"/>
        </w:rPr>
        <w:t xml:space="preserve"> Both a comprehensive package of AGYW prevention interventions and targeted testing strategy are considered in the Optimization exercise but only more efficient testing was found to be cost-saving or cost-effective compared to other investments. Scale up of AGYW interventions is explored in Chapter 8 as these investments may be from justified from beyond a cost-effectiveness lens, but based on equity and sustainability.</w:t>
      </w:r>
    </w:p>
    <w:p w14:paraId="440A5DFF" w14:textId="20AF81FD" w:rsidR="003C06B1" w:rsidRDefault="003C06B1" w:rsidP="00C759BF">
      <w:pPr>
        <w:tabs>
          <w:tab w:val="left" w:pos="720"/>
        </w:tabs>
        <w:spacing w:after="0"/>
        <w:rPr>
          <w:rFonts w:ascii="Arial" w:hAnsi="Arial" w:cs="Arial"/>
        </w:rPr>
      </w:pPr>
    </w:p>
    <w:p w14:paraId="43C45F03" w14:textId="77777777" w:rsidR="00A11F7C" w:rsidRDefault="00A11F7C" w:rsidP="000F3F21">
      <w:pPr>
        <w:spacing w:after="0" w:line="254" w:lineRule="auto"/>
        <w:rPr>
          <w:rFonts w:ascii="Arial" w:hAnsi="Arial" w:cs="Arial"/>
          <w:i/>
          <w:sz w:val="18"/>
        </w:rPr>
      </w:pPr>
    </w:p>
    <w:p w14:paraId="79B58E0D" w14:textId="77777777" w:rsidR="00A11F7C" w:rsidRDefault="00A11F7C" w:rsidP="000F3F21">
      <w:pPr>
        <w:spacing w:after="0" w:line="254" w:lineRule="auto"/>
        <w:rPr>
          <w:rFonts w:ascii="Arial" w:hAnsi="Arial" w:cs="Arial"/>
          <w:i/>
          <w:sz w:val="18"/>
        </w:rPr>
      </w:pPr>
    </w:p>
    <w:p w14:paraId="2F3DE844" w14:textId="77777777" w:rsidR="00A11F7C" w:rsidRDefault="00A11F7C" w:rsidP="000F3F21">
      <w:pPr>
        <w:spacing w:after="0" w:line="254" w:lineRule="auto"/>
        <w:rPr>
          <w:rFonts w:ascii="Arial" w:hAnsi="Arial" w:cs="Arial"/>
          <w:i/>
          <w:sz w:val="18"/>
        </w:rPr>
      </w:pPr>
    </w:p>
    <w:p w14:paraId="3E72B79D" w14:textId="77777777" w:rsidR="00A11F7C" w:rsidRDefault="00A11F7C" w:rsidP="000F3F21">
      <w:pPr>
        <w:spacing w:after="0" w:line="254" w:lineRule="auto"/>
        <w:rPr>
          <w:rFonts w:ascii="Arial" w:hAnsi="Arial" w:cs="Arial"/>
          <w:i/>
          <w:sz w:val="18"/>
        </w:rPr>
      </w:pPr>
    </w:p>
    <w:p w14:paraId="1E67C258" w14:textId="77777777" w:rsidR="00A11F7C" w:rsidRDefault="00A11F7C" w:rsidP="000F3F21">
      <w:pPr>
        <w:spacing w:after="0" w:line="254" w:lineRule="auto"/>
        <w:rPr>
          <w:rFonts w:ascii="Arial" w:hAnsi="Arial" w:cs="Arial"/>
          <w:i/>
          <w:sz w:val="18"/>
        </w:rPr>
      </w:pPr>
    </w:p>
    <w:p w14:paraId="05EB0D6E" w14:textId="77777777" w:rsidR="00A11F7C" w:rsidRDefault="00A11F7C" w:rsidP="000F3F21">
      <w:pPr>
        <w:spacing w:after="0" w:line="254" w:lineRule="auto"/>
        <w:rPr>
          <w:rFonts w:ascii="Arial" w:hAnsi="Arial" w:cs="Arial"/>
          <w:i/>
          <w:sz w:val="18"/>
        </w:rPr>
      </w:pPr>
    </w:p>
    <w:p w14:paraId="2BFD152B" w14:textId="77777777" w:rsidR="00A11F7C" w:rsidRDefault="00A11F7C" w:rsidP="000F3F21">
      <w:pPr>
        <w:spacing w:after="0" w:line="254" w:lineRule="auto"/>
        <w:rPr>
          <w:rFonts w:ascii="Arial" w:hAnsi="Arial" w:cs="Arial"/>
          <w:i/>
          <w:sz w:val="18"/>
        </w:rPr>
      </w:pPr>
    </w:p>
    <w:p w14:paraId="5BA73A78" w14:textId="77777777" w:rsidR="00A11F7C" w:rsidRDefault="00A11F7C" w:rsidP="000F3F21">
      <w:pPr>
        <w:spacing w:after="0" w:line="254" w:lineRule="auto"/>
        <w:rPr>
          <w:rFonts w:ascii="Arial" w:hAnsi="Arial" w:cs="Arial"/>
          <w:i/>
          <w:sz w:val="18"/>
        </w:rPr>
      </w:pPr>
    </w:p>
    <w:p w14:paraId="07049449" w14:textId="1CA29058" w:rsidR="000F3F21" w:rsidRDefault="000F3F21" w:rsidP="000F3F21">
      <w:pPr>
        <w:spacing w:after="0" w:line="254" w:lineRule="auto"/>
        <w:rPr>
          <w:rFonts w:ascii="Arial" w:hAnsi="Arial" w:cs="Arial"/>
          <w:b/>
        </w:rPr>
      </w:pPr>
      <w:r>
        <w:rPr>
          <w:rFonts w:ascii="Arial" w:hAnsi="Arial" w:cs="Arial"/>
          <w:i/>
          <w:sz w:val="18"/>
        </w:rPr>
        <w:t xml:space="preserve">Figure </w:t>
      </w:r>
      <w:r w:rsidR="00D5288C">
        <w:rPr>
          <w:rFonts w:ascii="Arial" w:hAnsi="Arial" w:cs="Arial"/>
          <w:i/>
          <w:sz w:val="18"/>
        </w:rPr>
        <w:t>3-</w:t>
      </w:r>
      <w:r>
        <w:rPr>
          <w:rFonts w:ascii="Arial" w:hAnsi="Arial" w:cs="Arial"/>
          <w:i/>
          <w:sz w:val="18"/>
        </w:rPr>
        <w:t xml:space="preserve">1. </w:t>
      </w:r>
      <w:r w:rsidR="00F31A6A">
        <w:rPr>
          <w:rFonts w:ascii="Arial" w:hAnsi="Arial" w:cs="Arial"/>
          <w:i/>
          <w:sz w:val="18"/>
        </w:rPr>
        <w:t>Investment case</w:t>
      </w:r>
      <w:r>
        <w:rPr>
          <w:rFonts w:ascii="Arial" w:hAnsi="Arial" w:cs="Arial"/>
          <w:i/>
          <w:sz w:val="18"/>
        </w:rPr>
        <w:t xml:space="preserve"> 2.0 </w:t>
      </w:r>
      <w:r w:rsidR="00F31A6A">
        <w:rPr>
          <w:rFonts w:ascii="Arial" w:hAnsi="Arial" w:cs="Arial"/>
          <w:i/>
          <w:sz w:val="18"/>
        </w:rPr>
        <w:t>framework</w:t>
      </w:r>
    </w:p>
    <w:p w14:paraId="531DA67F" w14:textId="2E64DA48" w:rsidR="000F3F21" w:rsidRDefault="000F3F21" w:rsidP="00C759BF">
      <w:pPr>
        <w:tabs>
          <w:tab w:val="left" w:pos="720"/>
        </w:tabs>
        <w:spacing w:after="0"/>
        <w:rPr>
          <w:rFonts w:ascii="Arial" w:hAnsi="Arial" w:cs="Arial"/>
        </w:rPr>
      </w:pPr>
    </w:p>
    <w:p w14:paraId="67F6D19E" w14:textId="26A5BCB2" w:rsidR="003C06B1" w:rsidRDefault="00EB0246" w:rsidP="003A711C">
      <w:r w:rsidRPr="00EB0246">
        <w:rPr>
          <w:noProof/>
        </w:rPr>
        <w:t xml:space="preserve"> </w:t>
      </w:r>
      <w:r w:rsidR="006B3518">
        <w:rPr>
          <w:noProof/>
        </w:rPr>
        <w:drawing>
          <wp:inline distT="0" distB="0" distL="0" distR="0" wp14:anchorId="42354B83" wp14:editId="51E3848B">
            <wp:extent cx="5860415" cy="2659380"/>
            <wp:effectExtent l="19050" t="19050" r="26035"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874" t="6222" b="16222"/>
                    <a:stretch/>
                  </pic:blipFill>
                  <pic:spPr bwMode="auto">
                    <a:xfrm>
                      <a:off x="0" y="0"/>
                      <a:ext cx="5860415" cy="26593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C6A55C" w14:textId="5DC8A577" w:rsidR="00576229" w:rsidRDefault="00576229" w:rsidP="005353AA">
      <w:pPr>
        <w:spacing w:after="0" w:line="254" w:lineRule="auto"/>
        <w:rPr>
          <w:rFonts w:ascii="Arial" w:hAnsi="Arial" w:cs="Arial"/>
        </w:rPr>
      </w:pPr>
    </w:p>
    <w:p w14:paraId="0A33A88A" w14:textId="12CF27BB" w:rsidR="009F10FB" w:rsidRDefault="00E742D0" w:rsidP="005353AA">
      <w:pPr>
        <w:pStyle w:val="Heading2"/>
        <w:spacing w:before="0"/>
        <w:rPr>
          <w:rFonts w:ascii="Arial" w:hAnsi="Arial" w:cs="Arial"/>
          <w:b/>
          <w:color w:val="000000" w:themeColor="text1"/>
          <w:sz w:val="24"/>
        </w:rPr>
      </w:pPr>
      <w:bookmarkStart w:id="57" w:name="_Toc57035154"/>
      <w:r w:rsidRPr="000F32A2">
        <w:rPr>
          <w:rFonts w:ascii="Arial" w:hAnsi="Arial" w:cs="Arial"/>
          <w:b/>
          <w:color w:val="000000" w:themeColor="text1"/>
          <w:sz w:val="24"/>
        </w:rPr>
        <w:t xml:space="preserve">Investment case </w:t>
      </w:r>
      <w:r w:rsidR="009F10FB">
        <w:rPr>
          <w:rFonts w:ascii="Arial" w:hAnsi="Arial" w:cs="Arial"/>
          <w:b/>
          <w:color w:val="000000" w:themeColor="text1"/>
          <w:sz w:val="24"/>
        </w:rPr>
        <w:t>m</w:t>
      </w:r>
      <w:r w:rsidR="001A39C8">
        <w:rPr>
          <w:rFonts w:ascii="Arial" w:hAnsi="Arial" w:cs="Arial"/>
          <w:b/>
          <w:color w:val="000000" w:themeColor="text1"/>
          <w:sz w:val="24"/>
        </w:rPr>
        <w:t>ethodology</w:t>
      </w:r>
      <w:bookmarkEnd w:id="57"/>
    </w:p>
    <w:p w14:paraId="3033F93E" w14:textId="77777777" w:rsidR="001B3156" w:rsidRPr="001B3156" w:rsidRDefault="001B3156" w:rsidP="001B3156">
      <w:pPr>
        <w:spacing w:after="0"/>
      </w:pPr>
      <w:bookmarkStart w:id="58" w:name="_Hlk10119897"/>
    </w:p>
    <w:p w14:paraId="23095F81" w14:textId="3AB8DEB4" w:rsidR="007067DC" w:rsidRDefault="007067DC" w:rsidP="001B3156">
      <w:pPr>
        <w:pStyle w:val="Heading3"/>
        <w:rPr>
          <w:rFonts w:ascii="Arial" w:hAnsi="Arial" w:cs="Arial"/>
          <w:i/>
          <w:color w:val="000000" w:themeColor="text1"/>
        </w:rPr>
      </w:pPr>
      <w:bookmarkStart w:id="59" w:name="_Toc57035155"/>
      <w:r w:rsidRPr="009F10FB">
        <w:rPr>
          <w:rFonts w:ascii="Arial" w:hAnsi="Arial" w:cs="Arial"/>
          <w:i/>
          <w:color w:val="000000" w:themeColor="text1"/>
        </w:rPr>
        <w:t>Scenario</w:t>
      </w:r>
      <w:r w:rsidR="00DA19B8">
        <w:rPr>
          <w:rFonts w:ascii="Arial" w:hAnsi="Arial" w:cs="Arial"/>
          <w:i/>
          <w:color w:val="000000" w:themeColor="text1"/>
        </w:rPr>
        <w:t xml:space="preserve"> design</w:t>
      </w:r>
      <w:bookmarkEnd w:id="59"/>
    </w:p>
    <w:p w14:paraId="2AB998A6" w14:textId="2B12C8BE" w:rsidR="009F10FB" w:rsidRPr="009F10FB" w:rsidRDefault="009F10FB" w:rsidP="001B3156">
      <w:pPr>
        <w:spacing w:after="0"/>
      </w:pPr>
    </w:p>
    <w:p w14:paraId="792100A1" w14:textId="0195EF8A" w:rsidR="0002778B" w:rsidRDefault="00F77731" w:rsidP="00C759BF">
      <w:pPr>
        <w:spacing w:after="0"/>
      </w:pPr>
      <w:r w:rsidRPr="009F10FB">
        <w:rPr>
          <w:rFonts w:ascii="Arial" w:hAnsi="Arial" w:cs="Arial"/>
        </w:rPr>
        <w:t xml:space="preserve">The investment case methodology is </w:t>
      </w:r>
      <w:r>
        <w:rPr>
          <w:rFonts w:ascii="Arial" w:hAnsi="Arial" w:cs="Arial"/>
        </w:rPr>
        <w:t xml:space="preserve">based on modeling and analysis of </w:t>
      </w:r>
      <w:r w:rsidRPr="009F10FB">
        <w:rPr>
          <w:rFonts w:ascii="Arial" w:hAnsi="Arial" w:cs="Arial"/>
        </w:rPr>
        <w:t>defined scenario</w:t>
      </w:r>
      <w:r w:rsidR="00A03127">
        <w:rPr>
          <w:rFonts w:ascii="Arial" w:hAnsi="Arial" w:cs="Arial"/>
        </w:rPr>
        <w:t>s</w:t>
      </w:r>
      <w:r w:rsidRPr="009F10FB">
        <w:rPr>
          <w:rFonts w:ascii="Arial" w:hAnsi="Arial" w:cs="Arial"/>
        </w:rPr>
        <w:t xml:space="preserve">, comparing various </w:t>
      </w:r>
      <w:r>
        <w:rPr>
          <w:rFonts w:ascii="Arial" w:hAnsi="Arial" w:cs="Arial"/>
        </w:rPr>
        <w:t>“</w:t>
      </w:r>
      <w:r w:rsidRPr="009F10FB">
        <w:rPr>
          <w:rFonts w:ascii="Arial" w:hAnsi="Arial" w:cs="Arial"/>
        </w:rPr>
        <w:t>future</w:t>
      </w:r>
      <w:r>
        <w:rPr>
          <w:rFonts w:ascii="Arial" w:hAnsi="Arial" w:cs="Arial"/>
        </w:rPr>
        <w:t xml:space="preserve">s” for the HIV response in Tanzania and assessing </w:t>
      </w:r>
      <w:r w:rsidRPr="009F10FB">
        <w:rPr>
          <w:rFonts w:ascii="Arial" w:hAnsi="Arial" w:cs="Arial"/>
        </w:rPr>
        <w:t>their benefits</w:t>
      </w:r>
      <w:r>
        <w:rPr>
          <w:rFonts w:ascii="Arial" w:hAnsi="Arial" w:cs="Arial"/>
        </w:rPr>
        <w:t>, costs</w:t>
      </w:r>
      <w:r w:rsidRPr="009F10FB">
        <w:rPr>
          <w:rFonts w:ascii="Arial" w:hAnsi="Arial" w:cs="Arial"/>
        </w:rPr>
        <w:t>, trade-offs, and implications.</w:t>
      </w:r>
      <w:r>
        <w:rPr>
          <w:rFonts w:ascii="Arial" w:hAnsi="Arial" w:cs="Arial"/>
        </w:rPr>
        <w:t xml:space="preserve"> </w:t>
      </w:r>
      <w:r w:rsidR="004123DC">
        <w:rPr>
          <w:rFonts w:ascii="Arial" w:hAnsi="Arial" w:cs="Arial"/>
        </w:rPr>
        <w:t xml:space="preserve">IC 2.0 uses </w:t>
      </w:r>
      <w:r>
        <w:rPr>
          <w:rFonts w:ascii="Arial" w:hAnsi="Arial" w:cs="Arial"/>
        </w:rPr>
        <w:t xml:space="preserve">modeling to </w:t>
      </w:r>
      <w:r w:rsidR="0002778B" w:rsidRPr="0057079A">
        <w:rPr>
          <w:rFonts w:ascii="Arial" w:hAnsi="Arial" w:cs="Arial"/>
        </w:rPr>
        <w:t>understand the implications and consequences of t</w:t>
      </w:r>
      <w:r>
        <w:rPr>
          <w:rFonts w:ascii="Arial" w:hAnsi="Arial" w:cs="Arial"/>
        </w:rPr>
        <w:t xml:space="preserve">wo target driven and three resource-constrained scenarios aimed at </w:t>
      </w:r>
      <w:r w:rsidR="0057079A" w:rsidRPr="0057079A">
        <w:rPr>
          <w:rFonts w:ascii="Arial" w:hAnsi="Arial" w:cs="Arial"/>
        </w:rPr>
        <w:t>helping Tanzania reach 95-95-95</w:t>
      </w:r>
      <w:r w:rsidR="0057079A">
        <w:t xml:space="preserve">. </w:t>
      </w:r>
    </w:p>
    <w:p w14:paraId="4C3CD67F" w14:textId="54FD9B7B" w:rsidR="00A922AF" w:rsidRDefault="00A922AF" w:rsidP="00C759BF">
      <w:pPr>
        <w:spacing w:after="0"/>
      </w:pPr>
    </w:p>
    <w:p w14:paraId="4E13F670" w14:textId="718F5093" w:rsidR="00386AA0" w:rsidRDefault="00A922AF" w:rsidP="00C759BF">
      <w:pPr>
        <w:spacing w:after="0"/>
        <w:rPr>
          <w:rFonts w:ascii="Arial" w:hAnsi="Arial" w:cs="Arial"/>
        </w:rPr>
      </w:pPr>
      <w:r>
        <w:rPr>
          <w:rFonts w:ascii="Arial" w:hAnsi="Arial" w:cs="Arial"/>
        </w:rPr>
        <w:t xml:space="preserve">When a scenario is </w:t>
      </w:r>
      <w:r w:rsidRPr="00650F2B">
        <w:rPr>
          <w:rFonts w:ascii="Arial" w:hAnsi="Arial" w:cs="Arial"/>
          <w:i/>
        </w:rPr>
        <w:t>coverage-driven</w:t>
      </w:r>
      <w:r>
        <w:rPr>
          <w:rFonts w:ascii="Arial" w:hAnsi="Arial" w:cs="Arial"/>
        </w:rPr>
        <w:t xml:space="preserve">, </w:t>
      </w:r>
      <w:r w:rsidR="00C737C6">
        <w:rPr>
          <w:rFonts w:ascii="Arial" w:hAnsi="Arial" w:cs="Arial"/>
        </w:rPr>
        <w:t>the model’s first priority is to reach these coverage goals and the costs of doing so are then calculated. On the other hand, in a</w:t>
      </w:r>
      <w:r w:rsidR="003B2713">
        <w:rPr>
          <w:rFonts w:ascii="Arial" w:hAnsi="Arial" w:cs="Arial"/>
        </w:rPr>
        <w:t xml:space="preserve"> </w:t>
      </w:r>
      <w:r w:rsidR="003B2713" w:rsidRPr="00650F2B">
        <w:rPr>
          <w:rFonts w:ascii="Arial" w:hAnsi="Arial" w:cs="Arial"/>
          <w:i/>
        </w:rPr>
        <w:t>funding</w:t>
      </w:r>
      <w:r w:rsidR="00C737C6" w:rsidRPr="00650F2B">
        <w:rPr>
          <w:rFonts w:ascii="Arial" w:hAnsi="Arial" w:cs="Arial"/>
          <w:i/>
        </w:rPr>
        <w:t>-driven scenario</w:t>
      </w:r>
      <w:r w:rsidR="00C737C6">
        <w:rPr>
          <w:rFonts w:ascii="Arial" w:hAnsi="Arial" w:cs="Arial"/>
        </w:rPr>
        <w:t xml:space="preserve">, the modelling must work within a fixed resource envelope and the feasible coverage </w:t>
      </w:r>
      <w:r w:rsidR="00123BDB">
        <w:rPr>
          <w:rFonts w:ascii="Arial" w:hAnsi="Arial" w:cs="Arial"/>
        </w:rPr>
        <w:t xml:space="preserve">and health outcomes </w:t>
      </w:r>
      <w:r w:rsidR="00C737C6">
        <w:rPr>
          <w:rFonts w:ascii="Arial" w:hAnsi="Arial" w:cs="Arial"/>
        </w:rPr>
        <w:t>within this envelope are calculated.</w:t>
      </w:r>
      <w:r w:rsidR="00C737C6" w:rsidRPr="00C737C6">
        <w:rPr>
          <w:rFonts w:ascii="Arial" w:hAnsi="Arial" w:cs="Arial"/>
        </w:rPr>
        <w:t xml:space="preserve"> </w:t>
      </w:r>
    </w:p>
    <w:p w14:paraId="719C714C" w14:textId="77777777" w:rsidR="00386AA0" w:rsidRDefault="00386AA0" w:rsidP="00C759BF">
      <w:pPr>
        <w:spacing w:after="0"/>
        <w:rPr>
          <w:rFonts w:ascii="Arial" w:hAnsi="Arial" w:cs="Arial"/>
        </w:rPr>
      </w:pPr>
    </w:p>
    <w:p w14:paraId="3F5001D7" w14:textId="50977167" w:rsidR="00386AA0" w:rsidRDefault="00C737C6" w:rsidP="00C759BF">
      <w:pPr>
        <w:spacing w:after="0"/>
        <w:rPr>
          <w:rFonts w:ascii="Arial" w:hAnsi="Arial" w:cs="Arial"/>
        </w:rPr>
      </w:pPr>
      <w:r>
        <w:rPr>
          <w:rFonts w:ascii="Arial" w:hAnsi="Arial" w:cs="Arial"/>
        </w:rPr>
        <w:t>Traditionally, coverage driven scenarios have been the heart of investment cases</w:t>
      </w:r>
      <w:r w:rsidR="00386AA0">
        <w:rPr>
          <w:rFonts w:ascii="Arial" w:hAnsi="Arial" w:cs="Arial"/>
        </w:rPr>
        <w:t xml:space="preserve">, establishing and advocating for funding levels to achieve coverage and outcome </w:t>
      </w:r>
      <w:r>
        <w:rPr>
          <w:rFonts w:ascii="Arial" w:hAnsi="Arial" w:cs="Arial"/>
        </w:rPr>
        <w:t xml:space="preserve">targets. </w:t>
      </w:r>
    </w:p>
    <w:p w14:paraId="2F877864" w14:textId="77777777" w:rsidR="00386AA0" w:rsidRDefault="00386AA0" w:rsidP="00C759BF">
      <w:pPr>
        <w:spacing w:after="0"/>
        <w:rPr>
          <w:rFonts w:ascii="Arial" w:hAnsi="Arial" w:cs="Arial"/>
        </w:rPr>
      </w:pPr>
    </w:p>
    <w:p w14:paraId="124F5DC8" w14:textId="3594767B" w:rsidR="00386AA0" w:rsidRDefault="00123BDB" w:rsidP="00C759BF">
      <w:pPr>
        <w:spacing w:after="0"/>
        <w:rPr>
          <w:rFonts w:ascii="Arial" w:hAnsi="Arial" w:cs="Arial"/>
        </w:rPr>
      </w:pPr>
      <w:r>
        <w:rPr>
          <w:rFonts w:ascii="Arial" w:hAnsi="Arial" w:cs="Arial"/>
        </w:rPr>
        <w:t xml:space="preserve">In </w:t>
      </w:r>
      <w:r w:rsidR="00386AA0">
        <w:rPr>
          <w:rFonts w:ascii="Arial" w:hAnsi="Arial" w:cs="Arial"/>
        </w:rPr>
        <w:t>IC 2.0</w:t>
      </w:r>
      <w:r>
        <w:rPr>
          <w:rFonts w:ascii="Arial" w:hAnsi="Arial" w:cs="Arial"/>
        </w:rPr>
        <w:t xml:space="preserve"> t</w:t>
      </w:r>
      <w:r w:rsidR="00C737C6">
        <w:rPr>
          <w:rFonts w:ascii="Arial" w:hAnsi="Arial" w:cs="Arial"/>
        </w:rPr>
        <w:t xml:space="preserve">he </w:t>
      </w:r>
      <w:r w:rsidR="00811AC5">
        <w:rPr>
          <w:rFonts w:ascii="Arial" w:hAnsi="Arial" w:cs="Arial"/>
        </w:rPr>
        <w:t>Constant coverage</w:t>
      </w:r>
      <w:r w:rsidR="00C737C6">
        <w:rPr>
          <w:rFonts w:ascii="Arial" w:hAnsi="Arial" w:cs="Arial"/>
        </w:rPr>
        <w:t xml:space="preserve"> and </w:t>
      </w:r>
      <w:r>
        <w:rPr>
          <w:rFonts w:ascii="Arial" w:hAnsi="Arial" w:cs="Arial"/>
        </w:rPr>
        <w:t>N</w:t>
      </w:r>
      <w:r w:rsidR="00C737C6">
        <w:rPr>
          <w:rFonts w:ascii="Arial" w:hAnsi="Arial" w:cs="Arial"/>
        </w:rPr>
        <w:t xml:space="preserve">ational </w:t>
      </w:r>
      <w:r>
        <w:rPr>
          <w:rFonts w:ascii="Arial" w:hAnsi="Arial" w:cs="Arial"/>
        </w:rPr>
        <w:t>S</w:t>
      </w:r>
      <w:r w:rsidR="00C737C6">
        <w:rPr>
          <w:rFonts w:ascii="Arial" w:hAnsi="Arial" w:cs="Arial"/>
        </w:rPr>
        <w:t xml:space="preserve">trategy </w:t>
      </w:r>
      <w:r w:rsidR="00534FF7">
        <w:rPr>
          <w:rFonts w:ascii="Arial" w:hAnsi="Arial" w:cs="Arial"/>
        </w:rPr>
        <w:t>S</w:t>
      </w:r>
      <w:r w:rsidR="00C737C6">
        <w:rPr>
          <w:rFonts w:ascii="Arial" w:hAnsi="Arial" w:cs="Arial"/>
        </w:rPr>
        <w:t xml:space="preserve">cenarios </w:t>
      </w:r>
      <w:r>
        <w:rPr>
          <w:rFonts w:ascii="Arial" w:hAnsi="Arial" w:cs="Arial"/>
        </w:rPr>
        <w:t xml:space="preserve">are </w:t>
      </w:r>
      <w:r w:rsidR="00C737C6">
        <w:rPr>
          <w:rFonts w:ascii="Arial" w:hAnsi="Arial" w:cs="Arial"/>
        </w:rPr>
        <w:t>coverage</w:t>
      </w:r>
      <w:r>
        <w:rPr>
          <w:rFonts w:ascii="Arial" w:hAnsi="Arial" w:cs="Arial"/>
        </w:rPr>
        <w:t>-</w:t>
      </w:r>
      <w:r w:rsidR="00C737C6">
        <w:rPr>
          <w:rFonts w:ascii="Arial" w:hAnsi="Arial" w:cs="Arial"/>
        </w:rPr>
        <w:t xml:space="preserve">driven </w:t>
      </w:r>
      <w:r>
        <w:rPr>
          <w:rFonts w:ascii="Arial" w:hAnsi="Arial" w:cs="Arial"/>
        </w:rPr>
        <w:t>and are presented first</w:t>
      </w:r>
      <w:r w:rsidR="001E233E">
        <w:rPr>
          <w:rFonts w:ascii="Arial" w:hAnsi="Arial" w:cs="Arial"/>
        </w:rPr>
        <w:t xml:space="preserve">. </w:t>
      </w:r>
      <w:r w:rsidR="00BF1723">
        <w:rPr>
          <w:rFonts w:ascii="Arial" w:hAnsi="Arial" w:cs="Arial"/>
        </w:rPr>
        <w:t xml:space="preserve">The </w:t>
      </w:r>
      <w:r w:rsidR="00811AC5">
        <w:rPr>
          <w:rFonts w:ascii="Arial" w:hAnsi="Arial" w:cs="Arial"/>
        </w:rPr>
        <w:t>Constant coverage (CC)</w:t>
      </w:r>
      <w:r w:rsidR="00BF1723">
        <w:rPr>
          <w:rFonts w:ascii="Arial" w:hAnsi="Arial" w:cs="Arial"/>
        </w:rPr>
        <w:t xml:space="preserve"> represents the costs of inaction and is defined by constant ART program coverage, with no additional efficiencies achieved. The National Strategy (NS) scenario represents Tanzania’s current national targets and priorities for reaching 90-90-90</w:t>
      </w:r>
      <w:r w:rsidR="00AC1C3A">
        <w:rPr>
          <w:rFonts w:ascii="Arial" w:hAnsi="Arial" w:cs="Arial"/>
        </w:rPr>
        <w:t>.</w:t>
      </w:r>
      <w:r w:rsidR="00BF1723">
        <w:rPr>
          <w:rFonts w:ascii="Arial" w:hAnsi="Arial" w:cs="Arial"/>
        </w:rPr>
        <w:t xml:space="preserve"> </w:t>
      </w:r>
      <w:r w:rsidR="00AC1C3A">
        <w:rPr>
          <w:rFonts w:ascii="Arial" w:hAnsi="Arial" w:cs="Arial"/>
        </w:rPr>
        <w:t>Built based on the NMSF IV and HSHP IV and the I</w:t>
      </w:r>
      <w:r w:rsidR="00AD60B5">
        <w:rPr>
          <w:rFonts w:ascii="Arial" w:hAnsi="Arial" w:cs="Arial"/>
        </w:rPr>
        <w:t>C 1.0</w:t>
      </w:r>
      <w:r w:rsidR="00BF1723">
        <w:rPr>
          <w:rFonts w:ascii="Arial" w:hAnsi="Arial" w:cs="Arial"/>
        </w:rPr>
        <w:t xml:space="preserve">, the NS already assumes what an optimized program package would </w:t>
      </w:r>
      <w:r w:rsidR="00D52AEC">
        <w:rPr>
          <w:rFonts w:ascii="Arial" w:hAnsi="Arial" w:cs="Arial"/>
        </w:rPr>
        <w:t xml:space="preserve">be </w:t>
      </w:r>
      <w:r w:rsidR="00BF1723">
        <w:rPr>
          <w:rFonts w:ascii="Arial" w:hAnsi="Arial" w:cs="Arial"/>
        </w:rPr>
        <w:t xml:space="preserve">like if there were no resource constraint. Given the anticipated funding gap for </w:t>
      </w:r>
      <w:r w:rsidR="00AD60B5">
        <w:rPr>
          <w:rFonts w:ascii="Arial" w:hAnsi="Arial" w:cs="Arial"/>
        </w:rPr>
        <w:t>achieving the NS though,</w:t>
      </w:r>
      <w:r>
        <w:rPr>
          <w:rFonts w:ascii="Arial" w:hAnsi="Arial" w:cs="Arial"/>
        </w:rPr>
        <w:t xml:space="preserve"> </w:t>
      </w:r>
      <w:r w:rsidR="00A65690">
        <w:rPr>
          <w:rFonts w:ascii="Arial" w:hAnsi="Arial" w:cs="Arial"/>
        </w:rPr>
        <w:t>three funding-</w:t>
      </w:r>
      <w:r w:rsidR="00C737C6">
        <w:rPr>
          <w:rFonts w:ascii="Arial" w:hAnsi="Arial" w:cs="Arial"/>
        </w:rPr>
        <w:t xml:space="preserve">constrained scenarios </w:t>
      </w:r>
      <w:r w:rsidR="00A65690">
        <w:rPr>
          <w:rFonts w:ascii="Arial" w:hAnsi="Arial" w:cs="Arial"/>
        </w:rPr>
        <w:t>are examined</w:t>
      </w:r>
      <w:r w:rsidR="00AD60B5">
        <w:rPr>
          <w:rFonts w:ascii="Arial" w:hAnsi="Arial" w:cs="Arial"/>
        </w:rPr>
        <w:t xml:space="preserve"> to identify how lower funding levels could be further optimized to achieve similar NS impacts </w:t>
      </w:r>
      <w:r w:rsidR="00A65690">
        <w:rPr>
          <w:rFonts w:ascii="Arial" w:hAnsi="Arial" w:cs="Arial"/>
        </w:rPr>
        <w:t xml:space="preserve"> – one maximizes allocative and technical efficiency with </w:t>
      </w:r>
      <w:r w:rsidR="0059798C">
        <w:rPr>
          <w:rFonts w:ascii="Arial" w:hAnsi="Arial" w:cs="Arial"/>
        </w:rPr>
        <w:t>funding levels needed to at least maintain</w:t>
      </w:r>
      <w:r w:rsidR="00A65690">
        <w:rPr>
          <w:rFonts w:ascii="Arial" w:hAnsi="Arial" w:cs="Arial"/>
        </w:rPr>
        <w:t xml:space="preserve"> </w:t>
      </w:r>
      <w:r w:rsidR="0059798C">
        <w:rPr>
          <w:rFonts w:ascii="Arial" w:hAnsi="Arial" w:cs="Arial"/>
        </w:rPr>
        <w:t>current coverage</w:t>
      </w:r>
      <w:r w:rsidR="00A65690">
        <w:rPr>
          <w:rFonts w:ascii="Arial" w:hAnsi="Arial" w:cs="Arial"/>
        </w:rPr>
        <w:t xml:space="preserve"> levels</w:t>
      </w:r>
      <w:r w:rsidR="00D82F48">
        <w:rPr>
          <w:rFonts w:ascii="Arial" w:hAnsi="Arial" w:cs="Arial"/>
        </w:rPr>
        <w:t xml:space="preserve"> (Optimization – </w:t>
      </w:r>
      <w:r w:rsidR="0059798C">
        <w:rPr>
          <w:rFonts w:ascii="Arial" w:hAnsi="Arial" w:cs="Arial"/>
        </w:rPr>
        <w:t>Constant Coverage</w:t>
      </w:r>
      <w:r w:rsidR="00D82F48">
        <w:rPr>
          <w:rFonts w:ascii="Arial" w:hAnsi="Arial" w:cs="Arial"/>
        </w:rPr>
        <w:t xml:space="preserve"> Funding)</w:t>
      </w:r>
      <w:r w:rsidR="00A65690">
        <w:rPr>
          <w:rFonts w:ascii="Arial" w:hAnsi="Arial" w:cs="Arial"/>
        </w:rPr>
        <w:t xml:space="preserve">; a second one maximizes impact with declining funds, assuming that donor financing falls and domestic financing </w:t>
      </w:r>
      <w:r w:rsidR="00D82F48">
        <w:rPr>
          <w:rFonts w:ascii="Arial" w:hAnsi="Arial" w:cs="Arial"/>
        </w:rPr>
        <w:t xml:space="preserve">remains </w:t>
      </w:r>
      <w:r w:rsidR="00A65690">
        <w:rPr>
          <w:rFonts w:ascii="Arial" w:hAnsi="Arial" w:cs="Arial"/>
        </w:rPr>
        <w:t>unchanged</w:t>
      </w:r>
      <w:r w:rsidR="00D82F48">
        <w:rPr>
          <w:rFonts w:ascii="Arial" w:hAnsi="Arial" w:cs="Arial"/>
        </w:rPr>
        <w:t xml:space="preserve"> (Optimization </w:t>
      </w:r>
      <w:r w:rsidR="001E1918">
        <w:rPr>
          <w:rFonts w:ascii="Arial" w:hAnsi="Arial" w:cs="Arial"/>
        </w:rPr>
        <w:t>–</w:t>
      </w:r>
      <w:r w:rsidR="00D82F48">
        <w:rPr>
          <w:rFonts w:ascii="Arial" w:hAnsi="Arial" w:cs="Arial"/>
        </w:rPr>
        <w:t xml:space="preserve"> </w:t>
      </w:r>
      <w:r w:rsidR="001E1918">
        <w:rPr>
          <w:rFonts w:ascii="Arial" w:hAnsi="Arial" w:cs="Arial"/>
        </w:rPr>
        <w:t>Declining Donor Funding), representing the worst-case possibility</w:t>
      </w:r>
      <w:r w:rsidR="00A2301F">
        <w:rPr>
          <w:rFonts w:ascii="Arial" w:hAnsi="Arial" w:cs="Arial"/>
        </w:rPr>
        <w:t xml:space="preserve"> for funding</w:t>
      </w:r>
      <w:r w:rsidR="00A65690">
        <w:rPr>
          <w:rFonts w:ascii="Arial" w:hAnsi="Arial" w:cs="Arial"/>
        </w:rPr>
        <w:t xml:space="preserve">; and </w:t>
      </w:r>
      <w:r w:rsidR="00386AA0">
        <w:rPr>
          <w:rFonts w:ascii="Arial" w:hAnsi="Arial" w:cs="Arial"/>
        </w:rPr>
        <w:t xml:space="preserve">the </w:t>
      </w:r>
      <w:r w:rsidR="00A65690">
        <w:rPr>
          <w:rFonts w:ascii="Arial" w:hAnsi="Arial" w:cs="Arial"/>
        </w:rPr>
        <w:t xml:space="preserve">third </w:t>
      </w:r>
      <w:r w:rsidR="00386AA0">
        <w:rPr>
          <w:rFonts w:ascii="Arial" w:hAnsi="Arial" w:cs="Arial"/>
        </w:rPr>
        <w:t xml:space="preserve">scenario </w:t>
      </w:r>
      <w:r w:rsidR="00A65690">
        <w:rPr>
          <w:rFonts w:ascii="Arial" w:hAnsi="Arial" w:cs="Arial"/>
        </w:rPr>
        <w:t xml:space="preserve">maximizes coverage and outcomes with </w:t>
      </w:r>
      <w:r w:rsidR="00731437">
        <w:rPr>
          <w:rFonts w:ascii="Arial" w:hAnsi="Arial" w:cs="Arial"/>
        </w:rPr>
        <w:t xml:space="preserve">falling </w:t>
      </w:r>
      <w:r w:rsidR="00A65690">
        <w:rPr>
          <w:rFonts w:ascii="Arial" w:hAnsi="Arial" w:cs="Arial"/>
        </w:rPr>
        <w:t xml:space="preserve">external financing </w:t>
      </w:r>
      <w:r w:rsidR="001E1918">
        <w:rPr>
          <w:rFonts w:ascii="Arial" w:hAnsi="Arial" w:cs="Arial"/>
        </w:rPr>
        <w:t xml:space="preserve">but </w:t>
      </w:r>
      <w:r w:rsidR="00A65690">
        <w:rPr>
          <w:rFonts w:ascii="Arial" w:hAnsi="Arial" w:cs="Arial"/>
        </w:rPr>
        <w:t>gradually increasing domestic financial outlays</w:t>
      </w:r>
      <w:r w:rsidR="001E1918">
        <w:rPr>
          <w:rFonts w:ascii="Arial" w:hAnsi="Arial" w:cs="Arial"/>
        </w:rPr>
        <w:t xml:space="preserve">, depicting a </w:t>
      </w:r>
      <w:r w:rsidR="00386AA0">
        <w:rPr>
          <w:rFonts w:ascii="Arial" w:hAnsi="Arial" w:cs="Arial"/>
        </w:rPr>
        <w:t xml:space="preserve">situation </w:t>
      </w:r>
      <w:r w:rsidR="001E1918">
        <w:rPr>
          <w:rFonts w:ascii="Arial" w:hAnsi="Arial" w:cs="Arial"/>
        </w:rPr>
        <w:t>where the government steps into the breach to make up for decreases in donor support to Tanzania (Optimization – Domestic Resource Mobilization)</w:t>
      </w:r>
      <w:r w:rsidR="00A65690">
        <w:rPr>
          <w:rFonts w:ascii="Arial" w:hAnsi="Arial" w:cs="Arial"/>
        </w:rPr>
        <w:t>.</w:t>
      </w:r>
      <w:r w:rsidR="001E1918">
        <w:rPr>
          <w:rFonts w:ascii="Arial" w:hAnsi="Arial" w:cs="Arial"/>
        </w:rPr>
        <w:t xml:space="preserve">  </w:t>
      </w:r>
      <w:r w:rsidR="007E0B34">
        <w:rPr>
          <w:rFonts w:ascii="Arial" w:hAnsi="Arial" w:cs="Arial"/>
        </w:rPr>
        <w:t>Under Optimization, these funding constraint scenarios maximize coverage for ART and prevention within available resource envelope to get as close as possible to National Strategy goals.</w:t>
      </w:r>
    </w:p>
    <w:p w14:paraId="29CE79A1" w14:textId="77777777" w:rsidR="00386AA0" w:rsidRDefault="00386AA0" w:rsidP="00C759BF">
      <w:pPr>
        <w:spacing w:after="0"/>
        <w:rPr>
          <w:rFonts w:ascii="Arial" w:hAnsi="Arial" w:cs="Arial"/>
        </w:rPr>
      </w:pPr>
    </w:p>
    <w:p w14:paraId="54817744" w14:textId="595AFF36" w:rsidR="00D268BB" w:rsidRDefault="001E1918" w:rsidP="00C759BF">
      <w:pPr>
        <w:spacing w:after="0"/>
        <w:rPr>
          <w:rFonts w:ascii="Arial" w:hAnsi="Arial" w:cs="Arial"/>
        </w:rPr>
      </w:pPr>
      <w:r>
        <w:rPr>
          <w:rFonts w:ascii="Arial" w:hAnsi="Arial" w:cs="Arial"/>
        </w:rPr>
        <w:t xml:space="preserve">The </w:t>
      </w:r>
      <w:r w:rsidR="0059798C">
        <w:rPr>
          <w:rFonts w:ascii="Arial" w:hAnsi="Arial" w:cs="Arial"/>
        </w:rPr>
        <w:t>CC</w:t>
      </w:r>
      <w:r>
        <w:rPr>
          <w:rFonts w:ascii="Arial" w:hAnsi="Arial" w:cs="Arial"/>
        </w:rPr>
        <w:t xml:space="preserve"> and NS scenarios are presented in chapter 4, the O-</w:t>
      </w:r>
      <w:r w:rsidR="0059798C">
        <w:rPr>
          <w:rFonts w:ascii="Arial" w:hAnsi="Arial" w:cs="Arial"/>
        </w:rPr>
        <w:t>CC</w:t>
      </w:r>
      <w:r>
        <w:rPr>
          <w:rFonts w:ascii="Arial" w:hAnsi="Arial" w:cs="Arial"/>
        </w:rPr>
        <w:t>F scenario in chapter 5, the O-DDF scenario in chapter 6, and the O-DRM scenario in chapter 7.</w:t>
      </w:r>
      <w:r w:rsidR="00A65690">
        <w:rPr>
          <w:rFonts w:ascii="Arial" w:hAnsi="Arial" w:cs="Arial"/>
        </w:rPr>
        <w:t xml:space="preserve"> </w:t>
      </w:r>
      <w:r w:rsidR="00C737C6">
        <w:rPr>
          <w:rFonts w:ascii="Arial" w:hAnsi="Arial" w:cs="Arial"/>
        </w:rPr>
        <w:t xml:space="preserve"> </w:t>
      </w:r>
      <w:r w:rsidR="00D268BB" w:rsidRPr="00AD6DC1">
        <w:rPr>
          <w:rFonts w:ascii="Arial" w:hAnsi="Arial" w:cs="Arial"/>
        </w:rPr>
        <w:t>The</w:t>
      </w:r>
      <w:r w:rsidR="00576229">
        <w:rPr>
          <w:rFonts w:ascii="Arial" w:hAnsi="Arial" w:cs="Arial"/>
        </w:rPr>
        <w:t>se</w:t>
      </w:r>
      <w:r w:rsidR="00386AA0">
        <w:rPr>
          <w:rFonts w:ascii="Arial" w:hAnsi="Arial" w:cs="Arial"/>
        </w:rPr>
        <w:t xml:space="preserve"> five </w:t>
      </w:r>
      <w:r w:rsidR="00D268BB" w:rsidRPr="00AD6DC1">
        <w:rPr>
          <w:rFonts w:ascii="Arial" w:hAnsi="Arial" w:cs="Arial"/>
        </w:rPr>
        <w:t xml:space="preserve">scenarios are described in more detail in </w:t>
      </w:r>
      <w:r w:rsidR="00C86D0D" w:rsidRPr="00585A95">
        <w:rPr>
          <w:rFonts w:ascii="Arial" w:hAnsi="Arial" w:cs="Arial"/>
          <w:i/>
        </w:rPr>
        <w:t>Figure</w:t>
      </w:r>
      <w:r w:rsidR="00D268BB" w:rsidRPr="00585A95">
        <w:rPr>
          <w:rFonts w:ascii="Arial" w:hAnsi="Arial" w:cs="Arial"/>
          <w:i/>
        </w:rPr>
        <w:t xml:space="preserve"> </w:t>
      </w:r>
      <w:r w:rsidR="00D5288C" w:rsidRPr="00585A95">
        <w:rPr>
          <w:rFonts w:ascii="Arial" w:hAnsi="Arial" w:cs="Arial"/>
          <w:i/>
        </w:rPr>
        <w:t>3-3</w:t>
      </w:r>
      <w:r w:rsidR="00D268BB" w:rsidRPr="00AD6DC1">
        <w:rPr>
          <w:rFonts w:ascii="Arial" w:hAnsi="Arial" w:cs="Arial"/>
        </w:rPr>
        <w:t xml:space="preserve"> below.</w:t>
      </w:r>
    </w:p>
    <w:p w14:paraId="55EF7861" w14:textId="77777777" w:rsidR="00576229" w:rsidRDefault="00576229" w:rsidP="00C759BF">
      <w:pPr>
        <w:spacing w:after="0"/>
        <w:rPr>
          <w:rFonts w:ascii="Arial" w:hAnsi="Arial" w:cs="Arial"/>
        </w:rPr>
      </w:pPr>
    </w:p>
    <w:p w14:paraId="008040F6" w14:textId="4112A90C" w:rsidR="00D268BB" w:rsidRDefault="00C86D0D" w:rsidP="00C759BF">
      <w:pPr>
        <w:spacing w:after="0"/>
      </w:pPr>
      <w:r>
        <w:rPr>
          <w:rFonts w:ascii="Arial" w:hAnsi="Arial" w:cs="Arial"/>
          <w:i/>
          <w:sz w:val="18"/>
        </w:rPr>
        <w:t>Figure</w:t>
      </w:r>
      <w:r w:rsidR="00D5288C" w:rsidRPr="008544A5">
        <w:rPr>
          <w:rFonts w:ascii="Arial" w:hAnsi="Arial" w:cs="Arial"/>
          <w:i/>
          <w:sz w:val="18"/>
        </w:rPr>
        <w:t xml:space="preserve"> 3-3. Summary of Investment case 2.0 scenarios</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9"/>
        <w:gridCol w:w="1928"/>
        <w:gridCol w:w="1014"/>
        <w:gridCol w:w="990"/>
        <w:gridCol w:w="990"/>
        <w:gridCol w:w="1126"/>
        <w:gridCol w:w="1034"/>
        <w:gridCol w:w="1047"/>
      </w:tblGrid>
      <w:tr w:rsidR="00132AE4" w:rsidRPr="00AD6DC1" w14:paraId="7D2ACC8C" w14:textId="1707CAF6" w:rsidTr="00505F88">
        <w:trPr>
          <w:trHeight w:val="401"/>
        </w:trPr>
        <w:tc>
          <w:tcPr>
            <w:tcW w:w="1134" w:type="dxa"/>
            <w:vMerge w:val="restart"/>
            <w:shd w:val="clear" w:color="auto" w:fill="C00000"/>
            <w:vAlign w:val="center"/>
            <w:hideMark/>
          </w:tcPr>
          <w:p w14:paraId="54926A82" w14:textId="77777777" w:rsidR="00132AE4" w:rsidRPr="00AD6DC1" w:rsidRDefault="00132AE4" w:rsidP="00AD6DC1">
            <w:pPr>
              <w:spacing w:after="0" w:line="240" w:lineRule="auto"/>
              <w:rPr>
                <w:rFonts w:ascii="Arial" w:eastAsia="Times New Roman" w:hAnsi="Arial" w:cs="Arial"/>
                <w:b/>
                <w:bCs/>
                <w:color w:val="FFFFFF"/>
                <w:sz w:val="14"/>
                <w:szCs w:val="18"/>
              </w:rPr>
            </w:pPr>
            <w:r w:rsidRPr="00AD6DC1">
              <w:rPr>
                <w:rFonts w:ascii="Arial" w:eastAsia="Times New Roman" w:hAnsi="Arial" w:cs="Arial"/>
                <w:b/>
                <w:bCs/>
                <w:color w:val="FFFFFF"/>
                <w:sz w:val="14"/>
                <w:szCs w:val="18"/>
              </w:rPr>
              <w:t>Scenario</w:t>
            </w:r>
          </w:p>
        </w:tc>
        <w:tc>
          <w:tcPr>
            <w:tcW w:w="1139" w:type="dxa"/>
            <w:vMerge w:val="restart"/>
            <w:shd w:val="clear" w:color="auto" w:fill="C00000"/>
            <w:vAlign w:val="center"/>
          </w:tcPr>
          <w:p w14:paraId="411D3FEB" w14:textId="63829B09" w:rsidR="00132AE4" w:rsidRPr="00AD6DC1" w:rsidRDefault="00132AE4" w:rsidP="00132AE4">
            <w:pPr>
              <w:spacing w:after="0" w:line="240" w:lineRule="auto"/>
              <w:jc w:val="center"/>
              <w:rPr>
                <w:rFonts w:ascii="Arial" w:eastAsia="Times New Roman" w:hAnsi="Arial" w:cs="Arial"/>
                <w:b/>
                <w:bCs/>
                <w:color w:val="FFFFFF"/>
                <w:sz w:val="14"/>
                <w:szCs w:val="18"/>
              </w:rPr>
            </w:pPr>
            <w:r>
              <w:rPr>
                <w:rFonts w:ascii="Arial" w:eastAsia="Times New Roman" w:hAnsi="Arial" w:cs="Arial"/>
                <w:b/>
                <w:bCs/>
                <w:color w:val="FFFFFF"/>
                <w:sz w:val="14"/>
                <w:szCs w:val="18"/>
              </w:rPr>
              <w:t>Abbreviation</w:t>
            </w:r>
          </w:p>
        </w:tc>
        <w:tc>
          <w:tcPr>
            <w:tcW w:w="1928" w:type="dxa"/>
            <w:vMerge w:val="restart"/>
            <w:shd w:val="clear" w:color="auto" w:fill="C00000"/>
            <w:vAlign w:val="center"/>
            <w:hideMark/>
          </w:tcPr>
          <w:p w14:paraId="100CD113" w14:textId="64C69FAC" w:rsidR="00132AE4" w:rsidRPr="00AD6DC1" w:rsidRDefault="00AC0EDA" w:rsidP="00AD6DC1">
            <w:pPr>
              <w:spacing w:after="0" w:line="240" w:lineRule="auto"/>
              <w:rPr>
                <w:rFonts w:ascii="Arial" w:eastAsia="Times New Roman" w:hAnsi="Arial" w:cs="Arial"/>
                <w:b/>
                <w:bCs/>
                <w:color w:val="FFFFFF"/>
                <w:sz w:val="14"/>
                <w:szCs w:val="18"/>
              </w:rPr>
            </w:pPr>
            <w:r>
              <w:rPr>
                <w:rFonts w:ascii="Arial" w:eastAsia="Times New Roman" w:hAnsi="Arial" w:cs="Arial"/>
                <w:b/>
                <w:bCs/>
                <w:color w:val="FFFFFF"/>
                <w:sz w:val="14"/>
                <w:szCs w:val="18"/>
              </w:rPr>
              <w:t>Driving question of scenario</w:t>
            </w:r>
          </w:p>
        </w:tc>
        <w:tc>
          <w:tcPr>
            <w:tcW w:w="2994" w:type="dxa"/>
            <w:gridSpan w:val="3"/>
            <w:shd w:val="clear" w:color="auto" w:fill="C00000"/>
            <w:vAlign w:val="center"/>
            <w:hideMark/>
          </w:tcPr>
          <w:p w14:paraId="05C8A33B" w14:textId="467FB9CA" w:rsidR="00132AE4" w:rsidRPr="00AD6DC1" w:rsidRDefault="00132AE4" w:rsidP="00132AE4">
            <w:pPr>
              <w:spacing w:after="0" w:line="240" w:lineRule="auto"/>
              <w:jc w:val="center"/>
              <w:rPr>
                <w:rFonts w:ascii="Arial" w:eastAsia="Times New Roman" w:hAnsi="Arial" w:cs="Arial"/>
                <w:b/>
                <w:bCs/>
                <w:color w:val="FFFFFF"/>
                <w:sz w:val="14"/>
                <w:szCs w:val="18"/>
              </w:rPr>
            </w:pPr>
            <w:r>
              <w:rPr>
                <w:rFonts w:ascii="Arial" w:eastAsia="Times New Roman" w:hAnsi="Arial" w:cs="Arial"/>
                <w:b/>
                <w:bCs/>
                <w:color w:val="FFFFFF"/>
                <w:sz w:val="14"/>
                <w:szCs w:val="18"/>
              </w:rPr>
              <w:t>Scenario constraint</w:t>
            </w:r>
          </w:p>
        </w:tc>
        <w:tc>
          <w:tcPr>
            <w:tcW w:w="2160" w:type="dxa"/>
            <w:gridSpan w:val="2"/>
            <w:shd w:val="clear" w:color="auto" w:fill="C00000"/>
            <w:vAlign w:val="center"/>
          </w:tcPr>
          <w:p w14:paraId="66F3D4E4" w14:textId="6B902FA9" w:rsidR="00132AE4" w:rsidRPr="00AD6DC1" w:rsidRDefault="00142CB4" w:rsidP="006A3753">
            <w:pPr>
              <w:spacing w:after="0" w:line="240" w:lineRule="auto"/>
              <w:jc w:val="center"/>
              <w:rPr>
                <w:rFonts w:ascii="Arial" w:eastAsia="Times New Roman" w:hAnsi="Arial" w:cs="Arial"/>
                <w:b/>
                <w:bCs/>
                <w:color w:val="FFFFFF"/>
                <w:sz w:val="14"/>
                <w:szCs w:val="18"/>
              </w:rPr>
            </w:pPr>
            <w:r>
              <w:rPr>
                <w:rFonts w:ascii="Arial" w:eastAsia="Times New Roman" w:hAnsi="Arial" w:cs="Arial"/>
                <w:b/>
                <w:bCs/>
                <w:color w:val="FFFFFF"/>
                <w:sz w:val="14"/>
                <w:szCs w:val="18"/>
              </w:rPr>
              <w:t>Optimization</w:t>
            </w:r>
          </w:p>
        </w:tc>
        <w:tc>
          <w:tcPr>
            <w:tcW w:w="1047" w:type="dxa"/>
            <w:vMerge w:val="restart"/>
            <w:shd w:val="clear" w:color="auto" w:fill="C00000"/>
            <w:vAlign w:val="center"/>
          </w:tcPr>
          <w:p w14:paraId="21020F51" w14:textId="52BD4D35" w:rsidR="00132AE4" w:rsidRDefault="00A2301F" w:rsidP="006A3753">
            <w:pPr>
              <w:spacing w:after="0" w:line="240" w:lineRule="auto"/>
              <w:jc w:val="center"/>
              <w:rPr>
                <w:rFonts w:ascii="Arial" w:eastAsia="Times New Roman" w:hAnsi="Arial" w:cs="Arial"/>
                <w:b/>
                <w:bCs/>
                <w:color w:val="FFFFFF"/>
                <w:sz w:val="14"/>
                <w:szCs w:val="18"/>
              </w:rPr>
            </w:pPr>
            <w:r>
              <w:rPr>
                <w:rFonts w:ascii="Arial" w:eastAsia="Times New Roman" w:hAnsi="Arial" w:cs="Arial"/>
                <w:b/>
                <w:bCs/>
                <w:color w:val="FFFFFF"/>
                <w:sz w:val="14"/>
                <w:szCs w:val="18"/>
              </w:rPr>
              <w:t>Increasing d</w:t>
            </w:r>
            <w:r w:rsidR="00132AE4">
              <w:rPr>
                <w:rFonts w:ascii="Arial" w:eastAsia="Times New Roman" w:hAnsi="Arial" w:cs="Arial"/>
                <w:b/>
                <w:bCs/>
                <w:color w:val="FFFFFF"/>
                <w:sz w:val="14"/>
                <w:szCs w:val="18"/>
              </w:rPr>
              <w:t>omestic resource mobilization</w:t>
            </w:r>
          </w:p>
        </w:tc>
      </w:tr>
      <w:tr w:rsidR="00132AE4" w:rsidRPr="00AD6DC1" w14:paraId="267A0A29" w14:textId="671268FF" w:rsidTr="00505F88">
        <w:trPr>
          <w:trHeight w:val="401"/>
        </w:trPr>
        <w:tc>
          <w:tcPr>
            <w:tcW w:w="1134" w:type="dxa"/>
            <w:vMerge/>
            <w:shd w:val="clear" w:color="auto" w:fill="C00000"/>
            <w:vAlign w:val="center"/>
            <w:hideMark/>
          </w:tcPr>
          <w:p w14:paraId="6DF606F3" w14:textId="77777777" w:rsidR="00132AE4" w:rsidRPr="00AD6DC1" w:rsidRDefault="00132AE4" w:rsidP="00AD6DC1">
            <w:pPr>
              <w:spacing w:after="0" w:line="240" w:lineRule="auto"/>
              <w:rPr>
                <w:rFonts w:ascii="Arial" w:eastAsia="Times New Roman" w:hAnsi="Arial" w:cs="Arial"/>
                <w:b/>
                <w:bCs/>
                <w:color w:val="FFFFFF"/>
                <w:sz w:val="14"/>
                <w:szCs w:val="18"/>
              </w:rPr>
            </w:pPr>
          </w:p>
        </w:tc>
        <w:tc>
          <w:tcPr>
            <w:tcW w:w="1139" w:type="dxa"/>
            <w:vMerge/>
            <w:shd w:val="clear" w:color="auto" w:fill="C00000"/>
          </w:tcPr>
          <w:p w14:paraId="542C0893" w14:textId="77777777" w:rsidR="00132AE4" w:rsidRPr="00AD6DC1" w:rsidRDefault="00132AE4" w:rsidP="00AD6DC1">
            <w:pPr>
              <w:spacing w:after="0" w:line="240" w:lineRule="auto"/>
              <w:rPr>
                <w:rFonts w:ascii="Arial" w:eastAsia="Times New Roman" w:hAnsi="Arial" w:cs="Arial"/>
                <w:b/>
                <w:bCs/>
                <w:color w:val="FFFFFF"/>
                <w:sz w:val="14"/>
                <w:szCs w:val="18"/>
              </w:rPr>
            </w:pPr>
          </w:p>
        </w:tc>
        <w:tc>
          <w:tcPr>
            <w:tcW w:w="1928" w:type="dxa"/>
            <w:vMerge/>
            <w:shd w:val="clear" w:color="auto" w:fill="C00000"/>
            <w:vAlign w:val="center"/>
            <w:hideMark/>
          </w:tcPr>
          <w:p w14:paraId="12758E4B" w14:textId="1A29E467" w:rsidR="00132AE4" w:rsidRPr="00AD6DC1" w:rsidRDefault="00132AE4" w:rsidP="00AD6DC1">
            <w:pPr>
              <w:spacing w:after="0" w:line="240" w:lineRule="auto"/>
              <w:rPr>
                <w:rFonts w:ascii="Arial" w:eastAsia="Times New Roman" w:hAnsi="Arial" w:cs="Arial"/>
                <w:b/>
                <w:bCs/>
                <w:color w:val="FFFFFF"/>
                <w:sz w:val="14"/>
                <w:szCs w:val="18"/>
              </w:rPr>
            </w:pPr>
          </w:p>
        </w:tc>
        <w:tc>
          <w:tcPr>
            <w:tcW w:w="1014" w:type="dxa"/>
            <w:shd w:val="clear" w:color="auto" w:fill="C00000"/>
            <w:vAlign w:val="center"/>
            <w:hideMark/>
          </w:tcPr>
          <w:p w14:paraId="42E08A05" w14:textId="495D2DE6" w:rsidR="00132AE4" w:rsidRPr="00AD6DC1" w:rsidRDefault="00132AE4" w:rsidP="00132AE4">
            <w:pPr>
              <w:spacing w:after="0" w:line="240" w:lineRule="auto"/>
              <w:rPr>
                <w:rFonts w:ascii="Arial" w:eastAsia="Times New Roman" w:hAnsi="Arial" w:cs="Arial"/>
                <w:b/>
                <w:bCs/>
                <w:color w:val="FFFFFF"/>
                <w:sz w:val="14"/>
                <w:szCs w:val="18"/>
              </w:rPr>
            </w:pPr>
            <w:r w:rsidRPr="00AD6DC1">
              <w:rPr>
                <w:rFonts w:ascii="Arial" w:eastAsia="Times New Roman" w:hAnsi="Arial" w:cs="Arial"/>
                <w:b/>
                <w:bCs/>
                <w:color w:val="FFFFFF"/>
                <w:sz w:val="14"/>
                <w:szCs w:val="18"/>
              </w:rPr>
              <w:t xml:space="preserve">Coverage or </w:t>
            </w:r>
            <w:r w:rsidR="003B2713">
              <w:rPr>
                <w:rFonts w:ascii="Arial" w:eastAsia="Times New Roman" w:hAnsi="Arial" w:cs="Arial"/>
                <w:b/>
                <w:bCs/>
                <w:color w:val="FFFFFF"/>
                <w:sz w:val="14"/>
                <w:szCs w:val="18"/>
              </w:rPr>
              <w:t xml:space="preserve">funding </w:t>
            </w:r>
            <w:r w:rsidRPr="00AD6DC1">
              <w:rPr>
                <w:rFonts w:ascii="Arial" w:eastAsia="Times New Roman" w:hAnsi="Arial" w:cs="Arial"/>
                <w:b/>
                <w:bCs/>
                <w:color w:val="FFFFFF"/>
                <w:sz w:val="14"/>
                <w:szCs w:val="18"/>
              </w:rPr>
              <w:t>constraint driven?</w:t>
            </w:r>
          </w:p>
        </w:tc>
        <w:tc>
          <w:tcPr>
            <w:tcW w:w="990" w:type="dxa"/>
            <w:shd w:val="clear" w:color="auto" w:fill="C00000"/>
            <w:vAlign w:val="center"/>
          </w:tcPr>
          <w:p w14:paraId="2584DEFB" w14:textId="0FDD26C1" w:rsidR="00132AE4" w:rsidRPr="00AD6DC1" w:rsidRDefault="00132AE4" w:rsidP="00132AE4">
            <w:pPr>
              <w:spacing w:after="0" w:line="240" w:lineRule="auto"/>
              <w:rPr>
                <w:rFonts w:ascii="Arial" w:eastAsia="Times New Roman" w:hAnsi="Arial" w:cs="Arial"/>
                <w:b/>
                <w:bCs/>
                <w:color w:val="FFFFFF"/>
                <w:sz w:val="14"/>
                <w:szCs w:val="18"/>
              </w:rPr>
            </w:pPr>
            <w:r>
              <w:rPr>
                <w:rFonts w:ascii="Arial" w:eastAsia="Times New Roman" w:hAnsi="Arial" w:cs="Arial"/>
                <w:b/>
                <w:bCs/>
                <w:color w:val="FFFFFF"/>
                <w:sz w:val="14"/>
                <w:szCs w:val="18"/>
              </w:rPr>
              <w:t xml:space="preserve">Coverage constraint </w:t>
            </w:r>
          </w:p>
        </w:tc>
        <w:tc>
          <w:tcPr>
            <w:tcW w:w="990" w:type="dxa"/>
            <w:shd w:val="clear" w:color="auto" w:fill="C00000"/>
            <w:vAlign w:val="center"/>
            <w:hideMark/>
          </w:tcPr>
          <w:p w14:paraId="62EB9583" w14:textId="77777777" w:rsidR="003B2713" w:rsidRDefault="003B2713" w:rsidP="00132AE4">
            <w:pPr>
              <w:spacing w:after="0" w:line="240" w:lineRule="auto"/>
              <w:rPr>
                <w:rFonts w:ascii="Arial" w:eastAsia="Times New Roman" w:hAnsi="Arial" w:cs="Arial"/>
                <w:b/>
                <w:bCs/>
                <w:color w:val="FFFFFF"/>
                <w:sz w:val="14"/>
                <w:szCs w:val="18"/>
              </w:rPr>
            </w:pPr>
            <w:r>
              <w:rPr>
                <w:rFonts w:ascii="Arial" w:eastAsia="Times New Roman" w:hAnsi="Arial" w:cs="Arial"/>
                <w:b/>
                <w:bCs/>
                <w:color w:val="FFFFFF"/>
                <w:sz w:val="14"/>
                <w:szCs w:val="18"/>
              </w:rPr>
              <w:t>Funding</w:t>
            </w:r>
          </w:p>
          <w:p w14:paraId="3F1BBEF8" w14:textId="16B6BABB" w:rsidR="00132AE4" w:rsidRPr="00AD6DC1" w:rsidRDefault="00132AE4" w:rsidP="00132AE4">
            <w:pPr>
              <w:spacing w:after="0" w:line="240" w:lineRule="auto"/>
              <w:rPr>
                <w:rFonts w:ascii="Arial" w:eastAsia="Times New Roman" w:hAnsi="Arial" w:cs="Arial"/>
                <w:b/>
                <w:bCs/>
                <w:color w:val="FFFFFF"/>
                <w:sz w:val="14"/>
                <w:szCs w:val="18"/>
              </w:rPr>
            </w:pPr>
            <w:r w:rsidRPr="00AD6DC1">
              <w:rPr>
                <w:rFonts w:ascii="Arial" w:eastAsia="Times New Roman" w:hAnsi="Arial" w:cs="Arial"/>
                <w:b/>
                <w:bCs/>
                <w:color w:val="FFFFFF"/>
                <w:sz w:val="14"/>
                <w:szCs w:val="18"/>
              </w:rPr>
              <w:t>constraint</w:t>
            </w:r>
          </w:p>
        </w:tc>
        <w:tc>
          <w:tcPr>
            <w:tcW w:w="1126" w:type="dxa"/>
            <w:shd w:val="clear" w:color="auto" w:fill="C00000"/>
            <w:vAlign w:val="center"/>
          </w:tcPr>
          <w:p w14:paraId="631DD289" w14:textId="75BFD368" w:rsidR="00132AE4" w:rsidRPr="00AD6DC1" w:rsidRDefault="00132AE4" w:rsidP="006A3753">
            <w:pPr>
              <w:spacing w:after="0" w:line="240" w:lineRule="auto"/>
              <w:jc w:val="center"/>
              <w:rPr>
                <w:rFonts w:ascii="Arial" w:eastAsia="Times New Roman" w:hAnsi="Arial" w:cs="Arial"/>
                <w:b/>
                <w:bCs/>
                <w:color w:val="FFFFFF"/>
                <w:sz w:val="14"/>
                <w:szCs w:val="18"/>
              </w:rPr>
            </w:pPr>
            <w:r>
              <w:rPr>
                <w:rFonts w:ascii="Arial" w:eastAsia="Times New Roman" w:hAnsi="Arial" w:cs="Arial"/>
                <w:b/>
                <w:bCs/>
                <w:color w:val="FFFFFF"/>
                <w:sz w:val="14"/>
                <w:szCs w:val="18"/>
              </w:rPr>
              <w:t>Prioritization</w:t>
            </w:r>
          </w:p>
        </w:tc>
        <w:tc>
          <w:tcPr>
            <w:tcW w:w="1034" w:type="dxa"/>
            <w:shd w:val="clear" w:color="auto" w:fill="C00000"/>
            <w:vAlign w:val="center"/>
          </w:tcPr>
          <w:p w14:paraId="7D6EBB45" w14:textId="6A8B82CE" w:rsidR="00132AE4" w:rsidRPr="00AD6DC1" w:rsidRDefault="00142CB4" w:rsidP="006A3753">
            <w:pPr>
              <w:spacing w:after="0" w:line="240" w:lineRule="auto"/>
              <w:jc w:val="center"/>
              <w:rPr>
                <w:rFonts w:ascii="Arial" w:eastAsia="Times New Roman" w:hAnsi="Arial" w:cs="Arial"/>
                <w:b/>
                <w:bCs/>
                <w:color w:val="FFFFFF"/>
                <w:sz w:val="14"/>
                <w:szCs w:val="18"/>
              </w:rPr>
            </w:pPr>
            <w:r>
              <w:rPr>
                <w:rFonts w:ascii="Arial" w:eastAsia="Times New Roman" w:hAnsi="Arial" w:cs="Arial"/>
                <w:b/>
                <w:bCs/>
                <w:color w:val="FFFFFF"/>
                <w:sz w:val="14"/>
                <w:szCs w:val="18"/>
              </w:rPr>
              <w:t>Technical efficiencies</w:t>
            </w:r>
          </w:p>
        </w:tc>
        <w:tc>
          <w:tcPr>
            <w:tcW w:w="1047" w:type="dxa"/>
            <w:vMerge/>
            <w:shd w:val="clear" w:color="auto" w:fill="C00000"/>
          </w:tcPr>
          <w:p w14:paraId="4852DEEB" w14:textId="77777777" w:rsidR="00132AE4" w:rsidRDefault="00132AE4" w:rsidP="00AD6DC1">
            <w:pPr>
              <w:spacing w:after="0" w:line="240" w:lineRule="auto"/>
              <w:rPr>
                <w:rFonts w:ascii="Arial" w:eastAsia="Times New Roman" w:hAnsi="Arial" w:cs="Arial"/>
                <w:b/>
                <w:bCs/>
                <w:color w:val="FFFFFF"/>
                <w:sz w:val="14"/>
                <w:szCs w:val="18"/>
              </w:rPr>
            </w:pPr>
          </w:p>
        </w:tc>
      </w:tr>
      <w:tr w:rsidR="00132AE4" w:rsidRPr="00AD6DC1" w14:paraId="475A5D20" w14:textId="2E3EC6DF" w:rsidTr="00505F88">
        <w:trPr>
          <w:trHeight w:val="1067"/>
        </w:trPr>
        <w:tc>
          <w:tcPr>
            <w:tcW w:w="1134" w:type="dxa"/>
            <w:shd w:val="clear" w:color="auto" w:fill="FFFFFF" w:themeFill="background1"/>
            <w:vAlign w:val="center"/>
            <w:hideMark/>
          </w:tcPr>
          <w:p w14:paraId="32E4871C" w14:textId="1F6245F8" w:rsidR="00132AE4" w:rsidRPr="00AD6DC1" w:rsidRDefault="00811AC5" w:rsidP="00AD6DC1">
            <w:pPr>
              <w:spacing w:after="0" w:line="240" w:lineRule="auto"/>
              <w:rPr>
                <w:rFonts w:ascii="Arial" w:eastAsia="Times New Roman" w:hAnsi="Arial" w:cs="Arial"/>
                <w:b/>
                <w:bCs/>
                <w:color w:val="000000"/>
                <w:sz w:val="14"/>
                <w:szCs w:val="18"/>
              </w:rPr>
            </w:pPr>
            <w:r>
              <w:rPr>
                <w:rFonts w:ascii="Arial" w:eastAsia="Times New Roman" w:hAnsi="Arial" w:cs="Arial"/>
                <w:b/>
                <w:bCs/>
                <w:color w:val="000000"/>
                <w:sz w:val="14"/>
                <w:szCs w:val="18"/>
              </w:rPr>
              <w:t>Constant coverage</w:t>
            </w:r>
          </w:p>
        </w:tc>
        <w:tc>
          <w:tcPr>
            <w:tcW w:w="1139" w:type="dxa"/>
            <w:shd w:val="clear" w:color="auto" w:fill="FFFFFF" w:themeFill="background1"/>
            <w:vAlign w:val="center"/>
          </w:tcPr>
          <w:p w14:paraId="386515DF" w14:textId="0F294232" w:rsidR="00132AE4" w:rsidRPr="00AD6DC1" w:rsidRDefault="00811AC5"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CC</w:t>
            </w:r>
          </w:p>
        </w:tc>
        <w:tc>
          <w:tcPr>
            <w:tcW w:w="1928" w:type="dxa"/>
            <w:shd w:val="clear" w:color="auto" w:fill="FFFFFF" w:themeFill="background1"/>
            <w:vAlign w:val="center"/>
            <w:hideMark/>
          </w:tcPr>
          <w:p w14:paraId="04200A34" w14:textId="3851E258"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What impact will be achieved if current program coverage levels remain static?</w:t>
            </w:r>
          </w:p>
        </w:tc>
        <w:tc>
          <w:tcPr>
            <w:tcW w:w="1014" w:type="dxa"/>
            <w:shd w:val="clear" w:color="auto" w:fill="FFFFFF" w:themeFill="background1"/>
            <w:vAlign w:val="center"/>
            <w:hideMark/>
          </w:tcPr>
          <w:p w14:paraId="5C3415E0" w14:textId="77777777"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Coverage</w:t>
            </w:r>
          </w:p>
        </w:tc>
        <w:tc>
          <w:tcPr>
            <w:tcW w:w="990" w:type="dxa"/>
            <w:shd w:val="clear" w:color="auto" w:fill="FFFFFF" w:themeFill="background1"/>
            <w:vAlign w:val="center"/>
          </w:tcPr>
          <w:p w14:paraId="24EFB2C6" w14:textId="10CE46C4" w:rsidR="00132AE4" w:rsidRDefault="00132AE4"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2018 coverage levels</w:t>
            </w:r>
          </w:p>
        </w:tc>
        <w:tc>
          <w:tcPr>
            <w:tcW w:w="990" w:type="dxa"/>
            <w:shd w:val="clear" w:color="auto" w:fill="FFFFFF" w:themeFill="background1"/>
            <w:vAlign w:val="center"/>
            <w:hideMark/>
          </w:tcPr>
          <w:p w14:paraId="192A8461" w14:textId="77777777" w:rsidR="00132AE4" w:rsidRDefault="00132AE4" w:rsidP="00132AE4">
            <w:pPr>
              <w:spacing w:after="0" w:line="240" w:lineRule="auto"/>
              <w:jc w:val="center"/>
              <w:rPr>
                <w:rFonts w:ascii="Arial" w:eastAsia="Times New Roman" w:hAnsi="Arial" w:cs="Arial"/>
                <w:color w:val="000000"/>
                <w:sz w:val="14"/>
                <w:szCs w:val="18"/>
              </w:rPr>
            </w:pPr>
            <w:r>
              <w:rPr>
                <w:rFonts w:ascii="Arial" w:eastAsia="Times New Roman" w:hAnsi="Arial" w:cs="Arial"/>
                <w:color w:val="000000"/>
                <w:sz w:val="14"/>
                <w:szCs w:val="18"/>
              </w:rPr>
              <w:t>--</w:t>
            </w:r>
          </w:p>
          <w:p w14:paraId="4AB2C5C8" w14:textId="2303802A" w:rsidR="002134FF" w:rsidRPr="00AD6DC1" w:rsidRDefault="002134FF" w:rsidP="00132AE4">
            <w:pPr>
              <w:spacing w:after="0" w:line="240" w:lineRule="auto"/>
              <w:jc w:val="center"/>
              <w:rPr>
                <w:rFonts w:ascii="Arial" w:eastAsia="Times New Roman" w:hAnsi="Arial" w:cs="Arial"/>
                <w:color w:val="000000"/>
                <w:sz w:val="14"/>
                <w:szCs w:val="18"/>
              </w:rPr>
            </w:pPr>
          </w:p>
        </w:tc>
        <w:tc>
          <w:tcPr>
            <w:tcW w:w="1126" w:type="dxa"/>
            <w:shd w:val="clear" w:color="auto" w:fill="FFFFFF" w:themeFill="background1"/>
            <w:vAlign w:val="center"/>
          </w:tcPr>
          <w:p w14:paraId="716E76B3" w14:textId="749AD917" w:rsidR="00132AE4" w:rsidRPr="006A3753" w:rsidRDefault="00132AE4" w:rsidP="006A3753">
            <w:pPr>
              <w:spacing w:after="0" w:line="240" w:lineRule="auto"/>
              <w:jc w:val="center"/>
              <w:rPr>
                <w:rFonts w:ascii="Arial" w:eastAsia="Times New Roman" w:hAnsi="Arial" w:cs="Arial"/>
                <w:color w:val="000000"/>
                <w:sz w:val="32"/>
                <w:szCs w:val="18"/>
              </w:rPr>
            </w:pPr>
          </w:p>
        </w:tc>
        <w:tc>
          <w:tcPr>
            <w:tcW w:w="1034" w:type="dxa"/>
            <w:shd w:val="clear" w:color="auto" w:fill="FFFFFF" w:themeFill="background1"/>
          </w:tcPr>
          <w:p w14:paraId="2864EEDF" w14:textId="77777777" w:rsidR="00132AE4" w:rsidRDefault="00132AE4" w:rsidP="00AD6DC1">
            <w:pPr>
              <w:spacing w:after="0" w:line="240" w:lineRule="auto"/>
              <w:rPr>
                <w:rFonts w:ascii="Arial" w:eastAsia="Times New Roman" w:hAnsi="Arial" w:cs="Arial"/>
                <w:color w:val="000000"/>
                <w:sz w:val="14"/>
                <w:szCs w:val="18"/>
              </w:rPr>
            </w:pPr>
          </w:p>
        </w:tc>
        <w:tc>
          <w:tcPr>
            <w:tcW w:w="1047" w:type="dxa"/>
            <w:shd w:val="clear" w:color="auto" w:fill="FFFFFF" w:themeFill="background1"/>
          </w:tcPr>
          <w:p w14:paraId="39602943" w14:textId="77777777" w:rsidR="00132AE4" w:rsidRDefault="00132AE4" w:rsidP="00AD6DC1">
            <w:pPr>
              <w:spacing w:after="0" w:line="240" w:lineRule="auto"/>
              <w:rPr>
                <w:rFonts w:ascii="Arial" w:eastAsia="Times New Roman" w:hAnsi="Arial" w:cs="Arial"/>
                <w:color w:val="000000"/>
                <w:sz w:val="14"/>
                <w:szCs w:val="18"/>
              </w:rPr>
            </w:pPr>
          </w:p>
        </w:tc>
      </w:tr>
      <w:tr w:rsidR="00132AE4" w:rsidRPr="00AD6DC1" w14:paraId="7325327A" w14:textId="391BB76C" w:rsidTr="00505F88">
        <w:trPr>
          <w:trHeight w:val="620"/>
        </w:trPr>
        <w:tc>
          <w:tcPr>
            <w:tcW w:w="1134" w:type="dxa"/>
            <w:shd w:val="clear" w:color="auto" w:fill="FFFFFF" w:themeFill="background1"/>
            <w:vAlign w:val="center"/>
            <w:hideMark/>
          </w:tcPr>
          <w:p w14:paraId="70B37BCC" w14:textId="48BBF6B1" w:rsidR="00132AE4" w:rsidRPr="00AD6DC1" w:rsidRDefault="00132AE4" w:rsidP="00AD6DC1">
            <w:pPr>
              <w:spacing w:after="0" w:line="240" w:lineRule="auto"/>
              <w:rPr>
                <w:rFonts w:ascii="Arial" w:eastAsia="Times New Roman" w:hAnsi="Arial" w:cs="Arial"/>
                <w:b/>
                <w:bCs/>
                <w:color w:val="000000"/>
                <w:sz w:val="14"/>
                <w:szCs w:val="18"/>
              </w:rPr>
            </w:pPr>
            <w:r w:rsidRPr="00AD6DC1">
              <w:rPr>
                <w:rFonts w:ascii="Arial" w:eastAsia="Times New Roman" w:hAnsi="Arial" w:cs="Arial"/>
                <w:b/>
                <w:bCs/>
                <w:color w:val="000000"/>
                <w:sz w:val="14"/>
                <w:szCs w:val="18"/>
              </w:rPr>
              <w:t>National strategy</w:t>
            </w:r>
          </w:p>
        </w:tc>
        <w:tc>
          <w:tcPr>
            <w:tcW w:w="1139" w:type="dxa"/>
            <w:shd w:val="clear" w:color="auto" w:fill="FFFFFF" w:themeFill="background1"/>
            <w:vAlign w:val="center"/>
          </w:tcPr>
          <w:p w14:paraId="6BF58DBC" w14:textId="67150E86" w:rsidR="00132AE4" w:rsidRPr="00AD6DC1" w:rsidRDefault="002134FF"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NS</w:t>
            </w:r>
          </w:p>
        </w:tc>
        <w:tc>
          <w:tcPr>
            <w:tcW w:w="1928" w:type="dxa"/>
            <w:shd w:val="clear" w:color="auto" w:fill="FFFFFF" w:themeFill="background1"/>
            <w:vAlign w:val="center"/>
            <w:hideMark/>
          </w:tcPr>
          <w:p w14:paraId="30A145E2" w14:textId="1904E5EE"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What will it cost to achieve the national strategy?</w:t>
            </w:r>
          </w:p>
        </w:tc>
        <w:tc>
          <w:tcPr>
            <w:tcW w:w="1014" w:type="dxa"/>
            <w:shd w:val="clear" w:color="auto" w:fill="FFFFFF" w:themeFill="background1"/>
            <w:vAlign w:val="center"/>
            <w:hideMark/>
          </w:tcPr>
          <w:p w14:paraId="3602C3D9" w14:textId="77777777"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Coverage</w:t>
            </w:r>
          </w:p>
        </w:tc>
        <w:tc>
          <w:tcPr>
            <w:tcW w:w="990" w:type="dxa"/>
            <w:shd w:val="clear" w:color="auto" w:fill="FFFFFF" w:themeFill="background1"/>
            <w:vAlign w:val="center"/>
          </w:tcPr>
          <w:p w14:paraId="0AD28E74" w14:textId="25A8118C" w:rsidR="00132AE4" w:rsidRDefault="00132AE4"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National strategic targets</w:t>
            </w:r>
          </w:p>
        </w:tc>
        <w:tc>
          <w:tcPr>
            <w:tcW w:w="990" w:type="dxa"/>
            <w:shd w:val="clear" w:color="auto" w:fill="FFFFFF" w:themeFill="background1"/>
            <w:vAlign w:val="center"/>
            <w:hideMark/>
          </w:tcPr>
          <w:p w14:paraId="435A1D5C" w14:textId="688F2B3B" w:rsidR="00132AE4" w:rsidRPr="00AD6DC1" w:rsidRDefault="00132AE4" w:rsidP="00132AE4">
            <w:pPr>
              <w:spacing w:after="0" w:line="240" w:lineRule="auto"/>
              <w:jc w:val="center"/>
              <w:rPr>
                <w:rFonts w:ascii="Arial" w:eastAsia="Times New Roman" w:hAnsi="Arial" w:cs="Arial"/>
                <w:color w:val="000000"/>
                <w:sz w:val="14"/>
                <w:szCs w:val="18"/>
              </w:rPr>
            </w:pPr>
            <w:r>
              <w:rPr>
                <w:rFonts w:ascii="Arial" w:eastAsia="Times New Roman" w:hAnsi="Arial" w:cs="Arial"/>
                <w:color w:val="000000"/>
                <w:sz w:val="14"/>
                <w:szCs w:val="18"/>
              </w:rPr>
              <w:t>--</w:t>
            </w:r>
          </w:p>
        </w:tc>
        <w:tc>
          <w:tcPr>
            <w:tcW w:w="1126" w:type="dxa"/>
            <w:shd w:val="clear" w:color="auto" w:fill="FFFFFF" w:themeFill="background1"/>
          </w:tcPr>
          <w:p w14:paraId="07E8FF7F" w14:textId="77777777" w:rsidR="00132AE4" w:rsidRDefault="00132AE4" w:rsidP="00AD6DC1">
            <w:pPr>
              <w:spacing w:after="0" w:line="240" w:lineRule="auto"/>
              <w:rPr>
                <w:rFonts w:ascii="Arial" w:eastAsia="Times New Roman" w:hAnsi="Arial" w:cs="Arial"/>
                <w:color w:val="000000"/>
                <w:sz w:val="14"/>
                <w:szCs w:val="18"/>
              </w:rPr>
            </w:pPr>
          </w:p>
        </w:tc>
        <w:tc>
          <w:tcPr>
            <w:tcW w:w="1034" w:type="dxa"/>
            <w:shd w:val="clear" w:color="auto" w:fill="FFFFFF" w:themeFill="background1"/>
          </w:tcPr>
          <w:p w14:paraId="2126A720" w14:textId="77777777" w:rsidR="00132AE4" w:rsidRDefault="00132AE4" w:rsidP="00AD6DC1">
            <w:pPr>
              <w:spacing w:after="0" w:line="240" w:lineRule="auto"/>
              <w:rPr>
                <w:rFonts w:ascii="Arial" w:eastAsia="Times New Roman" w:hAnsi="Arial" w:cs="Arial"/>
                <w:color w:val="000000"/>
                <w:sz w:val="14"/>
                <w:szCs w:val="18"/>
              </w:rPr>
            </w:pPr>
          </w:p>
        </w:tc>
        <w:tc>
          <w:tcPr>
            <w:tcW w:w="1047" w:type="dxa"/>
            <w:shd w:val="clear" w:color="auto" w:fill="FFFFFF" w:themeFill="background1"/>
          </w:tcPr>
          <w:p w14:paraId="77587A08" w14:textId="77777777" w:rsidR="00132AE4" w:rsidRDefault="00132AE4" w:rsidP="00AD6DC1">
            <w:pPr>
              <w:spacing w:after="0" w:line="240" w:lineRule="auto"/>
              <w:rPr>
                <w:rFonts w:ascii="Arial" w:eastAsia="Times New Roman" w:hAnsi="Arial" w:cs="Arial"/>
                <w:color w:val="000000"/>
                <w:sz w:val="14"/>
                <w:szCs w:val="18"/>
              </w:rPr>
            </w:pPr>
          </w:p>
        </w:tc>
      </w:tr>
      <w:tr w:rsidR="00132AE4" w:rsidRPr="00AD6DC1" w14:paraId="5A5BBD99" w14:textId="57CDACCD" w:rsidTr="00505F88">
        <w:trPr>
          <w:trHeight w:val="863"/>
        </w:trPr>
        <w:tc>
          <w:tcPr>
            <w:tcW w:w="1134" w:type="dxa"/>
            <w:shd w:val="clear" w:color="auto" w:fill="FFFFFF" w:themeFill="background1"/>
            <w:vAlign w:val="center"/>
            <w:hideMark/>
          </w:tcPr>
          <w:p w14:paraId="641851CC" w14:textId="6E7B378E" w:rsidR="00132AE4" w:rsidRPr="00505F88" w:rsidRDefault="00A03732" w:rsidP="00AD6DC1">
            <w:pPr>
              <w:spacing w:after="0" w:line="240" w:lineRule="auto"/>
              <w:rPr>
                <w:rFonts w:ascii="Arial" w:eastAsia="Times New Roman" w:hAnsi="Arial" w:cs="Arial"/>
                <w:b/>
                <w:bCs/>
                <w:color w:val="000000"/>
                <w:sz w:val="14"/>
                <w:szCs w:val="18"/>
              </w:rPr>
            </w:pPr>
            <w:r w:rsidRPr="00505F88">
              <w:rPr>
                <w:rFonts w:ascii="Arial" w:eastAsia="Times New Roman" w:hAnsi="Arial" w:cs="Arial"/>
                <w:b/>
                <w:color w:val="000000"/>
                <w:sz w:val="14"/>
                <w:szCs w:val="18"/>
              </w:rPr>
              <w:t xml:space="preserve">Optimization- </w:t>
            </w:r>
            <w:r w:rsidR="00811AC5">
              <w:rPr>
                <w:rFonts w:ascii="Arial" w:eastAsia="Times New Roman" w:hAnsi="Arial" w:cs="Arial"/>
                <w:b/>
                <w:color w:val="000000"/>
                <w:sz w:val="14"/>
                <w:szCs w:val="18"/>
              </w:rPr>
              <w:t>Constant coverage funding</w:t>
            </w:r>
          </w:p>
        </w:tc>
        <w:tc>
          <w:tcPr>
            <w:tcW w:w="1139" w:type="dxa"/>
            <w:shd w:val="clear" w:color="auto" w:fill="FFFFFF" w:themeFill="background1"/>
            <w:vAlign w:val="center"/>
          </w:tcPr>
          <w:p w14:paraId="58CFEE83" w14:textId="21288C05" w:rsidR="00132AE4" w:rsidRPr="00AD6DC1" w:rsidRDefault="00A65690"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 xml:space="preserve"> O-</w:t>
            </w:r>
            <w:r w:rsidR="00811AC5">
              <w:rPr>
                <w:rFonts w:ascii="Arial" w:eastAsia="Times New Roman" w:hAnsi="Arial" w:cs="Arial"/>
                <w:color w:val="000000"/>
                <w:sz w:val="14"/>
                <w:szCs w:val="18"/>
              </w:rPr>
              <w:t>CC</w:t>
            </w:r>
            <w:r w:rsidR="00210C1A">
              <w:rPr>
                <w:rFonts w:ascii="Arial" w:eastAsia="Times New Roman" w:hAnsi="Arial" w:cs="Arial"/>
                <w:color w:val="000000"/>
                <w:sz w:val="14"/>
                <w:szCs w:val="18"/>
              </w:rPr>
              <w:t>F</w:t>
            </w:r>
          </w:p>
        </w:tc>
        <w:tc>
          <w:tcPr>
            <w:tcW w:w="1928" w:type="dxa"/>
            <w:shd w:val="clear" w:color="auto" w:fill="FFFFFF" w:themeFill="background1"/>
            <w:vAlign w:val="center"/>
            <w:hideMark/>
          </w:tcPr>
          <w:p w14:paraId="1406E371" w14:textId="1CA6F78E"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If</w:t>
            </w:r>
            <w:r w:rsidR="00DC717E">
              <w:rPr>
                <w:rFonts w:ascii="Arial" w:eastAsia="Times New Roman" w:hAnsi="Arial" w:cs="Arial"/>
                <w:color w:val="000000"/>
                <w:sz w:val="14"/>
                <w:szCs w:val="18"/>
              </w:rPr>
              <w:t xml:space="preserve"> technical efficiencies and prioritization of funds are pursued to optimize </w:t>
            </w:r>
            <w:r w:rsidR="00A87DFC">
              <w:rPr>
                <w:rFonts w:ascii="Arial" w:eastAsia="Times New Roman" w:hAnsi="Arial" w:cs="Arial"/>
                <w:color w:val="000000"/>
                <w:sz w:val="14"/>
                <w:szCs w:val="18"/>
              </w:rPr>
              <w:t>Constant Coverage</w:t>
            </w:r>
            <w:r w:rsidR="00DC717E">
              <w:rPr>
                <w:rFonts w:ascii="Arial" w:eastAsia="Times New Roman" w:hAnsi="Arial" w:cs="Arial"/>
                <w:color w:val="000000"/>
                <w:sz w:val="14"/>
                <w:szCs w:val="18"/>
              </w:rPr>
              <w:t xml:space="preserve"> </w:t>
            </w:r>
            <w:r w:rsidR="002134FF">
              <w:rPr>
                <w:rFonts w:ascii="Arial" w:eastAsia="Times New Roman" w:hAnsi="Arial" w:cs="Arial"/>
                <w:color w:val="000000"/>
                <w:sz w:val="14"/>
                <w:szCs w:val="18"/>
              </w:rPr>
              <w:t>resources</w:t>
            </w:r>
            <w:r w:rsidRPr="00AD6DC1">
              <w:rPr>
                <w:rFonts w:ascii="Arial" w:eastAsia="Times New Roman" w:hAnsi="Arial" w:cs="Arial"/>
                <w:color w:val="000000"/>
                <w:sz w:val="14"/>
                <w:szCs w:val="18"/>
              </w:rPr>
              <w:t xml:space="preserve">, how far can </w:t>
            </w:r>
            <w:r>
              <w:rPr>
                <w:rFonts w:ascii="Arial" w:eastAsia="Times New Roman" w:hAnsi="Arial" w:cs="Arial"/>
                <w:color w:val="000000"/>
                <w:sz w:val="14"/>
                <w:szCs w:val="18"/>
              </w:rPr>
              <w:t xml:space="preserve">base </w:t>
            </w:r>
            <w:r w:rsidRPr="00AD6DC1">
              <w:rPr>
                <w:rFonts w:ascii="Arial" w:eastAsia="Times New Roman" w:hAnsi="Arial" w:cs="Arial"/>
                <w:color w:val="000000"/>
                <w:sz w:val="14"/>
                <w:szCs w:val="18"/>
              </w:rPr>
              <w:t xml:space="preserve">funding be maximized? </w:t>
            </w:r>
          </w:p>
        </w:tc>
        <w:tc>
          <w:tcPr>
            <w:tcW w:w="1014" w:type="dxa"/>
            <w:shd w:val="clear" w:color="auto" w:fill="FFFFFF" w:themeFill="background1"/>
            <w:vAlign w:val="center"/>
            <w:hideMark/>
          </w:tcPr>
          <w:p w14:paraId="675021D7" w14:textId="52C78DD5" w:rsidR="00132AE4" w:rsidRPr="00AD6DC1" w:rsidRDefault="003B2713" w:rsidP="00AD6DC1">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 xml:space="preserve">Funding </w:t>
            </w:r>
            <w:r w:rsidR="00132AE4" w:rsidRPr="00AD6DC1">
              <w:rPr>
                <w:rFonts w:ascii="Arial" w:eastAsia="Times New Roman" w:hAnsi="Arial" w:cs="Arial"/>
                <w:color w:val="000000"/>
                <w:sz w:val="14"/>
                <w:szCs w:val="18"/>
              </w:rPr>
              <w:t>constraint</w:t>
            </w:r>
          </w:p>
        </w:tc>
        <w:tc>
          <w:tcPr>
            <w:tcW w:w="990" w:type="dxa"/>
            <w:shd w:val="clear" w:color="auto" w:fill="FFFFFF" w:themeFill="background1"/>
            <w:vAlign w:val="center"/>
          </w:tcPr>
          <w:p w14:paraId="550BAC94" w14:textId="2B8FEF82" w:rsidR="00132AE4" w:rsidRPr="00AD6DC1" w:rsidRDefault="00132AE4"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w:t>
            </w:r>
          </w:p>
        </w:tc>
        <w:tc>
          <w:tcPr>
            <w:tcW w:w="990" w:type="dxa"/>
            <w:shd w:val="clear" w:color="auto" w:fill="FFFFFF" w:themeFill="background1"/>
            <w:vAlign w:val="center"/>
            <w:hideMark/>
          </w:tcPr>
          <w:p w14:paraId="298B6889" w14:textId="0B21D492" w:rsidR="00132AE4" w:rsidRDefault="00132AE4" w:rsidP="00132AE4">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 xml:space="preserve">Resource envelope of </w:t>
            </w:r>
            <w:r w:rsidR="00A87DFC">
              <w:rPr>
                <w:rFonts w:ascii="Arial" w:eastAsia="Times New Roman" w:hAnsi="Arial" w:cs="Arial"/>
                <w:color w:val="000000"/>
                <w:sz w:val="14"/>
                <w:szCs w:val="18"/>
              </w:rPr>
              <w:t>Constant Coverage scenario</w:t>
            </w:r>
            <w:r w:rsidR="002134FF">
              <w:rPr>
                <w:rFonts w:ascii="Arial" w:eastAsia="Times New Roman" w:hAnsi="Arial" w:cs="Arial"/>
                <w:color w:val="000000"/>
                <w:sz w:val="14"/>
                <w:szCs w:val="18"/>
              </w:rPr>
              <w:t xml:space="preserve"> </w:t>
            </w:r>
          </w:p>
          <w:p w14:paraId="2F1BD8DF" w14:textId="6D5734B0" w:rsidR="002134FF" w:rsidRPr="00AD6DC1" w:rsidRDefault="002134FF"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(USD 6.0 B)</w:t>
            </w:r>
          </w:p>
        </w:tc>
        <w:tc>
          <w:tcPr>
            <w:tcW w:w="1126" w:type="dxa"/>
            <w:shd w:val="clear" w:color="auto" w:fill="E2EFD9" w:themeFill="accent6" w:themeFillTint="33"/>
            <w:vAlign w:val="center"/>
          </w:tcPr>
          <w:p w14:paraId="18FB62BC" w14:textId="24C04E14"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c>
          <w:tcPr>
            <w:tcW w:w="1034" w:type="dxa"/>
            <w:shd w:val="clear" w:color="auto" w:fill="E2EFD9" w:themeFill="accent6" w:themeFillTint="33"/>
            <w:vAlign w:val="center"/>
          </w:tcPr>
          <w:p w14:paraId="3B655886" w14:textId="6449A201"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c>
          <w:tcPr>
            <w:tcW w:w="1047" w:type="dxa"/>
            <w:shd w:val="clear" w:color="auto" w:fill="FFFFFF" w:themeFill="background1"/>
          </w:tcPr>
          <w:p w14:paraId="086B0BC5" w14:textId="77777777" w:rsidR="00132AE4" w:rsidRPr="00AD6DC1" w:rsidRDefault="00132AE4" w:rsidP="00AD6DC1">
            <w:pPr>
              <w:spacing w:after="0" w:line="240" w:lineRule="auto"/>
              <w:rPr>
                <w:rFonts w:ascii="Arial" w:eastAsia="Times New Roman" w:hAnsi="Arial" w:cs="Arial"/>
                <w:color w:val="000000"/>
                <w:sz w:val="14"/>
                <w:szCs w:val="18"/>
              </w:rPr>
            </w:pPr>
          </w:p>
        </w:tc>
      </w:tr>
      <w:tr w:rsidR="00132AE4" w:rsidRPr="00AD6DC1" w14:paraId="37C4021D" w14:textId="0DAF2923" w:rsidTr="00505F88">
        <w:trPr>
          <w:trHeight w:val="1052"/>
        </w:trPr>
        <w:tc>
          <w:tcPr>
            <w:tcW w:w="1134" w:type="dxa"/>
            <w:shd w:val="clear" w:color="auto" w:fill="FFFFFF" w:themeFill="background1"/>
            <w:vAlign w:val="center"/>
            <w:hideMark/>
          </w:tcPr>
          <w:p w14:paraId="0C858794" w14:textId="5DCC4315" w:rsidR="00132AE4" w:rsidRPr="00505F88" w:rsidRDefault="00A03732" w:rsidP="00AD6DC1">
            <w:pPr>
              <w:spacing w:after="0" w:line="240" w:lineRule="auto"/>
              <w:rPr>
                <w:rFonts w:ascii="Arial" w:eastAsia="Times New Roman" w:hAnsi="Arial" w:cs="Arial"/>
                <w:b/>
                <w:bCs/>
                <w:color w:val="000000"/>
                <w:sz w:val="14"/>
                <w:szCs w:val="18"/>
              </w:rPr>
            </w:pPr>
            <w:r w:rsidRPr="00505F88">
              <w:rPr>
                <w:rFonts w:ascii="Arial" w:eastAsia="Times New Roman" w:hAnsi="Arial" w:cs="Arial"/>
                <w:b/>
                <w:color w:val="000000"/>
                <w:sz w:val="14"/>
                <w:szCs w:val="18"/>
              </w:rPr>
              <w:t>Optimization-Declining Donor Funding</w:t>
            </w:r>
          </w:p>
        </w:tc>
        <w:tc>
          <w:tcPr>
            <w:tcW w:w="1139" w:type="dxa"/>
            <w:shd w:val="clear" w:color="auto" w:fill="FFFFFF" w:themeFill="background1"/>
            <w:vAlign w:val="center"/>
          </w:tcPr>
          <w:p w14:paraId="1996A9F4" w14:textId="214ECF58" w:rsidR="00132AE4" w:rsidRPr="00AD6DC1" w:rsidRDefault="00A65690"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 xml:space="preserve"> O-DDF</w:t>
            </w:r>
          </w:p>
        </w:tc>
        <w:tc>
          <w:tcPr>
            <w:tcW w:w="1928" w:type="dxa"/>
            <w:shd w:val="clear" w:color="auto" w:fill="FFFFFF" w:themeFill="background1"/>
            <w:vAlign w:val="center"/>
            <w:hideMark/>
          </w:tcPr>
          <w:p w14:paraId="79AEE8F1" w14:textId="3BFDFB18"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If donor funding declines dramatically, what is the maximum impact that can be achieved even when considering Prioritization + Innovations?</w:t>
            </w:r>
          </w:p>
        </w:tc>
        <w:tc>
          <w:tcPr>
            <w:tcW w:w="1014" w:type="dxa"/>
            <w:shd w:val="clear" w:color="auto" w:fill="FFFFFF" w:themeFill="background1"/>
            <w:vAlign w:val="center"/>
            <w:hideMark/>
          </w:tcPr>
          <w:p w14:paraId="790B9D3C" w14:textId="141E4BBE" w:rsidR="003B2713" w:rsidRDefault="003B2713" w:rsidP="00AD6DC1">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Funding</w:t>
            </w:r>
          </w:p>
          <w:p w14:paraId="462B5DE3" w14:textId="4FB54B03"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constraint</w:t>
            </w:r>
          </w:p>
        </w:tc>
        <w:tc>
          <w:tcPr>
            <w:tcW w:w="990" w:type="dxa"/>
            <w:shd w:val="clear" w:color="auto" w:fill="FFFFFF" w:themeFill="background1"/>
            <w:vAlign w:val="center"/>
          </w:tcPr>
          <w:p w14:paraId="650480D6" w14:textId="087221EA" w:rsidR="00132AE4" w:rsidRPr="00AD6DC1" w:rsidRDefault="00132AE4"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w:t>
            </w:r>
          </w:p>
        </w:tc>
        <w:tc>
          <w:tcPr>
            <w:tcW w:w="990" w:type="dxa"/>
            <w:shd w:val="clear" w:color="auto" w:fill="FFFFFF" w:themeFill="background1"/>
            <w:vAlign w:val="center"/>
            <w:hideMark/>
          </w:tcPr>
          <w:p w14:paraId="5EF35300" w14:textId="694C68F3" w:rsidR="00132AE4" w:rsidRPr="00AD6DC1" w:rsidRDefault="00132AE4" w:rsidP="00132AE4">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Declining donor resources, constant government</w:t>
            </w:r>
            <w:r>
              <w:rPr>
                <w:rFonts w:ascii="Arial" w:eastAsia="Times New Roman" w:hAnsi="Arial" w:cs="Arial"/>
                <w:color w:val="000000"/>
                <w:sz w:val="14"/>
                <w:szCs w:val="18"/>
              </w:rPr>
              <w:t xml:space="preserve"> resources </w:t>
            </w:r>
            <w:r w:rsidR="002134FF">
              <w:rPr>
                <w:rFonts w:ascii="Arial" w:eastAsia="Times New Roman" w:hAnsi="Arial" w:cs="Arial"/>
                <w:color w:val="000000"/>
                <w:sz w:val="14"/>
                <w:szCs w:val="18"/>
              </w:rPr>
              <w:t>(USD 4.6 B)</w:t>
            </w:r>
          </w:p>
        </w:tc>
        <w:tc>
          <w:tcPr>
            <w:tcW w:w="1126" w:type="dxa"/>
            <w:shd w:val="clear" w:color="auto" w:fill="E2EFD9" w:themeFill="accent6" w:themeFillTint="33"/>
            <w:vAlign w:val="center"/>
          </w:tcPr>
          <w:p w14:paraId="5D9809EF" w14:textId="008022D2"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c>
          <w:tcPr>
            <w:tcW w:w="1034" w:type="dxa"/>
            <w:shd w:val="clear" w:color="auto" w:fill="E2EFD9" w:themeFill="accent6" w:themeFillTint="33"/>
            <w:vAlign w:val="center"/>
          </w:tcPr>
          <w:p w14:paraId="75A4D19B" w14:textId="77D8E956"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c>
          <w:tcPr>
            <w:tcW w:w="1047" w:type="dxa"/>
            <w:shd w:val="clear" w:color="auto" w:fill="FFFFFF" w:themeFill="background1"/>
          </w:tcPr>
          <w:p w14:paraId="13C9C968" w14:textId="77777777" w:rsidR="00132AE4" w:rsidRPr="00AD6DC1" w:rsidRDefault="00132AE4" w:rsidP="00AD6DC1">
            <w:pPr>
              <w:spacing w:after="0" w:line="240" w:lineRule="auto"/>
              <w:rPr>
                <w:rFonts w:ascii="Arial" w:eastAsia="Times New Roman" w:hAnsi="Arial" w:cs="Arial"/>
                <w:color w:val="000000"/>
                <w:sz w:val="14"/>
                <w:szCs w:val="18"/>
              </w:rPr>
            </w:pPr>
          </w:p>
        </w:tc>
      </w:tr>
      <w:tr w:rsidR="00132AE4" w:rsidRPr="00AD6DC1" w14:paraId="6A5C5362" w14:textId="3F405C45" w:rsidTr="00505F88">
        <w:trPr>
          <w:trHeight w:val="1172"/>
        </w:trPr>
        <w:tc>
          <w:tcPr>
            <w:tcW w:w="1134" w:type="dxa"/>
            <w:shd w:val="clear" w:color="auto" w:fill="FFFFFF" w:themeFill="background1"/>
            <w:vAlign w:val="center"/>
            <w:hideMark/>
          </w:tcPr>
          <w:p w14:paraId="7591E793" w14:textId="68ECD646" w:rsidR="00132AE4" w:rsidRPr="00505F88" w:rsidRDefault="00A03732" w:rsidP="00AD6DC1">
            <w:pPr>
              <w:spacing w:after="0" w:line="240" w:lineRule="auto"/>
              <w:rPr>
                <w:rFonts w:ascii="Arial" w:eastAsia="Times New Roman" w:hAnsi="Arial" w:cs="Arial"/>
                <w:b/>
                <w:bCs/>
                <w:color w:val="000000"/>
                <w:sz w:val="14"/>
                <w:szCs w:val="18"/>
              </w:rPr>
            </w:pPr>
            <w:r w:rsidRPr="00505F88">
              <w:rPr>
                <w:rFonts w:ascii="Arial" w:eastAsia="Times New Roman" w:hAnsi="Arial" w:cs="Arial"/>
                <w:b/>
                <w:color w:val="000000"/>
                <w:sz w:val="14"/>
                <w:szCs w:val="18"/>
              </w:rPr>
              <w:t>Optimization -- Domestic Resource Mobilization</w:t>
            </w:r>
          </w:p>
        </w:tc>
        <w:tc>
          <w:tcPr>
            <w:tcW w:w="1139" w:type="dxa"/>
            <w:shd w:val="clear" w:color="auto" w:fill="FFFFFF" w:themeFill="background1"/>
            <w:vAlign w:val="center"/>
          </w:tcPr>
          <w:p w14:paraId="35DF4CE8" w14:textId="23D3DC68" w:rsidR="00132AE4" w:rsidRPr="00AD6DC1" w:rsidRDefault="00A65690"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 xml:space="preserve"> O-DRM</w:t>
            </w:r>
          </w:p>
        </w:tc>
        <w:tc>
          <w:tcPr>
            <w:tcW w:w="1928" w:type="dxa"/>
            <w:shd w:val="clear" w:color="auto" w:fill="FFFFFF" w:themeFill="background1"/>
            <w:vAlign w:val="center"/>
            <w:hideMark/>
          </w:tcPr>
          <w:p w14:paraId="796DF8D2" w14:textId="4402AE23"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If donor funding declines but the government increases its contributions, what impact would be possible after considering prioritization and innovations?</w:t>
            </w:r>
          </w:p>
        </w:tc>
        <w:tc>
          <w:tcPr>
            <w:tcW w:w="1014" w:type="dxa"/>
            <w:shd w:val="clear" w:color="auto" w:fill="FFFFFF" w:themeFill="background1"/>
            <w:vAlign w:val="center"/>
            <w:hideMark/>
          </w:tcPr>
          <w:p w14:paraId="2737AF8B" w14:textId="77777777" w:rsidR="003B2713" w:rsidRDefault="003B2713" w:rsidP="00AD6DC1">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Funding</w:t>
            </w:r>
          </w:p>
          <w:p w14:paraId="0AEF8B66" w14:textId="11BB4C43" w:rsidR="00132AE4" w:rsidRPr="00AD6DC1" w:rsidRDefault="00132AE4" w:rsidP="00AD6DC1">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constraint</w:t>
            </w:r>
          </w:p>
        </w:tc>
        <w:tc>
          <w:tcPr>
            <w:tcW w:w="990" w:type="dxa"/>
            <w:shd w:val="clear" w:color="auto" w:fill="FFFFFF" w:themeFill="background1"/>
            <w:vAlign w:val="center"/>
          </w:tcPr>
          <w:p w14:paraId="4BFC9B28" w14:textId="17424FEF" w:rsidR="00132AE4" w:rsidRPr="00AD6DC1" w:rsidRDefault="00132AE4" w:rsidP="00132AE4">
            <w:pPr>
              <w:spacing w:after="0" w:line="240" w:lineRule="auto"/>
              <w:rPr>
                <w:rFonts w:ascii="Arial" w:eastAsia="Times New Roman" w:hAnsi="Arial" w:cs="Arial"/>
                <w:color w:val="000000"/>
                <w:sz w:val="14"/>
                <w:szCs w:val="18"/>
              </w:rPr>
            </w:pPr>
            <w:r>
              <w:rPr>
                <w:rFonts w:ascii="Arial" w:eastAsia="Times New Roman" w:hAnsi="Arial" w:cs="Arial"/>
                <w:color w:val="000000"/>
                <w:sz w:val="14"/>
                <w:szCs w:val="18"/>
              </w:rPr>
              <w:t>--</w:t>
            </w:r>
          </w:p>
        </w:tc>
        <w:tc>
          <w:tcPr>
            <w:tcW w:w="990" w:type="dxa"/>
            <w:shd w:val="clear" w:color="auto" w:fill="FFFFFF" w:themeFill="background1"/>
            <w:vAlign w:val="center"/>
            <w:hideMark/>
          </w:tcPr>
          <w:p w14:paraId="505F12AD" w14:textId="58BC7655" w:rsidR="00132AE4" w:rsidRPr="00AD6DC1" w:rsidRDefault="00132AE4" w:rsidP="00132AE4">
            <w:pPr>
              <w:spacing w:after="0" w:line="240" w:lineRule="auto"/>
              <w:rPr>
                <w:rFonts w:ascii="Arial" w:eastAsia="Times New Roman" w:hAnsi="Arial" w:cs="Arial"/>
                <w:color w:val="000000"/>
                <w:sz w:val="14"/>
                <w:szCs w:val="18"/>
              </w:rPr>
            </w:pPr>
            <w:r w:rsidRPr="00AD6DC1">
              <w:rPr>
                <w:rFonts w:ascii="Arial" w:eastAsia="Times New Roman" w:hAnsi="Arial" w:cs="Arial"/>
                <w:color w:val="000000"/>
                <w:sz w:val="14"/>
                <w:szCs w:val="18"/>
              </w:rPr>
              <w:t>Declining donor resources, increasing government resources</w:t>
            </w:r>
            <w:r w:rsidR="002134FF">
              <w:rPr>
                <w:rFonts w:ascii="Arial" w:eastAsia="Times New Roman" w:hAnsi="Arial" w:cs="Arial"/>
                <w:color w:val="000000"/>
                <w:sz w:val="14"/>
                <w:szCs w:val="18"/>
              </w:rPr>
              <w:t xml:space="preserve"> (USD 5.3)</w:t>
            </w:r>
          </w:p>
        </w:tc>
        <w:tc>
          <w:tcPr>
            <w:tcW w:w="1126" w:type="dxa"/>
            <w:shd w:val="clear" w:color="auto" w:fill="E2EFD9" w:themeFill="accent6" w:themeFillTint="33"/>
            <w:vAlign w:val="center"/>
          </w:tcPr>
          <w:p w14:paraId="2BA329ED" w14:textId="4EC485B0"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c>
          <w:tcPr>
            <w:tcW w:w="1034" w:type="dxa"/>
            <w:shd w:val="clear" w:color="auto" w:fill="E2EFD9" w:themeFill="accent6" w:themeFillTint="33"/>
            <w:vAlign w:val="center"/>
          </w:tcPr>
          <w:p w14:paraId="5394DE98" w14:textId="577C7470"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c>
          <w:tcPr>
            <w:tcW w:w="1047" w:type="dxa"/>
            <w:shd w:val="clear" w:color="auto" w:fill="E2EFD9" w:themeFill="accent6" w:themeFillTint="33"/>
            <w:vAlign w:val="center"/>
          </w:tcPr>
          <w:p w14:paraId="23209377" w14:textId="3BC50E34" w:rsidR="00132AE4" w:rsidRPr="00AD6DC1" w:rsidRDefault="00132AE4" w:rsidP="006A3753">
            <w:pPr>
              <w:spacing w:after="0" w:line="240" w:lineRule="auto"/>
              <w:jc w:val="center"/>
              <w:rPr>
                <w:rFonts w:ascii="Arial" w:eastAsia="Times New Roman" w:hAnsi="Arial" w:cs="Arial"/>
                <w:color w:val="000000"/>
                <w:sz w:val="14"/>
                <w:szCs w:val="18"/>
              </w:rPr>
            </w:pPr>
            <w:r w:rsidRPr="006A3753">
              <w:rPr>
                <w:rFonts w:ascii="Arial" w:eastAsia="Times New Roman" w:hAnsi="Arial" w:cs="Arial"/>
                <w:color w:val="000000"/>
                <w:sz w:val="32"/>
                <w:szCs w:val="18"/>
              </w:rPr>
              <w:sym w:font="Wingdings" w:char="F0FC"/>
            </w:r>
          </w:p>
        </w:tc>
      </w:tr>
    </w:tbl>
    <w:p w14:paraId="00B66F61" w14:textId="2A86B4E3" w:rsidR="00AF7AC6" w:rsidRDefault="00AF7AC6" w:rsidP="00DA19B8"/>
    <w:p w14:paraId="0CD62E3A" w14:textId="746F4BF4" w:rsidR="00731437" w:rsidRDefault="00731437" w:rsidP="00E519E4">
      <w:pPr>
        <w:spacing w:after="0"/>
        <w:rPr>
          <w:rFonts w:ascii="Arial" w:hAnsi="Arial" w:cs="Arial"/>
        </w:rPr>
      </w:pPr>
      <w:r w:rsidRPr="00505F88">
        <w:rPr>
          <w:rFonts w:ascii="Arial" w:hAnsi="Arial" w:cs="Arial"/>
        </w:rPr>
        <w:t>The rest of this chapter</w:t>
      </w:r>
      <w:r>
        <w:rPr>
          <w:rFonts w:ascii="Arial" w:hAnsi="Arial" w:cs="Arial"/>
        </w:rPr>
        <w:t xml:space="preserve"> is devoted to </w:t>
      </w:r>
      <w:r w:rsidR="00576229">
        <w:rPr>
          <w:rFonts w:ascii="Arial" w:hAnsi="Arial" w:cs="Arial"/>
        </w:rPr>
        <w:t xml:space="preserve">a brief overview of the </w:t>
      </w:r>
      <w:r>
        <w:rPr>
          <w:rFonts w:ascii="Arial" w:hAnsi="Arial" w:cs="Arial"/>
        </w:rPr>
        <w:t>methods</w:t>
      </w:r>
      <w:r w:rsidR="00576229">
        <w:rPr>
          <w:rFonts w:ascii="Arial" w:hAnsi="Arial" w:cs="Arial"/>
        </w:rPr>
        <w:t xml:space="preserve"> and data behind for the investment case analyses. </w:t>
      </w:r>
    </w:p>
    <w:p w14:paraId="4B771FD4" w14:textId="77777777" w:rsidR="0073798F" w:rsidRDefault="0073798F" w:rsidP="00B61AA0">
      <w:pPr>
        <w:spacing w:after="0"/>
        <w:rPr>
          <w:rFonts w:ascii="Arial" w:hAnsi="Arial" w:cs="Arial"/>
        </w:rPr>
      </w:pPr>
    </w:p>
    <w:p w14:paraId="53A17552" w14:textId="756957BA" w:rsidR="00576229" w:rsidRDefault="00D268BB" w:rsidP="00B61AA0">
      <w:pPr>
        <w:pStyle w:val="Heading3"/>
        <w:rPr>
          <w:rFonts w:ascii="Arial" w:hAnsi="Arial" w:cs="Arial"/>
          <w:i/>
          <w:color w:val="000000" w:themeColor="text1"/>
        </w:rPr>
      </w:pPr>
      <w:bookmarkStart w:id="60" w:name="_Toc57035156"/>
      <w:r w:rsidRPr="00D268BB">
        <w:rPr>
          <w:rFonts w:ascii="Arial" w:hAnsi="Arial" w:cs="Arial"/>
          <w:i/>
          <w:color w:val="000000" w:themeColor="text1"/>
        </w:rPr>
        <w:t>Impact modeling</w:t>
      </w:r>
      <w:bookmarkEnd w:id="60"/>
    </w:p>
    <w:p w14:paraId="6557821D" w14:textId="77777777" w:rsidR="00E519E4" w:rsidRPr="00E519E4" w:rsidRDefault="00E519E4" w:rsidP="00B61AA0">
      <w:pPr>
        <w:spacing w:after="0"/>
      </w:pPr>
    </w:p>
    <w:p w14:paraId="424F3FB7" w14:textId="7094C4F0" w:rsidR="00A03732" w:rsidRPr="00576229" w:rsidRDefault="00576229" w:rsidP="00B61AA0">
      <w:pPr>
        <w:spacing w:after="0"/>
        <w:rPr>
          <w:rFonts w:ascii="Arial" w:hAnsi="Arial" w:cs="Arial"/>
        </w:rPr>
      </w:pPr>
      <w:r w:rsidRPr="00576229">
        <w:rPr>
          <w:rFonts w:ascii="Arial" w:hAnsi="Arial" w:cs="Arial"/>
        </w:rPr>
        <w:t xml:space="preserve">The modeling software Goals-Spectrum was used to develop and assess the impact of the scenarios. Goals-Spectrum is already well known in Tanzania, and has been used for previous modeling exercises including IC 1.0.  More information on Goals is available in </w:t>
      </w:r>
      <w:r w:rsidRPr="00650F2B">
        <w:rPr>
          <w:rFonts w:ascii="Arial" w:hAnsi="Arial" w:cs="Arial"/>
        </w:rPr>
        <w:t xml:space="preserve">Annex </w:t>
      </w:r>
      <w:r w:rsidR="00B95653">
        <w:rPr>
          <w:rFonts w:ascii="Arial" w:hAnsi="Arial" w:cs="Arial"/>
        </w:rPr>
        <w:t>3</w:t>
      </w:r>
      <w:r w:rsidRPr="00576229">
        <w:rPr>
          <w:rFonts w:ascii="Arial" w:hAnsi="Arial" w:cs="Arial"/>
        </w:rPr>
        <w:t xml:space="preserve"> to this report and from Avenir Health (</w:t>
      </w:r>
      <w:r w:rsidR="00F07840">
        <w:rPr>
          <w:rFonts w:ascii="Arial" w:hAnsi="Arial" w:cs="Arial"/>
        </w:rPr>
        <w:t>Stover 2011</w:t>
      </w:r>
      <w:r w:rsidRPr="00576229">
        <w:rPr>
          <w:rFonts w:ascii="Arial" w:hAnsi="Arial" w:cs="Arial"/>
        </w:rPr>
        <w:t>).</w:t>
      </w:r>
      <w:r w:rsidR="00793F7A">
        <w:rPr>
          <w:rFonts w:ascii="Arial" w:hAnsi="Arial" w:cs="Arial"/>
        </w:rPr>
        <w:t xml:space="preserve"> </w:t>
      </w:r>
      <w:r>
        <w:rPr>
          <w:rFonts w:ascii="Arial" w:hAnsi="Arial" w:cs="Arial"/>
        </w:rPr>
        <w:t xml:space="preserve">In addition to the main Goals-Spectrum modules, two new modules were used to conduct sub-analyses on </w:t>
      </w:r>
      <w:r w:rsidR="00A974AF">
        <w:rPr>
          <w:rFonts w:ascii="Arial" w:hAnsi="Arial" w:cs="Arial"/>
        </w:rPr>
        <w:t>AGYW and testing.</w:t>
      </w:r>
    </w:p>
    <w:p w14:paraId="0A2D3BBF" w14:textId="77777777" w:rsidR="003E1382" w:rsidRPr="00A178D1" w:rsidRDefault="003E1382" w:rsidP="00093605">
      <w:pPr>
        <w:spacing w:after="0"/>
      </w:pPr>
    </w:p>
    <w:p w14:paraId="374AE863" w14:textId="1A55AA6C" w:rsidR="00D268BB" w:rsidRDefault="00D268BB" w:rsidP="00B61AA0">
      <w:pPr>
        <w:pStyle w:val="Heading3"/>
        <w:rPr>
          <w:rFonts w:ascii="Arial" w:hAnsi="Arial" w:cs="Arial"/>
          <w:i/>
          <w:color w:val="000000" w:themeColor="text1"/>
        </w:rPr>
      </w:pPr>
      <w:bookmarkStart w:id="61" w:name="_Toc57035157"/>
      <w:r w:rsidRPr="00D268BB">
        <w:rPr>
          <w:rFonts w:ascii="Arial" w:hAnsi="Arial" w:cs="Arial"/>
          <w:i/>
          <w:color w:val="000000" w:themeColor="text1"/>
        </w:rPr>
        <w:t>Cost estimation</w:t>
      </w:r>
      <w:bookmarkEnd w:id="61"/>
    </w:p>
    <w:p w14:paraId="1A7DDE42" w14:textId="69C43A27" w:rsidR="009F10FB" w:rsidRDefault="009F10FB" w:rsidP="00B61AA0">
      <w:pPr>
        <w:spacing w:after="0"/>
      </w:pPr>
    </w:p>
    <w:p w14:paraId="65072A8E" w14:textId="77777777" w:rsidR="00B44B9B" w:rsidRDefault="009F10FB" w:rsidP="00B61AA0">
      <w:pPr>
        <w:spacing w:after="0"/>
        <w:rPr>
          <w:rFonts w:ascii="Arial" w:hAnsi="Arial" w:cs="Arial"/>
        </w:rPr>
      </w:pPr>
      <w:r w:rsidRPr="001B3156">
        <w:rPr>
          <w:rFonts w:ascii="Arial" w:hAnsi="Arial" w:cs="Arial"/>
        </w:rPr>
        <w:t>The Goals model was also used to estimate the future costs of the scenarios from 2019-2030.</w:t>
      </w:r>
      <w:r w:rsidR="00F6627B">
        <w:rPr>
          <w:rFonts w:ascii="Arial" w:hAnsi="Arial" w:cs="Arial"/>
        </w:rPr>
        <w:t xml:space="preserve"> Goals calculates the cost of achieving specified levels of </w:t>
      </w:r>
      <w:r w:rsidR="00793F7A">
        <w:rPr>
          <w:rFonts w:ascii="Arial" w:hAnsi="Arial" w:cs="Arial"/>
        </w:rPr>
        <w:t xml:space="preserve">coverage by multiplying the </w:t>
      </w:r>
      <w:r w:rsidR="00A2301F">
        <w:rPr>
          <w:rFonts w:ascii="Arial" w:hAnsi="Arial" w:cs="Arial"/>
        </w:rPr>
        <w:t>size of the target population by the expected coverage level</w:t>
      </w:r>
      <w:r w:rsidR="00F6627B">
        <w:rPr>
          <w:rFonts w:ascii="Arial" w:hAnsi="Arial" w:cs="Arial"/>
        </w:rPr>
        <w:t>.</w:t>
      </w:r>
      <w:r w:rsidRPr="001B3156">
        <w:rPr>
          <w:rFonts w:ascii="Arial" w:hAnsi="Arial" w:cs="Arial"/>
        </w:rPr>
        <w:t xml:space="preserve"> The</w:t>
      </w:r>
      <w:r w:rsidR="00793F7A">
        <w:rPr>
          <w:rFonts w:ascii="Arial" w:hAnsi="Arial" w:cs="Arial"/>
        </w:rPr>
        <w:t>se</w:t>
      </w:r>
      <w:r w:rsidRPr="001B3156">
        <w:rPr>
          <w:rFonts w:ascii="Arial" w:hAnsi="Arial" w:cs="Arial"/>
        </w:rPr>
        <w:t xml:space="preserve"> unit costs are shown </w:t>
      </w:r>
      <w:r w:rsidR="00185F66">
        <w:rPr>
          <w:rFonts w:ascii="Arial" w:hAnsi="Arial" w:cs="Arial"/>
        </w:rPr>
        <w:t xml:space="preserve">in </w:t>
      </w:r>
      <w:r w:rsidR="00185F66" w:rsidRPr="00650F2B">
        <w:rPr>
          <w:rFonts w:ascii="Arial" w:hAnsi="Arial" w:cs="Arial"/>
        </w:rPr>
        <w:t xml:space="preserve">Annex </w:t>
      </w:r>
      <w:r w:rsidR="00585A95">
        <w:rPr>
          <w:rFonts w:ascii="Arial" w:hAnsi="Arial" w:cs="Arial"/>
        </w:rPr>
        <w:t>5</w:t>
      </w:r>
      <w:r w:rsidRPr="00793F7A">
        <w:rPr>
          <w:rFonts w:ascii="Arial" w:hAnsi="Arial" w:cs="Arial"/>
        </w:rPr>
        <w:t xml:space="preserve">. </w:t>
      </w:r>
    </w:p>
    <w:p w14:paraId="7BD70993" w14:textId="77777777" w:rsidR="00B44B9B" w:rsidRDefault="00B44B9B" w:rsidP="00B61AA0">
      <w:pPr>
        <w:spacing w:after="0"/>
        <w:rPr>
          <w:rFonts w:ascii="Arial" w:hAnsi="Arial" w:cs="Arial"/>
        </w:rPr>
      </w:pPr>
    </w:p>
    <w:p w14:paraId="11CCC14C" w14:textId="77777777" w:rsidR="00431358" w:rsidRPr="00431358" w:rsidRDefault="00431358" w:rsidP="00431358">
      <w:pPr>
        <w:shd w:val="clear" w:color="auto" w:fill="FFFFFF"/>
        <w:spacing w:after="0" w:line="215" w:lineRule="atLeast"/>
        <w:rPr>
          <w:rFonts w:ascii="Arial" w:eastAsia="Times New Roman" w:hAnsi="Arial" w:cs="Arial"/>
          <w:color w:val="222222"/>
          <w:sz w:val="24"/>
          <w:szCs w:val="24"/>
        </w:rPr>
      </w:pPr>
      <w:r w:rsidRPr="00431358">
        <w:rPr>
          <w:rFonts w:ascii="Arial" w:eastAsia="Times New Roman" w:hAnsi="Arial" w:cs="Arial"/>
          <w:color w:val="222222"/>
        </w:rPr>
        <w:t>Unit cost data collection and validation for the Investment Case 2.0 was supported by concurrent work by </w:t>
      </w:r>
      <w:r w:rsidRPr="00431358">
        <w:rPr>
          <w:rFonts w:ascii="Arial" w:eastAsia="Times New Roman" w:hAnsi="Arial" w:cs="Arial"/>
          <w:color w:val="000000"/>
        </w:rPr>
        <w:t>Avenir Health to develop a Tanzania unit cost database, funded by the Bill and Melinda Gates Foundation. Avenir worked with Dr. Yahya Ipuge, who collected cost data from published literature, grey literature and programmatic data.  All data from the Global Health Cost Consortium Unit Cost Study Repository (GHCC UCSR) online was included in the database. Dr. Ipuge has since worked with TACAIDS to hand over the database and to assess how this could best be used and sustained in Tanzania.</w:t>
      </w:r>
    </w:p>
    <w:p w14:paraId="5D0D30EB" w14:textId="77777777" w:rsidR="0073798F" w:rsidRDefault="0073798F" w:rsidP="001E233E">
      <w:pPr>
        <w:spacing w:after="0"/>
      </w:pPr>
    </w:p>
    <w:p w14:paraId="3397B123" w14:textId="3675B77E" w:rsidR="00182300" w:rsidRDefault="007C2BF4" w:rsidP="00182300">
      <w:pPr>
        <w:pStyle w:val="Heading3"/>
        <w:rPr>
          <w:rFonts w:ascii="Arial" w:hAnsi="Arial" w:cs="Arial"/>
          <w:i/>
          <w:color w:val="000000" w:themeColor="text1"/>
        </w:rPr>
      </w:pPr>
      <w:bookmarkStart w:id="62" w:name="_Toc57035158"/>
      <w:r>
        <w:rPr>
          <w:rFonts w:ascii="Arial" w:hAnsi="Arial" w:cs="Arial"/>
          <w:i/>
          <w:color w:val="000000" w:themeColor="text1"/>
        </w:rPr>
        <w:t>Optimization approach</w:t>
      </w:r>
      <w:bookmarkEnd w:id="62"/>
    </w:p>
    <w:p w14:paraId="5F7D6DC0" w14:textId="63CEB629" w:rsidR="007C2BF4" w:rsidRDefault="007C2BF4" w:rsidP="00505F88">
      <w:pPr>
        <w:spacing w:after="0"/>
      </w:pPr>
    </w:p>
    <w:p w14:paraId="501C1EE3" w14:textId="2E2B2D09" w:rsidR="00501EA7" w:rsidRDefault="002C4501" w:rsidP="00355514">
      <w:pPr>
        <w:spacing w:after="0"/>
        <w:rPr>
          <w:rFonts w:ascii="Arial" w:hAnsi="Arial" w:cs="Arial"/>
          <w:b/>
          <w:u w:val="single"/>
        </w:rPr>
      </w:pPr>
      <w:r>
        <w:rPr>
          <w:rFonts w:ascii="Arial" w:hAnsi="Arial" w:cs="Arial"/>
          <w:b/>
          <w:u w:val="single"/>
        </w:rPr>
        <w:t xml:space="preserve">Prioritization </w:t>
      </w:r>
      <w:r w:rsidR="007A3FED">
        <w:rPr>
          <w:rFonts w:ascii="Arial" w:hAnsi="Arial" w:cs="Arial"/>
          <w:b/>
          <w:u w:val="single"/>
        </w:rPr>
        <w:t xml:space="preserve">of prevention interventions </w:t>
      </w:r>
      <w:r>
        <w:rPr>
          <w:rFonts w:ascii="Arial" w:hAnsi="Arial" w:cs="Arial"/>
          <w:b/>
          <w:u w:val="single"/>
        </w:rPr>
        <w:t>(</w:t>
      </w:r>
      <w:r w:rsidR="00FC5553">
        <w:rPr>
          <w:rFonts w:ascii="Arial" w:hAnsi="Arial" w:cs="Arial"/>
          <w:b/>
          <w:u w:val="single"/>
        </w:rPr>
        <w:t>Allocative efficiency</w:t>
      </w:r>
      <w:r>
        <w:rPr>
          <w:rFonts w:ascii="Arial" w:hAnsi="Arial" w:cs="Arial"/>
          <w:b/>
          <w:u w:val="single"/>
        </w:rPr>
        <w:t>)</w:t>
      </w:r>
    </w:p>
    <w:p w14:paraId="3A13D57D" w14:textId="77777777" w:rsidR="00501EA7" w:rsidRDefault="00501EA7" w:rsidP="00501EA7">
      <w:pPr>
        <w:tabs>
          <w:tab w:val="left" w:pos="720"/>
        </w:tabs>
        <w:spacing w:after="0"/>
        <w:rPr>
          <w:rFonts w:ascii="Arial" w:hAnsi="Arial" w:cs="Arial"/>
          <w:b/>
          <w:u w:val="single"/>
        </w:rPr>
      </w:pPr>
    </w:p>
    <w:p w14:paraId="2B4A8BAE" w14:textId="77777777" w:rsidR="00777BDA" w:rsidRDefault="00501EA7" w:rsidP="00501EA7">
      <w:pPr>
        <w:tabs>
          <w:tab w:val="left" w:pos="720"/>
        </w:tabs>
        <w:spacing w:after="0"/>
        <w:rPr>
          <w:rFonts w:ascii="Arial" w:hAnsi="Arial" w:cs="Arial"/>
        </w:rPr>
      </w:pPr>
      <w:r w:rsidRPr="00646F6C">
        <w:rPr>
          <w:rFonts w:ascii="Arial" w:hAnsi="Arial" w:cs="Arial"/>
        </w:rPr>
        <w:t xml:space="preserve">Prioritization is a form of allocative efficiency with two dimensions. The first dimension involves allocating available funds </w:t>
      </w:r>
      <w:r w:rsidR="003E5B97">
        <w:rPr>
          <w:rFonts w:ascii="Arial" w:hAnsi="Arial" w:cs="Arial"/>
        </w:rPr>
        <w:t xml:space="preserve">across interventions </w:t>
      </w:r>
      <w:r w:rsidR="00777BDA">
        <w:rPr>
          <w:rFonts w:ascii="Arial" w:hAnsi="Arial" w:cs="Arial"/>
        </w:rPr>
        <w:t>based on pre-determined</w:t>
      </w:r>
      <w:r w:rsidR="003E5B97">
        <w:rPr>
          <w:rFonts w:ascii="Arial" w:hAnsi="Arial" w:cs="Arial"/>
        </w:rPr>
        <w:t xml:space="preserve"> criteria. In this</w:t>
      </w:r>
      <w:r w:rsidR="00777BDA">
        <w:rPr>
          <w:rFonts w:ascii="Arial" w:hAnsi="Arial" w:cs="Arial"/>
        </w:rPr>
        <w:t xml:space="preserve"> optimization</w:t>
      </w:r>
      <w:r w:rsidR="003E5B97">
        <w:rPr>
          <w:rFonts w:ascii="Arial" w:hAnsi="Arial" w:cs="Arial"/>
        </w:rPr>
        <w:t xml:space="preserve"> exercise, cost-effectiveness was used</w:t>
      </w:r>
      <w:r w:rsidR="00777BDA">
        <w:rPr>
          <w:rFonts w:ascii="Arial" w:hAnsi="Arial" w:cs="Arial"/>
        </w:rPr>
        <w:t xml:space="preserve"> as the criterion</w:t>
      </w:r>
      <w:r w:rsidR="003E5B97">
        <w:rPr>
          <w:rFonts w:ascii="Arial" w:hAnsi="Arial" w:cs="Arial"/>
        </w:rPr>
        <w:t xml:space="preserve"> given the resource constraints Tanzania is facing and the need to not only maintain but push </w:t>
      </w:r>
      <w:r w:rsidR="00777BDA">
        <w:rPr>
          <w:rFonts w:ascii="Arial" w:hAnsi="Arial" w:cs="Arial"/>
        </w:rPr>
        <w:t>p</w:t>
      </w:r>
      <w:r w:rsidR="003E5B97">
        <w:rPr>
          <w:rFonts w:ascii="Arial" w:hAnsi="Arial" w:cs="Arial"/>
        </w:rPr>
        <w:t xml:space="preserve">rogram </w:t>
      </w:r>
      <w:r w:rsidR="00777BDA">
        <w:rPr>
          <w:rFonts w:ascii="Arial" w:hAnsi="Arial" w:cs="Arial"/>
        </w:rPr>
        <w:t>coverage higher</w:t>
      </w:r>
      <w:r w:rsidR="003E5B97">
        <w:rPr>
          <w:rFonts w:ascii="Arial" w:hAnsi="Arial" w:cs="Arial"/>
        </w:rPr>
        <w:t xml:space="preserve"> with less resources.</w:t>
      </w:r>
      <w:r w:rsidR="00777BDA">
        <w:rPr>
          <w:rFonts w:ascii="Arial" w:hAnsi="Arial" w:cs="Arial"/>
        </w:rPr>
        <w:t xml:space="preserve"> Then because prioritization was applied to prevention interventions, cost per infection averted of the interventions was selected as the specific criterion for decision-making.</w:t>
      </w:r>
      <w:r w:rsidRPr="00646F6C">
        <w:rPr>
          <w:rFonts w:ascii="Arial" w:hAnsi="Arial" w:cs="Arial"/>
        </w:rPr>
        <w:t xml:space="preserve"> </w:t>
      </w:r>
    </w:p>
    <w:p w14:paraId="799B4AFF" w14:textId="77777777" w:rsidR="00777BDA" w:rsidRDefault="00777BDA" w:rsidP="00501EA7">
      <w:pPr>
        <w:tabs>
          <w:tab w:val="left" w:pos="720"/>
        </w:tabs>
        <w:spacing w:after="0"/>
        <w:rPr>
          <w:rFonts w:ascii="Arial" w:hAnsi="Arial" w:cs="Arial"/>
        </w:rPr>
      </w:pPr>
    </w:p>
    <w:p w14:paraId="5953657F" w14:textId="3B8EB613" w:rsidR="001D049D" w:rsidRDefault="00501EA7" w:rsidP="00501EA7">
      <w:pPr>
        <w:tabs>
          <w:tab w:val="left" w:pos="720"/>
        </w:tabs>
        <w:spacing w:after="0"/>
        <w:rPr>
          <w:rFonts w:ascii="Arial" w:hAnsi="Arial" w:cs="Arial"/>
        </w:rPr>
      </w:pPr>
      <w:r w:rsidRPr="00646F6C">
        <w:rPr>
          <w:rFonts w:ascii="Arial" w:hAnsi="Arial" w:cs="Arial"/>
        </w:rPr>
        <w:t xml:space="preserve">Under </w:t>
      </w:r>
      <w:r w:rsidR="00777BDA">
        <w:rPr>
          <w:rFonts w:ascii="Arial" w:hAnsi="Arial" w:cs="Arial"/>
        </w:rPr>
        <w:t>this type of prioritization approach based on cost-effectiveness</w:t>
      </w:r>
      <w:r w:rsidRPr="00646F6C">
        <w:rPr>
          <w:rFonts w:ascii="Arial" w:hAnsi="Arial" w:cs="Arial"/>
        </w:rPr>
        <w:t xml:space="preserve">, some interventions </w:t>
      </w:r>
      <w:r w:rsidR="00777BDA">
        <w:rPr>
          <w:rFonts w:ascii="Arial" w:hAnsi="Arial" w:cs="Arial"/>
        </w:rPr>
        <w:t>may be associated with a</w:t>
      </w:r>
      <w:r w:rsidRPr="00646F6C">
        <w:rPr>
          <w:rFonts w:ascii="Arial" w:hAnsi="Arial" w:cs="Arial"/>
        </w:rPr>
        <w:t xml:space="preserve"> cost-effectiveness </w:t>
      </w:r>
      <w:r w:rsidR="00777BDA">
        <w:rPr>
          <w:rFonts w:ascii="Arial" w:hAnsi="Arial" w:cs="Arial"/>
        </w:rPr>
        <w:t xml:space="preserve">ratio (cost per infection averted) that is </w:t>
      </w:r>
      <w:r w:rsidRPr="00646F6C">
        <w:rPr>
          <w:rFonts w:ascii="Arial" w:hAnsi="Arial" w:cs="Arial"/>
        </w:rPr>
        <w:t>too poor to justify</w:t>
      </w:r>
      <w:r w:rsidR="00777BDA">
        <w:rPr>
          <w:rFonts w:ascii="Arial" w:hAnsi="Arial" w:cs="Arial"/>
        </w:rPr>
        <w:t xml:space="preserve"> high investment</w:t>
      </w:r>
      <w:r w:rsidRPr="00646F6C">
        <w:rPr>
          <w:rFonts w:ascii="Arial" w:hAnsi="Arial" w:cs="Arial"/>
        </w:rPr>
        <w:t xml:space="preserve"> given</w:t>
      </w:r>
      <w:r w:rsidR="00777BDA">
        <w:rPr>
          <w:rFonts w:ascii="Arial" w:hAnsi="Arial" w:cs="Arial"/>
        </w:rPr>
        <w:t xml:space="preserve"> limited</w:t>
      </w:r>
      <w:r w:rsidRPr="00646F6C">
        <w:rPr>
          <w:rFonts w:ascii="Arial" w:hAnsi="Arial" w:cs="Arial"/>
        </w:rPr>
        <w:t xml:space="preserve"> available resources</w:t>
      </w:r>
      <w:r w:rsidR="00777BDA">
        <w:rPr>
          <w:rFonts w:ascii="Arial" w:hAnsi="Arial" w:cs="Arial"/>
        </w:rPr>
        <w:t xml:space="preserve"> and the opportunity cost of not putting these limited funds towards interventions that could avert more infections for less. Decision-making based on c</w:t>
      </w:r>
      <w:r w:rsidR="001D049D">
        <w:rPr>
          <w:rFonts w:ascii="Arial" w:hAnsi="Arial" w:cs="Arial"/>
        </w:rPr>
        <w:t>ost-effectiveness analysis can have</w:t>
      </w:r>
      <w:r w:rsidR="00777BDA">
        <w:rPr>
          <w:rFonts w:ascii="Arial" w:hAnsi="Arial" w:cs="Arial"/>
        </w:rPr>
        <w:t xml:space="preserve"> important</w:t>
      </w:r>
      <w:r w:rsidR="001D049D">
        <w:rPr>
          <w:rFonts w:ascii="Arial" w:hAnsi="Arial" w:cs="Arial"/>
        </w:rPr>
        <w:t xml:space="preserve"> limitations</w:t>
      </w:r>
      <w:r w:rsidR="00777BDA">
        <w:rPr>
          <w:rFonts w:ascii="Arial" w:hAnsi="Arial" w:cs="Arial"/>
        </w:rPr>
        <w:t xml:space="preserve">, especially from an equity perspective. </w:t>
      </w:r>
      <w:r w:rsidR="001D049D">
        <w:rPr>
          <w:rFonts w:ascii="Arial" w:hAnsi="Arial" w:cs="Arial"/>
        </w:rPr>
        <w:t xml:space="preserve">Often it costs the most to reach the most vulnerable groups, but </w:t>
      </w:r>
      <w:r w:rsidR="00777BDA">
        <w:rPr>
          <w:rFonts w:ascii="Arial" w:hAnsi="Arial" w:cs="Arial"/>
        </w:rPr>
        <w:t>limiting</w:t>
      </w:r>
      <w:r w:rsidR="001D049D">
        <w:rPr>
          <w:rFonts w:ascii="Arial" w:hAnsi="Arial" w:cs="Arial"/>
        </w:rPr>
        <w:t xml:space="preserve"> services to these populations would be in conflict with to the goals and ethos of a national HIV program</w:t>
      </w:r>
      <w:r w:rsidR="00777BDA">
        <w:rPr>
          <w:rFonts w:ascii="Arial" w:hAnsi="Arial" w:cs="Arial"/>
        </w:rPr>
        <w:t>. It is necessary to understand the equity implications of allocation decisions based on cost-effectiveness, and adjust recommendations if equity is compromised.</w:t>
      </w:r>
    </w:p>
    <w:p w14:paraId="46CCBDB8" w14:textId="77777777" w:rsidR="003E5B97" w:rsidRDefault="003E5B97" w:rsidP="00501EA7">
      <w:pPr>
        <w:tabs>
          <w:tab w:val="left" w:pos="720"/>
        </w:tabs>
        <w:spacing w:after="0"/>
        <w:rPr>
          <w:rFonts w:ascii="Arial" w:hAnsi="Arial" w:cs="Arial"/>
        </w:rPr>
      </w:pPr>
    </w:p>
    <w:p w14:paraId="25F1F50D" w14:textId="59771CF4" w:rsidR="00501EA7" w:rsidRDefault="00501EA7" w:rsidP="00501EA7">
      <w:pPr>
        <w:tabs>
          <w:tab w:val="left" w:pos="720"/>
        </w:tabs>
        <w:spacing w:after="0"/>
        <w:rPr>
          <w:rFonts w:ascii="Arial" w:hAnsi="Arial" w:cs="Arial"/>
        </w:rPr>
      </w:pPr>
      <w:r w:rsidRPr="00646F6C">
        <w:rPr>
          <w:rFonts w:ascii="Arial" w:hAnsi="Arial" w:cs="Arial"/>
        </w:rPr>
        <w:t>The second dimension of prioritization is geographic prioritization. Here, funds are directed toward regions or sub-regions based on burden, ensuring that funds are going to areas where they can have the greatest impact</w:t>
      </w:r>
      <w:r w:rsidR="00777BDA">
        <w:rPr>
          <w:rFonts w:ascii="Arial" w:hAnsi="Arial" w:cs="Arial"/>
        </w:rPr>
        <w:t xml:space="preserve"> for dollar spent. </w:t>
      </w:r>
    </w:p>
    <w:p w14:paraId="1B6F57BF" w14:textId="19860086" w:rsidR="00501EA7" w:rsidRDefault="00501EA7" w:rsidP="00501EA7">
      <w:pPr>
        <w:tabs>
          <w:tab w:val="left" w:pos="720"/>
        </w:tabs>
        <w:spacing w:after="0"/>
        <w:rPr>
          <w:rFonts w:ascii="Arial" w:hAnsi="Arial" w:cs="Arial"/>
        </w:rPr>
      </w:pPr>
    </w:p>
    <w:p w14:paraId="44CEC8C1" w14:textId="5FF5D9EB" w:rsidR="00501EA7" w:rsidRDefault="00501EA7" w:rsidP="00501EA7">
      <w:pPr>
        <w:tabs>
          <w:tab w:val="left" w:pos="720"/>
        </w:tabs>
        <w:spacing w:after="0"/>
        <w:rPr>
          <w:rFonts w:ascii="Arial" w:hAnsi="Arial" w:cs="Arial"/>
        </w:rPr>
      </w:pPr>
      <w:r>
        <w:rPr>
          <w:rFonts w:ascii="Arial" w:hAnsi="Arial" w:cs="Arial"/>
        </w:rPr>
        <w:t xml:space="preserve">Prioritization </w:t>
      </w:r>
      <w:r w:rsidR="008D5919">
        <w:rPr>
          <w:rFonts w:ascii="Arial" w:hAnsi="Arial" w:cs="Arial"/>
        </w:rPr>
        <w:t>was performed based on</w:t>
      </w:r>
      <w:r>
        <w:rPr>
          <w:rFonts w:ascii="Arial" w:hAnsi="Arial" w:cs="Arial"/>
        </w:rPr>
        <w:t xml:space="preserve"> cost-effectiveness in the Investment Case 2.0, given the need to maximize the impact of every dollar. The specific criteri</w:t>
      </w:r>
      <w:r w:rsidR="007A3FED">
        <w:rPr>
          <w:rFonts w:ascii="Arial" w:hAnsi="Arial" w:cs="Arial"/>
        </w:rPr>
        <w:t>on</w:t>
      </w:r>
      <w:r>
        <w:rPr>
          <w:rFonts w:ascii="Arial" w:hAnsi="Arial" w:cs="Arial"/>
        </w:rPr>
        <w:t xml:space="preserve"> selected was cost per infection averted.</w:t>
      </w:r>
    </w:p>
    <w:p w14:paraId="75B5F831" w14:textId="60FF5840" w:rsidR="007A3FED" w:rsidRPr="007A3FED" w:rsidRDefault="007A3FED" w:rsidP="00501EA7">
      <w:pPr>
        <w:tabs>
          <w:tab w:val="left" w:pos="720"/>
        </w:tabs>
        <w:spacing w:after="0"/>
        <w:rPr>
          <w:rFonts w:ascii="Arial" w:hAnsi="Arial" w:cs="Arial"/>
          <w:i/>
          <w:iCs/>
        </w:rPr>
      </w:pPr>
    </w:p>
    <w:p w14:paraId="3EE9712F" w14:textId="4E71081A" w:rsidR="007A3FED" w:rsidRPr="007A3FED" w:rsidRDefault="007A3FED" w:rsidP="00501EA7">
      <w:pPr>
        <w:tabs>
          <w:tab w:val="left" w:pos="720"/>
        </w:tabs>
        <w:spacing w:after="0"/>
        <w:rPr>
          <w:rFonts w:ascii="Arial" w:hAnsi="Arial" w:cs="Arial"/>
          <w:i/>
          <w:iCs/>
        </w:rPr>
      </w:pPr>
      <w:r w:rsidRPr="007A3FED">
        <w:rPr>
          <w:rFonts w:ascii="Arial" w:hAnsi="Arial" w:cs="Arial"/>
          <w:i/>
          <w:iCs/>
        </w:rPr>
        <w:t>Prioritization exercise methodology</w:t>
      </w:r>
    </w:p>
    <w:p w14:paraId="328709C4" w14:textId="77777777" w:rsidR="006F0AC9" w:rsidRPr="0051624C" w:rsidRDefault="006F0AC9" w:rsidP="00505F88">
      <w:pPr>
        <w:spacing w:after="0"/>
        <w:rPr>
          <w:rFonts w:ascii="Arial" w:hAnsi="Arial" w:cs="Arial"/>
        </w:rPr>
      </w:pPr>
    </w:p>
    <w:p w14:paraId="235127BC" w14:textId="2DF8F2D9" w:rsidR="007C2BF4" w:rsidRPr="0051624C" w:rsidRDefault="007C2BF4" w:rsidP="007C2BF4">
      <w:pPr>
        <w:rPr>
          <w:rFonts w:ascii="Arial" w:hAnsi="Arial" w:cs="Arial"/>
        </w:rPr>
      </w:pPr>
      <w:r w:rsidRPr="00665BB5">
        <w:rPr>
          <w:rFonts w:ascii="Arial" w:hAnsi="Arial" w:cs="Arial"/>
        </w:rPr>
        <w:t>In Tanzania, the</w:t>
      </w:r>
      <w:r>
        <w:rPr>
          <w:rFonts w:ascii="Arial" w:hAnsi="Arial" w:cs="Arial"/>
          <w:u w:val="single"/>
        </w:rPr>
        <w:t xml:space="preserve"> </w:t>
      </w:r>
      <w:r>
        <w:rPr>
          <w:rFonts w:ascii="Arial" w:hAnsi="Arial" w:cs="Arial"/>
        </w:rPr>
        <w:t>following prevention intervention</w:t>
      </w:r>
      <w:r w:rsidR="00F77BBE">
        <w:rPr>
          <w:rFonts w:ascii="Arial" w:hAnsi="Arial" w:cs="Arial"/>
        </w:rPr>
        <w:t xml:space="preserve"> packages</w:t>
      </w:r>
      <w:r>
        <w:rPr>
          <w:rFonts w:ascii="Arial" w:hAnsi="Arial" w:cs="Arial"/>
        </w:rPr>
        <w:t xml:space="preserve"> are included in the National Strategy and were considered for the optimization exercise</w:t>
      </w:r>
      <w:r w:rsidRPr="0051624C">
        <w:rPr>
          <w:rFonts w:ascii="Arial" w:hAnsi="Arial" w:cs="Arial"/>
        </w:rPr>
        <w:t>:</w:t>
      </w:r>
    </w:p>
    <w:p w14:paraId="7B6E1569" w14:textId="34CB63CD" w:rsidR="007C2BF4" w:rsidRDefault="007C2BF4" w:rsidP="0058354C">
      <w:pPr>
        <w:pStyle w:val="ListParagraph"/>
        <w:numPr>
          <w:ilvl w:val="0"/>
          <w:numId w:val="2"/>
        </w:numPr>
        <w:rPr>
          <w:rFonts w:ascii="Arial" w:hAnsi="Arial" w:cs="Arial"/>
        </w:rPr>
      </w:pPr>
      <w:r w:rsidRPr="0051624C">
        <w:rPr>
          <w:rFonts w:ascii="Arial" w:hAnsi="Arial" w:cs="Arial"/>
        </w:rPr>
        <w:t>VMMC</w:t>
      </w:r>
    </w:p>
    <w:p w14:paraId="6A74B2D4" w14:textId="77777777" w:rsidR="008E4A35" w:rsidRPr="0051624C" w:rsidRDefault="008E4A35" w:rsidP="0058354C">
      <w:pPr>
        <w:pStyle w:val="ListParagraph"/>
        <w:numPr>
          <w:ilvl w:val="0"/>
          <w:numId w:val="2"/>
        </w:numPr>
        <w:rPr>
          <w:rFonts w:ascii="Arial" w:hAnsi="Arial" w:cs="Arial"/>
        </w:rPr>
      </w:pPr>
      <w:r w:rsidRPr="0051624C">
        <w:rPr>
          <w:rFonts w:ascii="Arial" w:hAnsi="Arial" w:cs="Arial"/>
        </w:rPr>
        <w:t>Condoms</w:t>
      </w:r>
    </w:p>
    <w:p w14:paraId="79C089D5" w14:textId="4AA89219" w:rsidR="008E4A35" w:rsidRPr="00505F88" w:rsidRDefault="008E4A35" w:rsidP="0058354C">
      <w:pPr>
        <w:pStyle w:val="ListParagraph"/>
        <w:numPr>
          <w:ilvl w:val="0"/>
          <w:numId w:val="2"/>
        </w:numPr>
        <w:rPr>
          <w:rFonts w:ascii="Arial" w:hAnsi="Arial" w:cs="Arial"/>
        </w:rPr>
      </w:pPr>
      <w:r>
        <w:rPr>
          <w:rFonts w:ascii="Arial" w:hAnsi="Arial" w:cs="Arial"/>
        </w:rPr>
        <w:t xml:space="preserve">BCC: </w:t>
      </w:r>
      <w:r w:rsidRPr="0051624C">
        <w:rPr>
          <w:rFonts w:ascii="Arial" w:hAnsi="Arial" w:cs="Arial"/>
        </w:rPr>
        <w:t xml:space="preserve">Mass Media </w:t>
      </w:r>
      <w:r>
        <w:rPr>
          <w:rFonts w:ascii="Arial" w:hAnsi="Arial" w:cs="Arial"/>
        </w:rPr>
        <w:t>and community mobilization</w:t>
      </w:r>
    </w:p>
    <w:p w14:paraId="49384D3D" w14:textId="456A6074" w:rsidR="007C2BF4" w:rsidRPr="0051624C" w:rsidRDefault="008E4A35" w:rsidP="0058354C">
      <w:pPr>
        <w:pStyle w:val="ListParagraph"/>
        <w:numPr>
          <w:ilvl w:val="0"/>
          <w:numId w:val="2"/>
        </w:numPr>
        <w:rPr>
          <w:rFonts w:ascii="Arial" w:hAnsi="Arial" w:cs="Arial"/>
        </w:rPr>
      </w:pPr>
      <w:r>
        <w:rPr>
          <w:rFonts w:ascii="Arial" w:hAnsi="Arial" w:cs="Arial"/>
        </w:rPr>
        <w:t>PWID: Outreach and PrEP</w:t>
      </w:r>
    </w:p>
    <w:p w14:paraId="0FF7ECD0" w14:textId="1D49675B" w:rsidR="007C2BF4" w:rsidRPr="0051624C" w:rsidRDefault="007C2BF4" w:rsidP="0058354C">
      <w:pPr>
        <w:pStyle w:val="ListParagraph"/>
        <w:numPr>
          <w:ilvl w:val="0"/>
          <w:numId w:val="2"/>
        </w:numPr>
        <w:rPr>
          <w:rFonts w:ascii="Arial" w:hAnsi="Arial" w:cs="Arial"/>
        </w:rPr>
      </w:pPr>
      <w:r w:rsidRPr="0051624C">
        <w:rPr>
          <w:rFonts w:ascii="Arial" w:hAnsi="Arial" w:cs="Arial"/>
        </w:rPr>
        <w:t>FSW</w:t>
      </w:r>
      <w:r w:rsidR="008E4A35">
        <w:rPr>
          <w:rFonts w:ascii="Arial" w:hAnsi="Arial" w:cs="Arial"/>
        </w:rPr>
        <w:t>: Outreach and PrEP</w:t>
      </w:r>
    </w:p>
    <w:p w14:paraId="2AEC1AD0" w14:textId="52433EAD" w:rsidR="00C00118" w:rsidRPr="00CC2044" w:rsidRDefault="008E4A35" w:rsidP="00FA17B7">
      <w:pPr>
        <w:pStyle w:val="ListParagraph"/>
        <w:numPr>
          <w:ilvl w:val="0"/>
          <w:numId w:val="2"/>
        </w:numPr>
        <w:rPr>
          <w:rFonts w:ascii="Arial" w:hAnsi="Arial" w:cs="Arial"/>
        </w:rPr>
      </w:pPr>
      <w:r>
        <w:rPr>
          <w:rFonts w:ascii="Arial" w:hAnsi="Arial" w:cs="Arial"/>
        </w:rPr>
        <w:t>AGYW: Cash transfers and PrEP</w:t>
      </w:r>
    </w:p>
    <w:p w14:paraId="077605A1" w14:textId="025250A2" w:rsidR="00A03732" w:rsidRPr="00FA17B7" w:rsidRDefault="00FA17B7" w:rsidP="00FA17B7">
      <w:pPr>
        <w:rPr>
          <w:rFonts w:ascii="Arial" w:hAnsi="Arial" w:cs="Arial"/>
        </w:rPr>
      </w:pPr>
      <w:r>
        <w:rPr>
          <w:rFonts w:ascii="Arial" w:hAnsi="Arial" w:cs="Arial"/>
        </w:rPr>
        <w:t>Prioritization was conducted through the following steps:</w:t>
      </w:r>
    </w:p>
    <w:p w14:paraId="7A676371" w14:textId="3F81C10E" w:rsidR="002A7482" w:rsidRDefault="002A7482" w:rsidP="0058354C">
      <w:pPr>
        <w:pStyle w:val="ListParagraph"/>
        <w:numPr>
          <w:ilvl w:val="0"/>
          <w:numId w:val="48"/>
        </w:numPr>
        <w:rPr>
          <w:rFonts w:ascii="Arial" w:hAnsi="Arial" w:cs="Arial"/>
        </w:rPr>
      </w:pPr>
      <w:r>
        <w:rPr>
          <w:rFonts w:ascii="Arial" w:hAnsi="Arial" w:cs="Arial"/>
        </w:rPr>
        <w:t>The available funding was first allocated to treatment targets to maximize ART coverage</w:t>
      </w:r>
      <w:r w:rsidR="00FA17B7">
        <w:rPr>
          <w:rFonts w:ascii="Arial" w:hAnsi="Arial" w:cs="Arial"/>
        </w:rPr>
        <w:t>. Since there are no other options for treatment besides ART and the exercise of choosing between treatment and prevention is not ethical, prioritization was only applied to prevention interventions in the Investment Case 2.0.</w:t>
      </w:r>
      <w:r w:rsidR="00884B74">
        <w:rPr>
          <w:rFonts w:ascii="Arial" w:hAnsi="Arial" w:cs="Arial"/>
        </w:rPr>
        <w:t xml:space="preserve"> Allocations for ART (after assuming cost savings from technical efficiencies described below), PMTCT, OVC, and program support/enabling environment activities were held constant for this exercise. The </w:t>
      </w:r>
      <w:r w:rsidR="00E354AB">
        <w:rPr>
          <w:rFonts w:ascii="Arial" w:hAnsi="Arial" w:cs="Arial"/>
        </w:rPr>
        <w:t xml:space="preserve">exact </w:t>
      </w:r>
      <w:r w:rsidR="00884B74">
        <w:rPr>
          <w:rFonts w:ascii="Arial" w:hAnsi="Arial" w:cs="Arial"/>
        </w:rPr>
        <w:t>remaining budget for prevention activities varied across the Optimization scenarios, depending on the assumptions on donor and domestic financing</w:t>
      </w:r>
      <w:r w:rsidR="00E354AB">
        <w:rPr>
          <w:rFonts w:ascii="Arial" w:hAnsi="Arial" w:cs="Arial"/>
        </w:rPr>
        <w:t>, but approximately it was around 15% of total costs.</w:t>
      </w:r>
    </w:p>
    <w:p w14:paraId="700602A2" w14:textId="25675461" w:rsidR="00BD2E89" w:rsidRDefault="002A7482" w:rsidP="001263A9">
      <w:pPr>
        <w:pStyle w:val="ListParagraph"/>
        <w:numPr>
          <w:ilvl w:val="0"/>
          <w:numId w:val="48"/>
        </w:numPr>
      </w:pPr>
      <w:r>
        <w:rPr>
          <w:rFonts w:ascii="Arial" w:hAnsi="Arial" w:cs="Arial"/>
        </w:rPr>
        <w:t xml:space="preserve">The cost-effectiveness of each </w:t>
      </w:r>
      <w:r w:rsidR="001D049D">
        <w:rPr>
          <w:rFonts w:ascii="Arial" w:hAnsi="Arial" w:cs="Arial"/>
        </w:rPr>
        <w:t>individual</w:t>
      </w:r>
      <w:r>
        <w:rPr>
          <w:rFonts w:ascii="Arial" w:hAnsi="Arial" w:cs="Arial"/>
        </w:rPr>
        <w:t xml:space="preserve"> intervention </w:t>
      </w:r>
      <w:r w:rsidR="00884B74">
        <w:rPr>
          <w:rFonts w:ascii="Arial" w:hAnsi="Arial" w:cs="Arial"/>
        </w:rPr>
        <w:t>included in the</w:t>
      </w:r>
      <w:r w:rsidR="001D049D">
        <w:rPr>
          <w:rFonts w:ascii="Arial" w:hAnsi="Arial" w:cs="Arial"/>
        </w:rPr>
        <w:t xml:space="preserve"> prevention</w:t>
      </w:r>
      <w:r w:rsidR="00884B74">
        <w:rPr>
          <w:rFonts w:ascii="Arial" w:hAnsi="Arial" w:cs="Arial"/>
        </w:rPr>
        <w:t xml:space="preserve"> packages </w:t>
      </w:r>
      <w:r>
        <w:rPr>
          <w:rFonts w:ascii="Arial" w:hAnsi="Arial" w:cs="Arial"/>
        </w:rPr>
        <w:t>was estimated by maxing out the coverage of the intervention</w:t>
      </w:r>
      <w:r w:rsidR="00E91765">
        <w:rPr>
          <w:rFonts w:ascii="Arial" w:hAnsi="Arial" w:cs="Arial"/>
        </w:rPr>
        <w:t xml:space="preserve"> nationally</w:t>
      </w:r>
      <w:r w:rsidR="001D049D">
        <w:rPr>
          <w:rFonts w:ascii="Arial" w:hAnsi="Arial" w:cs="Arial"/>
        </w:rPr>
        <w:t xml:space="preserve"> for 2019 to 2030 in Goals-Spectrum</w:t>
      </w:r>
      <w:r>
        <w:rPr>
          <w:rFonts w:ascii="Arial" w:hAnsi="Arial" w:cs="Arial"/>
        </w:rPr>
        <w:t xml:space="preserve"> and</w:t>
      </w:r>
      <w:r w:rsidR="001D049D">
        <w:rPr>
          <w:rFonts w:ascii="Arial" w:hAnsi="Arial" w:cs="Arial"/>
        </w:rPr>
        <w:t xml:space="preserve"> calculating the</w:t>
      </w:r>
      <w:r>
        <w:rPr>
          <w:rFonts w:ascii="Arial" w:hAnsi="Arial" w:cs="Arial"/>
        </w:rPr>
        <w:t xml:space="preserve"> associated costs and benefits</w:t>
      </w:r>
      <w:r w:rsidR="001D049D">
        <w:rPr>
          <w:rFonts w:ascii="Arial" w:hAnsi="Arial" w:cs="Arial"/>
        </w:rPr>
        <w:t xml:space="preserve"> for a cost-effectiveness ratio</w:t>
      </w:r>
      <w:r w:rsidR="00E91765">
        <w:rPr>
          <w:rFonts w:ascii="Arial" w:hAnsi="Arial" w:cs="Arial"/>
        </w:rPr>
        <w:t xml:space="preserve">. The results are shown below in </w:t>
      </w:r>
      <w:r w:rsidR="00E91765" w:rsidRPr="00E91765">
        <w:rPr>
          <w:rFonts w:ascii="Arial" w:hAnsi="Arial" w:cs="Arial"/>
          <w:i/>
          <w:iCs/>
        </w:rPr>
        <w:t>Figure 3-4</w:t>
      </w:r>
      <w:r w:rsidR="00E91765">
        <w:rPr>
          <w:rFonts w:ascii="Arial" w:hAnsi="Arial" w:cs="Arial"/>
        </w:rPr>
        <w:t>.</w:t>
      </w:r>
      <w:r w:rsidR="00884B74">
        <w:rPr>
          <w:rFonts w:ascii="Arial" w:hAnsi="Arial" w:cs="Arial"/>
        </w:rPr>
        <w:t xml:space="preserve"> </w:t>
      </w:r>
    </w:p>
    <w:p w14:paraId="156AEBB0" w14:textId="05FD50EF" w:rsidR="00EC57EF" w:rsidRPr="001263A9" w:rsidRDefault="00C86D0D" w:rsidP="001263A9">
      <w:pPr>
        <w:spacing w:after="0"/>
        <w:rPr>
          <w:rFonts w:ascii="Arial" w:hAnsi="Arial" w:cs="Arial"/>
          <w:i/>
          <w:sz w:val="18"/>
        </w:rPr>
      </w:pPr>
      <w:r w:rsidRPr="001263A9">
        <w:rPr>
          <w:rFonts w:ascii="Arial" w:hAnsi="Arial" w:cs="Arial"/>
          <w:i/>
          <w:sz w:val="18"/>
        </w:rPr>
        <w:t>Figure</w:t>
      </w:r>
      <w:r w:rsidR="00A03732" w:rsidRPr="001263A9">
        <w:rPr>
          <w:rFonts w:ascii="Arial" w:hAnsi="Arial" w:cs="Arial"/>
          <w:i/>
          <w:sz w:val="18"/>
        </w:rPr>
        <w:t xml:space="preserve"> </w:t>
      </w:r>
      <w:r w:rsidR="00B61AA0" w:rsidRPr="001263A9">
        <w:rPr>
          <w:rFonts w:ascii="Arial" w:hAnsi="Arial" w:cs="Arial"/>
          <w:i/>
          <w:sz w:val="18"/>
        </w:rPr>
        <w:t>3-4</w:t>
      </w:r>
      <w:r w:rsidR="00A03732" w:rsidRPr="001263A9">
        <w:rPr>
          <w:rFonts w:ascii="Arial" w:hAnsi="Arial" w:cs="Arial"/>
          <w:i/>
          <w:sz w:val="18"/>
        </w:rPr>
        <w:t xml:space="preserve">. Cost-effectiveness analysis results for </w:t>
      </w:r>
      <w:r w:rsidR="0063109A">
        <w:rPr>
          <w:rFonts w:ascii="Arial" w:hAnsi="Arial" w:cs="Arial"/>
          <w:i/>
          <w:sz w:val="18"/>
        </w:rPr>
        <w:t xml:space="preserve">scaling </w:t>
      </w:r>
      <w:r w:rsidR="00A03732" w:rsidRPr="001263A9">
        <w:rPr>
          <w:rFonts w:ascii="Arial" w:hAnsi="Arial" w:cs="Arial"/>
          <w:i/>
          <w:sz w:val="18"/>
        </w:rPr>
        <w:t>prevention interventions</w:t>
      </w:r>
      <w:r w:rsidR="0063109A">
        <w:rPr>
          <w:rFonts w:ascii="Arial" w:hAnsi="Arial" w:cs="Arial"/>
          <w:i/>
          <w:sz w:val="18"/>
        </w:rPr>
        <w:t xml:space="preserve"> in Tanzania 2019-2030</w:t>
      </w:r>
    </w:p>
    <w:tbl>
      <w:tblPr>
        <w:tblW w:w="7650" w:type="dxa"/>
        <w:tblLook w:val="04A0" w:firstRow="1" w:lastRow="0" w:firstColumn="1" w:lastColumn="0" w:noHBand="0" w:noVBand="1"/>
      </w:tblPr>
      <w:tblGrid>
        <w:gridCol w:w="3420"/>
        <w:gridCol w:w="4230"/>
      </w:tblGrid>
      <w:tr w:rsidR="00A03732" w:rsidRPr="00DF725D" w14:paraId="46454083" w14:textId="77777777" w:rsidTr="00E519E4">
        <w:trPr>
          <w:trHeight w:val="264"/>
        </w:trPr>
        <w:tc>
          <w:tcPr>
            <w:tcW w:w="3420" w:type="dxa"/>
            <w:tcBorders>
              <w:bottom w:val="single" w:sz="4" w:space="0" w:color="auto"/>
            </w:tcBorders>
            <w:shd w:val="clear" w:color="auto" w:fill="A5A5A5" w:themeFill="accent3"/>
            <w:vAlign w:val="center"/>
          </w:tcPr>
          <w:p w14:paraId="3CBB9DEB" w14:textId="77777777" w:rsidR="00A03732" w:rsidRPr="00DF725D" w:rsidRDefault="00A03732" w:rsidP="00E519E4">
            <w:pPr>
              <w:spacing w:after="0"/>
              <w:rPr>
                <w:rFonts w:ascii="Arial" w:hAnsi="Arial" w:cs="Arial"/>
                <w:b/>
                <w:color w:val="FFFFFF" w:themeColor="background1"/>
                <w:sz w:val="18"/>
              </w:rPr>
            </w:pPr>
            <w:r w:rsidRPr="00DF725D">
              <w:rPr>
                <w:rFonts w:ascii="Arial" w:hAnsi="Arial" w:cs="Arial"/>
                <w:b/>
                <w:color w:val="FFFFFF" w:themeColor="background1"/>
                <w:sz w:val="18"/>
              </w:rPr>
              <w:t>Intervention</w:t>
            </w:r>
          </w:p>
        </w:tc>
        <w:tc>
          <w:tcPr>
            <w:tcW w:w="4230" w:type="dxa"/>
            <w:tcBorders>
              <w:bottom w:val="single" w:sz="4" w:space="0" w:color="auto"/>
            </w:tcBorders>
            <w:shd w:val="clear" w:color="auto" w:fill="A5A5A5" w:themeFill="accent3"/>
            <w:vAlign w:val="center"/>
          </w:tcPr>
          <w:p w14:paraId="084AF924" w14:textId="77777777" w:rsidR="0063109A" w:rsidRDefault="00A03732" w:rsidP="00E519E4">
            <w:pPr>
              <w:spacing w:after="0"/>
              <w:rPr>
                <w:rFonts w:ascii="Arial" w:hAnsi="Arial" w:cs="Arial"/>
                <w:b/>
                <w:color w:val="FFFFFF" w:themeColor="background1"/>
                <w:sz w:val="18"/>
              </w:rPr>
            </w:pPr>
            <w:r w:rsidRPr="00DF725D">
              <w:rPr>
                <w:rFonts w:ascii="Arial" w:hAnsi="Arial" w:cs="Arial"/>
                <w:b/>
                <w:color w:val="FFFFFF" w:themeColor="background1"/>
                <w:sz w:val="18"/>
              </w:rPr>
              <w:t xml:space="preserve">Cost-effectiveness </w:t>
            </w:r>
          </w:p>
          <w:p w14:paraId="6FDE829A" w14:textId="713B3AC8" w:rsidR="00A03732" w:rsidRPr="00DF725D" w:rsidRDefault="00A03732" w:rsidP="00E519E4">
            <w:pPr>
              <w:spacing w:after="0"/>
              <w:rPr>
                <w:rFonts w:ascii="Arial" w:hAnsi="Arial" w:cs="Arial"/>
                <w:b/>
                <w:color w:val="FFFFFF" w:themeColor="background1"/>
                <w:sz w:val="18"/>
              </w:rPr>
            </w:pPr>
            <w:r w:rsidRPr="00DF725D">
              <w:rPr>
                <w:rFonts w:ascii="Arial" w:hAnsi="Arial" w:cs="Arial"/>
                <w:b/>
                <w:color w:val="FFFFFF" w:themeColor="background1"/>
                <w:sz w:val="18"/>
              </w:rPr>
              <w:t>(Cost per infection averted</w:t>
            </w:r>
            <w:r w:rsidR="0063109A">
              <w:rPr>
                <w:rFonts w:ascii="Arial" w:hAnsi="Arial" w:cs="Arial"/>
                <w:b/>
                <w:color w:val="FFFFFF" w:themeColor="background1"/>
                <w:sz w:val="18"/>
              </w:rPr>
              <w:t xml:space="preserve"> 2019-2030</w:t>
            </w:r>
            <w:r w:rsidRPr="00DF725D">
              <w:rPr>
                <w:rFonts w:ascii="Arial" w:hAnsi="Arial" w:cs="Arial"/>
                <w:b/>
                <w:color w:val="FFFFFF" w:themeColor="background1"/>
                <w:sz w:val="18"/>
              </w:rPr>
              <w:t xml:space="preserve">) </w:t>
            </w:r>
          </w:p>
        </w:tc>
      </w:tr>
      <w:tr w:rsidR="00A03732" w:rsidRPr="00DF725D" w14:paraId="21ECD755" w14:textId="77777777" w:rsidTr="00884B74">
        <w:trPr>
          <w:trHeight w:val="173"/>
        </w:trPr>
        <w:tc>
          <w:tcPr>
            <w:tcW w:w="3420" w:type="dxa"/>
            <w:tcBorders>
              <w:top w:val="single" w:sz="4" w:space="0" w:color="auto"/>
            </w:tcBorders>
            <w:shd w:val="clear" w:color="auto" w:fill="auto"/>
            <w:vAlign w:val="center"/>
          </w:tcPr>
          <w:p w14:paraId="69C8B116" w14:textId="77777777" w:rsidR="00A03732" w:rsidRPr="00DF725D" w:rsidRDefault="00A03732" w:rsidP="00E519E4">
            <w:pPr>
              <w:spacing w:after="0"/>
              <w:rPr>
                <w:rFonts w:ascii="Arial" w:hAnsi="Arial" w:cs="Arial"/>
                <w:sz w:val="18"/>
              </w:rPr>
            </w:pPr>
            <w:r w:rsidRPr="00DF725D">
              <w:rPr>
                <w:rFonts w:ascii="Arial" w:hAnsi="Arial" w:cs="Arial"/>
                <w:sz w:val="18"/>
              </w:rPr>
              <w:t>Condoms</w:t>
            </w:r>
          </w:p>
        </w:tc>
        <w:tc>
          <w:tcPr>
            <w:tcW w:w="4230" w:type="dxa"/>
            <w:tcBorders>
              <w:top w:val="single" w:sz="4" w:space="0" w:color="auto"/>
            </w:tcBorders>
            <w:shd w:val="clear" w:color="auto" w:fill="auto"/>
            <w:vAlign w:val="center"/>
          </w:tcPr>
          <w:p w14:paraId="533E8E7B" w14:textId="2114194E" w:rsidR="00A03732" w:rsidRPr="00DF725D" w:rsidRDefault="00A03732" w:rsidP="00E519E4">
            <w:pPr>
              <w:spacing w:after="0"/>
              <w:rPr>
                <w:rFonts w:ascii="Arial" w:hAnsi="Arial" w:cs="Arial"/>
                <w:sz w:val="18"/>
              </w:rPr>
            </w:pPr>
            <w:r w:rsidRPr="00DF725D">
              <w:rPr>
                <w:rFonts w:ascii="Arial" w:hAnsi="Arial" w:cs="Arial"/>
                <w:sz w:val="18"/>
              </w:rPr>
              <w:t>-1,</w:t>
            </w:r>
            <w:r w:rsidR="00E354AB">
              <w:rPr>
                <w:rFonts w:ascii="Arial" w:hAnsi="Arial" w:cs="Arial"/>
                <w:sz w:val="18"/>
              </w:rPr>
              <w:t>900</w:t>
            </w:r>
            <w:r w:rsidRPr="00DF725D">
              <w:rPr>
                <w:rFonts w:ascii="Arial" w:hAnsi="Arial" w:cs="Arial"/>
                <w:sz w:val="18"/>
              </w:rPr>
              <w:t xml:space="preserve"> (Cost-saving)</w:t>
            </w:r>
          </w:p>
        </w:tc>
      </w:tr>
      <w:tr w:rsidR="00A03732" w:rsidRPr="00DF725D" w14:paraId="017A30C2" w14:textId="77777777" w:rsidTr="00884B74">
        <w:trPr>
          <w:trHeight w:val="173"/>
        </w:trPr>
        <w:tc>
          <w:tcPr>
            <w:tcW w:w="3420" w:type="dxa"/>
            <w:shd w:val="clear" w:color="auto" w:fill="auto"/>
            <w:vAlign w:val="center"/>
          </w:tcPr>
          <w:p w14:paraId="160D98C5" w14:textId="77777777" w:rsidR="00A03732" w:rsidRPr="00DF725D" w:rsidRDefault="00A03732" w:rsidP="00E519E4">
            <w:pPr>
              <w:spacing w:after="0"/>
              <w:rPr>
                <w:rFonts w:ascii="Arial" w:hAnsi="Arial" w:cs="Arial"/>
                <w:sz w:val="18"/>
              </w:rPr>
            </w:pPr>
            <w:r w:rsidRPr="00DF725D">
              <w:rPr>
                <w:rFonts w:ascii="Arial" w:hAnsi="Arial" w:cs="Arial"/>
                <w:sz w:val="18"/>
              </w:rPr>
              <w:t>VMMC</w:t>
            </w:r>
          </w:p>
        </w:tc>
        <w:tc>
          <w:tcPr>
            <w:tcW w:w="4230" w:type="dxa"/>
            <w:shd w:val="clear" w:color="auto" w:fill="auto"/>
            <w:vAlign w:val="center"/>
          </w:tcPr>
          <w:p w14:paraId="22AA7C95" w14:textId="1777BEEC" w:rsidR="00A03732" w:rsidRPr="00DF725D" w:rsidRDefault="00A03732" w:rsidP="00E519E4">
            <w:pPr>
              <w:spacing w:after="0"/>
              <w:rPr>
                <w:rFonts w:ascii="Arial" w:hAnsi="Arial" w:cs="Arial"/>
                <w:sz w:val="18"/>
              </w:rPr>
            </w:pPr>
            <w:r w:rsidRPr="00DF725D">
              <w:rPr>
                <w:rFonts w:ascii="Arial" w:hAnsi="Arial" w:cs="Arial"/>
                <w:sz w:val="18"/>
              </w:rPr>
              <w:t>1,</w:t>
            </w:r>
            <w:r w:rsidR="00E354AB">
              <w:rPr>
                <w:rFonts w:ascii="Arial" w:hAnsi="Arial" w:cs="Arial"/>
                <w:sz w:val="18"/>
              </w:rPr>
              <w:t>200</w:t>
            </w:r>
          </w:p>
        </w:tc>
      </w:tr>
      <w:tr w:rsidR="00A03732" w:rsidRPr="00DF725D" w14:paraId="2C979FF8" w14:textId="77777777" w:rsidTr="00884B74">
        <w:trPr>
          <w:trHeight w:val="173"/>
        </w:trPr>
        <w:tc>
          <w:tcPr>
            <w:tcW w:w="3420" w:type="dxa"/>
            <w:shd w:val="clear" w:color="auto" w:fill="auto"/>
            <w:vAlign w:val="center"/>
          </w:tcPr>
          <w:p w14:paraId="47AD20AC" w14:textId="3840F4E5" w:rsidR="00A03732" w:rsidRPr="00DF725D" w:rsidRDefault="008E4A35" w:rsidP="00E519E4">
            <w:pPr>
              <w:spacing w:after="0"/>
              <w:rPr>
                <w:rFonts w:ascii="Arial" w:hAnsi="Arial" w:cs="Arial"/>
                <w:sz w:val="18"/>
              </w:rPr>
            </w:pPr>
            <w:r w:rsidRPr="00DF725D">
              <w:rPr>
                <w:rFonts w:ascii="Arial" w:hAnsi="Arial" w:cs="Arial"/>
                <w:sz w:val="18"/>
              </w:rPr>
              <w:t>FSW-Outreach</w:t>
            </w:r>
          </w:p>
        </w:tc>
        <w:tc>
          <w:tcPr>
            <w:tcW w:w="4230" w:type="dxa"/>
            <w:shd w:val="clear" w:color="auto" w:fill="auto"/>
            <w:vAlign w:val="center"/>
          </w:tcPr>
          <w:p w14:paraId="57CB480B" w14:textId="4DAFF8C7" w:rsidR="00A03732" w:rsidRPr="00DF725D" w:rsidRDefault="00A03732" w:rsidP="00E519E4">
            <w:pPr>
              <w:spacing w:after="0"/>
              <w:rPr>
                <w:rFonts w:ascii="Arial" w:hAnsi="Arial" w:cs="Arial"/>
                <w:sz w:val="18"/>
              </w:rPr>
            </w:pPr>
            <w:r w:rsidRPr="00DF725D">
              <w:rPr>
                <w:rFonts w:ascii="Arial" w:hAnsi="Arial" w:cs="Arial"/>
                <w:sz w:val="18"/>
              </w:rPr>
              <w:t>3,6</w:t>
            </w:r>
            <w:r w:rsidR="00E354AB">
              <w:rPr>
                <w:rFonts w:ascii="Arial" w:hAnsi="Arial" w:cs="Arial"/>
                <w:sz w:val="18"/>
              </w:rPr>
              <w:t>00</w:t>
            </w:r>
          </w:p>
        </w:tc>
      </w:tr>
      <w:tr w:rsidR="00A03732" w:rsidRPr="00DF725D" w14:paraId="3357CD7E" w14:textId="77777777" w:rsidTr="00884B74">
        <w:trPr>
          <w:trHeight w:val="173"/>
        </w:trPr>
        <w:tc>
          <w:tcPr>
            <w:tcW w:w="3420" w:type="dxa"/>
            <w:shd w:val="clear" w:color="auto" w:fill="auto"/>
            <w:vAlign w:val="center"/>
          </w:tcPr>
          <w:p w14:paraId="4FE0BBFE" w14:textId="77777777" w:rsidR="00A03732" w:rsidRPr="00DF725D" w:rsidRDefault="00A03732" w:rsidP="00E519E4">
            <w:pPr>
              <w:spacing w:after="0"/>
              <w:rPr>
                <w:rFonts w:ascii="Arial" w:hAnsi="Arial" w:cs="Arial"/>
                <w:sz w:val="18"/>
              </w:rPr>
            </w:pPr>
            <w:r w:rsidRPr="00DF725D">
              <w:rPr>
                <w:rFonts w:ascii="Arial" w:hAnsi="Arial" w:cs="Arial"/>
                <w:sz w:val="18"/>
              </w:rPr>
              <w:t xml:space="preserve">BCC- mass media </w:t>
            </w:r>
          </w:p>
        </w:tc>
        <w:tc>
          <w:tcPr>
            <w:tcW w:w="4230" w:type="dxa"/>
            <w:shd w:val="clear" w:color="auto" w:fill="auto"/>
            <w:vAlign w:val="center"/>
          </w:tcPr>
          <w:p w14:paraId="7B98E360" w14:textId="3594043F" w:rsidR="00A03732" w:rsidRPr="00DF725D" w:rsidRDefault="00A03732" w:rsidP="00E519E4">
            <w:pPr>
              <w:spacing w:after="0"/>
              <w:rPr>
                <w:rFonts w:ascii="Arial" w:hAnsi="Arial" w:cs="Arial"/>
                <w:sz w:val="18"/>
              </w:rPr>
            </w:pPr>
            <w:r w:rsidRPr="00DF725D">
              <w:rPr>
                <w:rFonts w:ascii="Arial" w:hAnsi="Arial" w:cs="Arial"/>
                <w:sz w:val="18"/>
              </w:rPr>
              <w:t>5,0</w:t>
            </w:r>
            <w:r w:rsidR="00E354AB">
              <w:rPr>
                <w:rFonts w:ascii="Arial" w:hAnsi="Arial" w:cs="Arial"/>
                <w:sz w:val="18"/>
              </w:rPr>
              <w:t>00</w:t>
            </w:r>
          </w:p>
        </w:tc>
      </w:tr>
      <w:tr w:rsidR="00A03732" w:rsidRPr="00DF725D" w14:paraId="6BF1E5D0" w14:textId="77777777" w:rsidTr="00884B74">
        <w:trPr>
          <w:trHeight w:val="173"/>
        </w:trPr>
        <w:tc>
          <w:tcPr>
            <w:tcW w:w="3420" w:type="dxa"/>
            <w:shd w:val="clear" w:color="auto" w:fill="auto"/>
            <w:vAlign w:val="center"/>
          </w:tcPr>
          <w:p w14:paraId="4A7318BD" w14:textId="6CDECCEB" w:rsidR="00A03732" w:rsidRPr="00DF725D" w:rsidRDefault="00210C1A" w:rsidP="00E519E4">
            <w:pPr>
              <w:spacing w:after="0"/>
              <w:rPr>
                <w:rFonts w:ascii="Arial" w:hAnsi="Arial" w:cs="Arial"/>
                <w:sz w:val="18"/>
              </w:rPr>
            </w:pPr>
            <w:r w:rsidRPr="00DF725D">
              <w:rPr>
                <w:rFonts w:ascii="Arial" w:hAnsi="Arial" w:cs="Arial"/>
                <w:sz w:val="18"/>
              </w:rPr>
              <w:t>MSM-PrEP</w:t>
            </w:r>
          </w:p>
        </w:tc>
        <w:tc>
          <w:tcPr>
            <w:tcW w:w="4230" w:type="dxa"/>
            <w:shd w:val="clear" w:color="auto" w:fill="auto"/>
            <w:vAlign w:val="center"/>
          </w:tcPr>
          <w:p w14:paraId="3C88ECD1" w14:textId="496B3C75" w:rsidR="00A03732" w:rsidRPr="00DF725D" w:rsidRDefault="00A03732" w:rsidP="00E519E4">
            <w:pPr>
              <w:spacing w:after="0"/>
              <w:rPr>
                <w:rFonts w:ascii="Arial" w:hAnsi="Arial" w:cs="Arial"/>
                <w:sz w:val="18"/>
              </w:rPr>
            </w:pPr>
            <w:r w:rsidRPr="00DF725D">
              <w:rPr>
                <w:rFonts w:ascii="Arial" w:hAnsi="Arial" w:cs="Arial"/>
                <w:sz w:val="18"/>
              </w:rPr>
              <w:t>12,</w:t>
            </w:r>
            <w:r w:rsidR="00E354AB">
              <w:rPr>
                <w:rFonts w:ascii="Arial" w:hAnsi="Arial" w:cs="Arial"/>
                <w:sz w:val="18"/>
              </w:rPr>
              <w:t>100</w:t>
            </w:r>
          </w:p>
        </w:tc>
      </w:tr>
      <w:tr w:rsidR="00A03732" w:rsidRPr="00DF725D" w14:paraId="4FC3BD28" w14:textId="77777777" w:rsidTr="00884B74">
        <w:trPr>
          <w:trHeight w:val="173"/>
        </w:trPr>
        <w:tc>
          <w:tcPr>
            <w:tcW w:w="3420" w:type="dxa"/>
            <w:shd w:val="clear" w:color="auto" w:fill="auto"/>
            <w:vAlign w:val="center"/>
          </w:tcPr>
          <w:p w14:paraId="3A0A5F3D" w14:textId="71777A64" w:rsidR="00A03732" w:rsidRPr="00DF725D" w:rsidRDefault="00A03732" w:rsidP="00E519E4">
            <w:pPr>
              <w:spacing w:after="0"/>
              <w:rPr>
                <w:rFonts w:ascii="Arial" w:hAnsi="Arial" w:cs="Arial"/>
                <w:sz w:val="18"/>
              </w:rPr>
            </w:pPr>
            <w:r w:rsidRPr="00DF725D">
              <w:rPr>
                <w:rFonts w:ascii="Arial" w:hAnsi="Arial" w:cs="Arial"/>
                <w:sz w:val="18"/>
              </w:rPr>
              <w:t xml:space="preserve">BCC- </w:t>
            </w:r>
            <w:r w:rsidR="003D002D">
              <w:rPr>
                <w:rFonts w:ascii="Arial" w:hAnsi="Arial" w:cs="Arial"/>
                <w:sz w:val="18"/>
              </w:rPr>
              <w:t>y</w:t>
            </w:r>
            <w:r w:rsidRPr="00DF725D">
              <w:rPr>
                <w:rFonts w:ascii="Arial" w:hAnsi="Arial" w:cs="Arial"/>
                <w:sz w:val="18"/>
              </w:rPr>
              <w:t xml:space="preserve">outh </w:t>
            </w:r>
            <w:r w:rsidR="008E4A35" w:rsidRPr="00DF725D">
              <w:rPr>
                <w:rFonts w:ascii="Arial" w:hAnsi="Arial" w:cs="Arial"/>
                <w:sz w:val="18"/>
              </w:rPr>
              <w:t>community mobilization</w:t>
            </w:r>
          </w:p>
        </w:tc>
        <w:tc>
          <w:tcPr>
            <w:tcW w:w="4230" w:type="dxa"/>
            <w:shd w:val="clear" w:color="auto" w:fill="auto"/>
            <w:vAlign w:val="center"/>
          </w:tcPr>
          <w:p w14:paraId="3AF4789C" w14:textId="701AE4E7" w:rsidR="00A03732" w:rsidRPr="00DF725D" w:rsidRDefault="00A03732" w:rsidP="00E519E4">
            <w:pPr>
              <w:spacing w:after="0"/>
              <w:rPr>
                <w:rFonts w:ascii="Arial" w:hAnsi="Arial" w:cs="Arial"/>
                <w:sz w:val="18"/>
              </w:rPr>
            </w:pPr>
            <w:r w:rsidRPr="00DF725D">
              <w:rPr>
                <w:rFonts w:ascii="Arial" w:hAnsi="Arial" w:cs="Arial"/>
                <w:sz w:val="18"/>
              </w:rPr>
              <w:t>24,7</w:t>
            </w:r>
            <w:r w:rsidR="00E354AB">
              <w:rPr>
                <w:rFonts w:ascii="Arial" w:hAnsi="Arial" w:cs="Arial"/>
                <w:sz w:val="18"/>
              </w:rPr>
              <w:t>00</w:t>
            </w:r>
          </w:p>
        </w:tc>
      </w:tr>
      <w:tr w:rsidR="00A03732" w:rsidRPr="00DF725D" w14:paraId="5B7A665E" w14:textId="77777777" w:rsidTr="00E519E4">
        <w:trPr>
          <w:trHeight w:val="173"/>
        </w:trPr>
        <w:tc>
          <w:tcPr>
            <w:tcW w:w="3420" w:type="dxa"/>
            <w:vAlign w:val="center"/>
          </w:tcPr>
          <w:p w14:paraId="233C821F" w14:textId="67932A10" w:rsidR="00A03732" w:rsidRPr="00DF725D" w:rsidRDefault="008E4A35" w:rsidP="00E519E4">
            <w:pPr>
              <w:spacing w:after="0"/>
              <w:rPr>
                <w:rFonts w:ascii="Arial" w:hAnsi="Arial" w:cs="Arial"/>
                <w:sz w:val="18"/>
              </w:rPr>
            </w:pPr>
            <w:r w:rsidRPr="00DF725D">
              <w:rPr>
                <w:rFonts w:ascii="Arial" w:hAnsi="Arial" w:cs="Arial"/>
                <w:sz w:val="18"/>
              </w:rPr>
              <w:t>PWID-Outreach</w:t>
            </w:r>
          </w:p>
        </w:tc>
        <w:tc>
          <w:tcPr>
            <w:tcW w:w="4230" w:type="dxa"/>
            <w:vAlign w:val="center"/>
          </w:tcPr>
          <w:p w14:paraId="6358A9E3" w14:textId="20EBF223" w:rsidR="00A03732" w:rsidRPr="00DF725D" w:rsidRDefault="00A03732" w:rsidP="00E519E4">
            <w:pPr>
              <w:spacing w:after="0"/>
              <w:rPr>
                <w:rFonts w:ascii="Arial" w:hAnsi="Arial" w:cs="Arial"/>
                <w:sz w:val="18"/>
              </w:rPr>
            </w:pPr>
            <w:r w:rsidRPr="00DF725D">
              <w:rPr>
                <w:rFonts w:ascii="Arial" w:hAnsi="Arial" w:cs="Arial"/>
                <w:sz w:val="18"/>
              </w:rPr>
              <w:t>2</w:t>
            </w:r>
            <w:r w:rsidR="00E354AB">
              <w:rPr>
                <w:rFonts w:ascii="Arial" w:hAnsi="Arial" w:cs="Arial"/>
                <w:sz w:val="18"/>
              </w:rPr>
              <w:t>7,000</w:t>
            </w:r>
          </w:p>
        </w:tc>
      </w:tr>
      <w:tr w:rsidR="00A03732" w:rsidRPr="00DF725D" w14:paraId="4CF21B05" w14:textId="77777777" w:rsidTr="00E519E4">
        <w:trPr>
          <w:trHeight w:val="173"/>
        </w:trPr>
        <w:tc>
          <w:tcPr>
            <w:tcW w:w="3420" w:type="dxa"/>
            <w:vAlign w:val="center"/>
          </w:tcPr>
          <w:p w14:paraId="01B61C7D" w14:textId="6E1286B8" w:rsidR="00A03732" w:rsidRPr="00DF725D" w:rsidRDefault="008E4A35" w:rsidP="00E519E4">
            <w:pPr>
              <w:spacing w:after="0"/>
              <w:rPr>
                <w:rFonts w:ascii="Arial" w:hAnsi="Arial" w:cs="Arial"/>
                <w:sz w:val="18"/>
              </w:rPr>
            </w:pPr>
            <w:r w:rsidRPr="00DF725D">
              <w:rPr>
                <w:rFonts w:ascii="Arial" w:hAnsi="Arial" w:cs="Arial"/>
                <w:sz w:val="18"/>
              </w:rPr>
              <w:t>MSM-Outreach</w:t>
            </w:r>
          </w:p>
        </w:tc>
        <w:tc>
          <w:tcPr>
            <w:tcW w:w="4230" w:type="dxa"/>
            <w:vAlign w:val="center"/>
          </w:tcPr>
          <w:p w14:paraId="426F8FF2" w14:textId="5BDDE9B2" w:rsidR="00A03732" w:rsidRPr="00DF725D" w:rsidRDefault="00A03732" w:rsidP="00E519E4">
            <w:pPr>
              <w:spacing w:after="0"/>
              <w:rPr>
                <w:rFonts w:ascii="Arial" w:hAnsi="Arial" w:cs="Arial"/>
                <w:sz w:val="18"/>
              </w:rPr>
            </w:pPr>
            <w:r w:rsidRPr="00DF725D">
              <w:rPr>
                <w:rFonts w:ascii="Arial" w:hAnsi="Arial" w:cs="Arial"/>
                <w:sz w:val="18"/>
              </w:rPr>
              <w:t>29,</w:t>
            </w:r>
            <w:r w:rsidR="00E354AB">
              <w:rPr>
                <w:rFonts w:ascii="Arial" w:hAnsi="Arial" w:cs="Arial"/>
                <w:sz w:val="18"/>
              </w:rPr>
              <w:t>000</w:t>
            </w:r>
          </w:p>
        </w:tc>
      </w:tr>
      <w:tr w:rsidR="00A03732" w:rsidRPr="00DF725D" w14:paraId="51593FA8" w14:textId="77777777" w:rsidTr="00E519E4">
        <w:trPr>
          <w:trHeight w:val="173"/>
        </w:trPr>
        <w:tc>
          <w:tcPr>
            <w:tcW w:w="3420" w:type="dxa"/>
            <w:vAlign w:val="center"/>
          </w:tcPr>
          <w:p w14:paraId="7F037311" w14:textId="7AB836EF" w:rsidR="00A03732" w:rsidRPr="00DF725D" w:rsidRDefault="00210C1A" w:rsidP="00E519E4">
            <w:pPr>
              <w:spacing w:after="0"/>
              <w:rPr>
                <w:rFonts w:ascii="Arial" w:hAnsi="Arial" w:cs="Arial"/>
                <w:sz w:val="18"/>
              </w:rPr>
            </w:pPr>
            <w:r w:rsidRPr="00DF725D">
              <w:rPr>
                <w:rFonts w:ascii="Arial" w:hAnsi="Arial" w:cs="Arial"/>
                <w:sz w:val="18"/>
              </w:rPr>
              <w:t>PWID-PrEP</w:t>
            </w:r>
          </w:p>
        </w:tc>
        <w:tc>
          <w:tcPr>
            <w:tcW w:w="4230" w:type="dxa"/>
            <w:vAlign w:val="center"/>
          </w:tcPr>
          <w:p w14:paraId="426254BA" w14:textId="43EE7E53" w:rsidR="00A03732" w:rsidRPr="00DF725D" w:rsidRDefault="00A03732" w:rsidP="00E519E4">
            <w:pPr>
              <w:spacing w:after="0"/>
              <w:rPr>
                <w:rFonts w:ascii="Arial" w:hAnsi="Arial" w:cs="Arial"/>
                <w:sz w:val="18"/>
              </w:rPr>
            </w:pPr>
            <w:r w:rsidRPr="00DF725D">
              <w:rPr>
                <w:rFonts w:ascii="Arial" w:hAnsi="Arial" w:cs="Arial"/>
                <w:sz w:val="18"/>
              </w:rPr>
              <w:t>3</w:t>
            </w:r>
            <w:r w:rsidR="00E354AB">
              <w:rPr>
                <w:rFonts w:ascii="Arial" w:hAnsi="Arial" w:cs="Arial"/>
                <w:sz w:val="18"/>
              </w:rPr>
              <w:t>9,000</w:t>
            </w:r>
          </w:p>
        </w:tc>
      </w:tr>
      <w:tr w:rsidR="00A03732" w:rsidRPr="00DF725D" w14:paraId="1161DCBD" w14:textId="77777777" w:rsidTr="00E519E4">
        <w:trPr>
          <w:trHeight w:val="173"/>
        </w:trPr>
        <w:tc>
          <w:tcPr>
            <w:tcW w:w="3420" w:type="dxa"/>
            <w:vAlign w:val="center"/>
          </w:tcPr>
          <w:p w14:paraId="67EBF2EF" w14:textId="48781001" w:rsidR="00A03732" w:rsidRPr="00DF725D" w:rsidRDefault="00A03732" w:rsidP="00E519E4">
            <w:pPr>
              <w:spacing w:after="0"/>
              <w:rPr>
                <w:rFonts w:ascii="Arial" w:hAnsi="Arial" w:cs="Arial"/>
                <w:sz w:val="18"/>
              </w:rPr>
            </w:pPr>
            <w:r w:rsidRPr="00DF725D">
              <w:rPr>
                <w:rFonts w:ascii="Arial" w:hAnsi="Arial" w:cs="Arial"/>
                <w:sz w:val="18"/>
              </w:rPr>
              <w:t>PrEP</w:t>
            </w:r>
            <w:r w:rsidR="00873E3B" w:rsidRPr="00DF725D">
              <w:rPr>
                <w:rFonts w:ascii="Arial" w:hAnsi="Arial" w:cs="Arial"/>
                <w:sz w:val="18"/>
              </w:rPr>
              <w:t xml:space="preserve"> (</w:t>
            </w:r>
            <w:r w:rsidRPr="00DF725D">
              <w:rPr>
                <w:rFonts w:ascii="Arial" w:hAnsi="Arial" w:cs="Arial"/>
                <w:sz w:val="18"/>
              </w:rPr>
              <w:t>High risk</w:t>
            </w:r>
            <w:r w:rsidR="00873E3B" w:rsidRPr="00DF725D">
              <w:rPr>
                <w:rFonts w:ascii="Arial" w:hAnsi="Arial" w:cs="Arial"/>
                <w:sz w:val="18"/>
              </w:rPr>
              <w:t>)</w:t>
            </w:r>
          </w:p>
        </w:tc>
        <w:tc>
          <w:tcPr>
            <w:tcW w:w="4230" w:type="dxa"/>
            <w:vAlign w:val="center"/>
          </w:tcPr>
          <w:p w14:paraId="61D3B209" w14:textId="44BC890B" w:rsidR="00A03732" w:rsidRPr="00DF725D" w:rsidRDefault="00A03732" w:rsidP="00E519E4">
            <w:pPr>
              <w:spacing w:after="0"/>
              <w:rPr>
                <w:rFonts w:ascii="Arial" w:hAnsi="Arial" w:cs="Arial"/>
                <w:sz w:val="18"/>
              </w:rPr>
            </w:pPr>
            <w:r w:rsidRPr="00DF725D">
              <w:rPr>
                <w:rFonts w:ascii="Arial" w:hAnsi="Arial" w:cs="Arial"/>
                <w:sz w:val="18"/>
              </w:rPr>
              <w:t>10</w:t>
            </w:r>
            <w:r w:rsidR="00E354AB">
              <w:rPr>
                <w:rFonts w:ascii="Arial" w:hAnsi="Arial" w:cs="Arial"/>
                <w:sz w:val="18"/>
              </w:rPr>
              <w:t>3,000</w:t>
            </w:r>
            <w:r w:rsidRPr="00DF725D">
              <w:rPr>
                <w:rFonts w:ascii="Arial" w:hAnsi="Arial" w:cs="Arial"/>
                <w:sz w:val="18"/>
              </w:rPr>
              <w:t xml:space="preserve"> </w:t>
            </w:r>
          </w:p>
        </w:tc>
      </w:tr>
      <w:tr w:rsidR="001D049D" w:rsidRPr="00DF725D" w14:paraId="71F59118" w14:textId="77777777" w:rsidTr="00E519E4">
        <w:trPr>
          <w:trHeight w:val="173"/>
        </w:trPr>
        <w:tc>
          <w:tcPr>
            <w:tcW w:w="3420" w:type="dxa"/>
            <w:vAlign w:val="center"/>
          </w:tcPr>
          <w:p w14:paraId="5E1157CA" w14:textId="29084B0D" w:rsidR="001D049D" w:rsidRPr="00DF725D" w:rsidRDefault="001D049D" w:rsidP="00E519E4">
            <w:pPr>
              <w:spacing w:after="0"/>
              <w:rPr>
                <w:rFonts w:ascii="Arial" w:hAnsi="Arial" w:cs="Arial"/>
                <w:sz w:val="18"/>
              </w:rPr>
            </w:pPr>
            <w:r>
              <w:rPr>
                <w:rFonts w:ascii="Arial" w:hAnsi="Arial" w:cs="Arial"/>
                <w:sz w:val="18"/>
              </w:rPr>
              <w:t>AGYW- Cash transfers</w:t>
            </w:r>
          </w:p>
        </w:tc>
        <w:tc>
          <w:tcPr>
            <w:tcW w:w="4230" w:type="dxa"/>
            <w:vAlign w:val="center"/>
          </w:tcPr>
          <w:p w14:paraId="5A61B8A6" w14:textId="4300CBAB" w:rsidR="001D049D" w:rsidRPr="00DF725D" w:rsidRDefault="001D049D" w:rsidP="00E519E4">
            <w:pPr>
              <w:spacing w:after="0"/>
              <w:rPr>
                <w:rFonts w:ascii="Arial" w:hAnsi="Arial" w:cs="Arial"/>
                <w:sz w:val="18"/>
              </w:rPr>
            </w:pPr>
            <w:r>
              <w:rPr>
                <w:rFonts w:ascii="Arial" w:hAnsi="Arial" w:cs="Arial"/>
                <w:sz w:val="18"/>
              </w:rPr>
              <w:t>375,000</w:t>
            </w:r>
          </w:p>
        </w:tc>
      </w:tr>
      <w:tr w:rsidR="00A03732" w:rsidRPr="00DF725D" w14:paraId="1F6ADC23" w14:textId="77777777" w:rsidTr="00E519E4">
        <w:trPr>
          <w:trHeight w:val="173"/>
        </w:trPr>
        <w:tc>
          <w:tcPr>
            <w:tcW w:w="3420" w:type="dxa"/>
            <w:vAlign w:val="center"/>
          </w:tcPr>
          <w:p w14:paraId="725DED7D" w14:textId="7E5A3254" w:rsidR="00A03732" w:rsidRPr="00DF725D" w:rsidRDefault="00A03732" w:rsidP="00E519E4">
            <w:pPr>
              <w:spacing w:after="0"/>
              <w:rPr>
                <w:rFonts w:ascii="Arial" w:hAnsi="Arial" w:cs="Arial"/>
                <w:sz w:val="18"/>
              </w:rPr>
            </w:pPr>
            <w:r w:rsidRPr="00DF725D">
              <w:rPr>
                <w:rFonts w:ascii="Arial" w:hAnsi="Arial" w:cs="Arial"/>
                <w:sz w:val="18"/>
              </w:rPr>
              <w:t>PrEP</w:t>
            </w:r>
            <w:r w:rsidR="00873E3B" w:rsidRPr="00DF725D">
              <w:rPr>
                <w:rFonts w:ascii="Arial" w:hAnsi="Arial" w:cs="Arial"/>
                <w:sz w:val="18"/>
              </w:rPr>
              <w:t xml:space="preserve"> (</w:t>
            </w:r>
            <w:r w:rsidRPr="00DF725D">
              <w:rPr>
                <w:rFonts w:ascii="Arial" w:hAnsi="Arial" w:cs="Arial"/>
                <w:sz w:val="18"/>
              </w:rPr>
              <w:t>Medium risk</w:t>
            </w:r>
            <w:r w:rsidR="00873E3B" w:rsidRPr="00DF725D">
              <w:rPr>
                <w:rFonts w:ascii="Arial" w:hAnsi="Arial" w:cs="Arial"/>
                <w:sz w:val="18"/>
              </w:rPr>
              <w:t>)</w:t>
            </w:r>
          </w:p>
        </w:tc>
        <w:tc>
          <w:tcPr>
            <w:tcW w:w="4230" w:type="dxa"/>
            <w:vAlign w:val="center"/>
          </w:tcPr>
          <w:p w14:paraId="186CC268" w14:textId="5DF62549" w:rsidR="00A03732" w:rsidRPr="00DF725D" w:rsidRDefault="00A03732" w:rsidP="00E519E4">
            <w:pPr>
              <w:spacing w:after="0"/>
              <w:rPr>
                <w:rFonts w:ascii="Arial" w:hAnsi="Arial" w:cs="Arial"/>
                <w:sz w:val="18"/>
              </w:rPr>
            </w:pPr>
            <w:r w:rsidRPr="00DF725D">
              <w:rPr>
                <w:rFonts w:ascii="Arial" w:hAnsi="Arial" w:cs="Arial"/>
                <w:sz w:val="18"/>
              </w:rPr>
              <w:t>637,</w:t>
            </w:r>
            <w:r w:rsidR="00E354AB">
              <w:rPr>
                <w:rFonts w:ascii="Arial" w:hAnsi="Arial" w:cs="Arial"/>
                <w:sz w:val="18"/>
              </w:rPr>
              <w:t>00</w:t>
            </w:r>
          </w:p>
        </w:tc>
      </w:tr>
      <w:tr w:rsidR="00A03732" w:rsidRPr="00DF725D" w14:paraId="2A2C9F36" w14:textId="77777777" w:rsidTr="00E519E4">
        <w:trPr>
          <w:trHeight w:val="173"/>
        </w:trPr>
        <w:tc>
          <w:tcPr>
            <w:tcW w:w="3420" w:type="dxa"/>
            <w:vAlign w:val="center"/>
          </w:tcPr>
          <w:p w14:paraId="618BE1B6" w14:textId="5A62DBBA" w:rsidR="00A03732" w:rsidRPr="00DF725D" w:rsidRDefault="00A03732" w:rsidP="00E519E4">
            <w:pPr>
              <w:spacing w:after="0"/>
              <w:rPr>
                <w:rFonts w:ascii="Arial" w:hAnsi="Arial" w:cs="Arial"/>
                <w:sz w:val="18"/>
              </w:rPr>
            </w:pPr>
            <w:r w:rsidRPr="00DF725D">
              <w:rPr>
                <w:rFonts w:ascii="Arial" w:hAnsi="Arial" w:cs="Arial"/>
                <w:sz w:val="18"/>
              </w:rPr>
              <w:t>PrEP</w:t>
            </w:r>
            <w:r w:rsidR="00873E3B" w:rsidRPr="00DF725D">
              <w:rPr>
                <w:rFonts w:ascii="Arial" w:hAnsi="Arial" w:cs="Arial"/>
                <w:sz w:val="18"/>
              </w:rPr>
              <w:t xml:space="preserve"> (</w:t>
            </w:r>
            <w:r w:rsidRPr="00DF725D">
              <w:rPr>
                <w:rFonts w:ascii="Arial" w:hAnsi="Arial" w:cs="Arial"/>
                <w:sz w:val="18"/>
              </w:rPr>
              <w:t>Low risk</w:t>
            </w:r>
            <w:r w:rsidR="00873E3B" w:rsidRPr="00DF725D">
              <w:rPr>
                <w:rFonts w:ascii="Arial" w:hAnsi="Arial" w:cs="Arial"/>
                <w:sz w:val="18"/>
              </w:rPr>
              <w:t>)</w:t>
            </w:r>
          </w:p>
        </w:tc>
        <w:tc>
          <w:tcPr>
            <w:tcW w:w="4230" w:type="dxa"/>
            <w:vAlign w:val="center"/>
          </w:tcPr>
          <w:p w14:paraId="4E5EE965" w14:textId="77777777" w:rsidR="00A03732" w:rsidRPr="00DF725D" w:rsidRDefault="00A03732" w:rsidP="00E519E4">
            <w:pPr>
              <w:spacing w:after="0"/>
              <w:rPr>
                <w:rFonts w:ascii="Arial" w:hAnsi="Arial" w:cs="Arial"/>
                <w:sz w:val="18"/>
              </w:rPr>
            </w:pPr>
            <w:r w:rsidRPr="00DF725D">
              <w:rPr>
                <w:rFonts w:ascii="Arial" w:hAnsi="Arial" w:cs="Arial"/>
                <w:sz w:val="18"/>
              </w:rPr>
              <w:t>1.34 M</w:t>
            </w:r>
          </w:p>
        </w:tc>
      </w:tr>
    </w:tbl>
    <w:p w14:paraId="4219A8BC" w14:textId="77777777" w:rsidR="00884B74" w:rsidRDefault="00884B74" w:rsidP="00884B74">
      <w:pPr>
        <w:pStyle w:val="ListParagraph"/>
        <w:ind w:left="360"/>
        <w:rPr>
          <w:rFonts w:ascii="Arial" w:hAnsi="Arial" w:cs="Arial"/>
        </w:rPr>
      </w:pPr>
    </w:p>
    <w:p w14:paraId="205502DB" w14:textId="62168E3B" w:rsidR="002A7482" w:rsidRDefault="002A7482" w:rsidP="0058354C">
      <w:pPr>
        <w:pStyle w:val="ListParagraph"/>
        <w:numPr>
          <w:ilvl w:val="0"/>
          <w:numId w:val="48"/>
        </w:numPr>
        <w:rPr>
          <w:rFonts w:ascii="Arial" w:hAnsi="Arial" w:cs="Arial"/>
        </w:rPr>
      </w:pPr>
      <w:r>
        <w:rPr>
          <w:rFonts w:ascii="Arial" w:hAnsi="Arial" w:cs="Arial"/>
        </w:rPr>
        <w:t>T</w:t>
      </w:r>
      <w:r w:rsidRPr="002A7482">
        <w:rPr>
          <w:rFonts w:ascii="Arial" w:hAnsi="Arial" w:cs="Arial"/>
        </w:rPr>
        <w:t>he</w:t>
      </w:r>
      <w:r>
        <w:rPr>
          <w:rFonts w:ascii="Arial" w:hAnsi="Arial" w:cs="Arial"/>
        </w:rPr>
        <w:t xml:space="preserve"> remaining</w:t>
      </w:r>
      <w:r w:rsidR="005E4873">
        <w:rPr>
          <w:rFonts w:ascii="Arial" w:hAnsi="Arial" w:cs="Arial"/>
        </w:rPr>
        <w:t xml:space="preserve"> prevention</w:t>
      </w:r>
      <w:r w:rsidRPr="002A7482">
        <w:rPr>
          <w:rFonts w:ascii="Arial" w:hAnsi="Arial" w:cs="Arial"/>
        </w:rPr>
        <w:t xml:space="preserve"> budget was allocated to one intervention</w:t>
      </w:r>
      <w:r w:rsidR="003D002D">
        <w:rPr>
          <w:rFonts w:ascii="Arial" w:hAnsi="Arial" w:cs="Arial"/>
        </w:rPr>
        <w:t xml:space="preserve"> </w:t>
      </w:r>
      <w:r w:rsidRPr="002A7482">
        <w:rPr>
          <w:rFonts w:ascii="Arial" w:hAnsi="Arial" w:cs="Arial"/>
        </w:rPr>
        <w:t xml:space="preserve">at a time in order of cost-effectiveness. The full required budget for each intervention was filled before moving to the next intervention. </w:t>
      </w:r>
      <w:r w:rsidR="00884B74">
        <w:rPr>
          <w:rFonts w:ascii="Arial" w:hAnsi="Arial" w:cs="Arial"/>
        </w:rPr>
        <w:t xml:space="preserve">The number of prevention interventions that could be funded varied across </w:t>
      </w:r>
      <w:r w:rsidR="001D049D">
        <w:rPr>
          <w:rFonts w:ascii="Arial" w:hAnsi="Arial" w:cs="Arial"/>
        </w:rPr>
        <w:t>o</w:t>
      </w:r>
      <w:r w:rsidR="00884B74">
        <w:rPr>
          <w:rFonts w:ascii="Arial" w:hAnsi="Arial" w:cs="Arial"/>
        </w:rPr>
        <w:t>ptimization scenarios, depending on the available resource levels.</w:t>
      </w:r>
    </w:p>
    <w:p w14:paraId="201F0F5F" w14:textId="3788FF3C" w:rsidR="00884B74" w:rsidRDefault="00884B74" w:rsidP="0058354C">
      <w:pPr>
        <w:pStyle w:val="ListParagraph"/>
        <w:numPr>
          <w:ilvl w:val="0"/>
          <w:numId w:val="48"/>
        </w:numPr>
        <w:rPr>
          <w:rFonts w:ascii="Arial" w:hAnsi="Arial" w:cs="Arial"/>
        </w:rPr>
      </w:pPr>
      <w:r>
        <w:rPr>
          <w:rFonts w:ascii="Arial" w:hAnsi="Arial" w:cs="Arial"/>
        </w:rPr>
        <w:t>Note: resource requirements for PMTCT and VMMC decline over time as there are HIV-positive pregnant women and VMMC coverage is saturated. When this happens, funds are then allocated to the</w:t>
      </w:r>
      <w:r w:rsidR="001D049D">
        <w:rPr>
          <w:rFonts w:ascii="Arial" w:hAnsi="Arial" w:cs="Arial"/>
        </w:rPr>
        <w:t xml:space="preserve"> </w:t>
      </w:r>
      <w:r>
        <w:rPr>
          <w:rFonts w:ascii="Arial" w:hAnsi="Arial" w:cs="Arial"/>
        </w:rPr>
        <w:t>interventions</w:t>
      </w:r>
      <w:r w:rsidR="001D049D">
        <w:rPr>
          <w:rFonts w:ascii="Arial" w:hAnsi="Arial" w:cs="Arial"/>
        </w:rPr>
        <w:t xml:space="preserve"> that follow in cost-effectiveness.</w:t>
      </w:r>
    </w:p>
    <w:p w14:paraId="1DB47B3D" w14:textId="7A3682AF" w:rsidR="005E4873" w:rsidRDefault="005E4873" w:rsidP="0058354C">
      <w:pPr>
        <w:pStyle w:val="ListParagraph"/>
        <w:numPr>
          <w:ilvl w:val="0"/>
          <w:numId w:val="48"/>
        </w:numPr>
        <w:rPr>
          <w:rFonts w:ascii="Arial" w:hAnsi="Arial" w:cs="Arial"/>
        </w:rPr>
      </w:pPr>
      <w:r>
        <w:rPr>
          <w:rFonts w:ascii="Arial" w:hAnsi="Arial" w:cs="Arial"/>
        </w:rPr>
        <w:t>In some cases, cost-effectiveness</w:t>
      </w:r>
      <w:r w:rsidR="001F1B8D">
        <w:rPr>
          <w:rFonts w:ascii="Arial" w:hAnsi="Arial" w:cs="Arial"/>
        </w:rPr>
        <w:t xml:space="preserve"> decision criteria was overridden in the interest of equity. In these instances, funding for interventions considered critical for preserving equity were maintained at minimum levels.</w:t>
      </w:r>
    </w:p>
    <w:p w14:paraId="785B428E" w14:textId="77777777" w:rsidR="002A7482" w:rsidRDefault="002A7482" w:rsidP="00585A95">
      <w:pPr>
        <w:pStyle w:val="ListParagraph"/>
        <w:spacing w:after="0"/>
        <w:rPr>
          <w:rFonts w:ascii="Arial" w:hAnsi="Arial" w:cs="Arial"/>
        </w:rPr>
      </w:pPr>
    </w:p>
    <w:p w14:paraId="03D37CED" w14:textId="77777777" w:rsidR="003E1382" w:rsidRDefault="003E1382">
      <w:pPr>
        <w:rPr>
          <w:rFonts w:ascii="Arial" w:hAnsi="Arial" w:cs="Arial"/>
          <w:i/>
        </w:rPr>
      </w:pPr>
      <w:r>
        <w:rPr>
          <w:rFonts w:ascii="Arial" w:hAnsi="Arial" w:cs="Arial"/>
          <w:i/>
        </w:rPr>
        <w:br w:type="page"/>
      </w:r>
    </w:p>
    <w:p w14:paraId="07D8948E" w14:textId="0459CB28" w:rsidR="00A03732" w:rsidRDefault="006D3341" w:rsidP="00585A95">
      <w:pPr>
        <w:spacing w:after="0"/>
        <w:rPr>
          <w:rFonts w:ascii="Arial" w:hAnsi="Arial" w:cs="Arial"/>
          <w:i/>
        </w:rPr>
      </w:pPr>
      <w:r w:rsidRPr="00505F88">
        <w:rPr>
          <w:rFonts w:ascii="Arial" w:hAnsi="Arial" w:cs="Arial"/>
          <w:i/>
        </w:rPr>
        <w:t xml:space="preserve">Prioritization by </w:t>
      </w:r>
      <w:r>
        <w:rPr>
          <w:rFonts w:ascii="Arial" w:hAnsi="Arial" w:cs="Arial"/>
          <w:i/>
        </w:rPr>
        <w:t>geography</w:t>
      </w:r>
    </w:p>
    <w:p w14:paraId="7EFBAA4C" w14:textId="17C11A5A" w:rsidR="006D3341" w:rsidRDefault="006D3341" w:rsidP="007C2BF4">
      <w:pPr>
        <w:spacing w:after="0"/>
        <w:rPr>
          <w:rFonts w:ascii="Arial" w:hAnsi="Arial" w:cs="Arial"/>
          <w:i/>
        </w:rPr>
      </w:pPr>
    </w:p>
    <w:p w14:paraId="488DF24C" w14:textId="57BF4B3A" w:rsidR="00DC31D9" w:rsidRDefault="004B144C" w:rsidP="006D3341">
      <w:pPr>
        <w:spacing w:after="0"/>
        <w:rPr>
          <w:rFonts w:ascii="Arial" w:hAnsi="Arial" w:cs="Arial"/>
        </w:rPr>
      </w:pPr>
      <w:r>
        <w:rPr>
          <w:rFonts w:ascii="Arial" w:hAnsi="Arial" w:cs="Arial"/>
        </w:rPr>
        <w:t xml:space="preserve">Currently, </w:t>
      </w:r>
      <w:r w:rsidR="00DC31D9">
        <w:rPr>
          <w:rFonts w:ascii="Arial" w:hAnsi="Arial" w:cs="Arial"/>
        </w:rPr>
        <w:t xml:space="preserve">PEPFAR </w:t>
      </w:r>
      <w:r w:rsidR="006B494F">
        <w:rPr>
          <w:rFonts w:ascii="Arial" w:hAnsi="Arial" w:cs="Arial"/>
        </w:rPr>
        <w:t xml:space="preserve">prioritizes resources based on a triangulation approach, using survey and epidemiologic data, program results, and field experiences. </w:t>
      </w:r>
      <w:r w:rsidR="009B2D9B">
        <w:rPr>
          <w:rFonts w:ascii="Arial" w:hAnsi="Arial" w:cs="Arial"/>
        </w:rPr>
        <w:t xml:space="preserve">Councils are classified </w:t>
      </w:r>
      <w:r w:rsidR="00DC31D9">
        <w:rPr>
          <w:rFonts w:ascii="Arial" w:hAnsi="Arial" w:cs="Arial"/>
        </w:rPr>
        <w:t xml:space="preserve">according to 3 categories: </w:t>
      </w:r>
    </w:p>
    <w:p w14:paraId="478E47F9" w14:textId="3713784B" w:rsidR="00DC31D9" w:rsidRPr="007D3C04" w:rsidRDefault="00DC31D9" w:rsidP="00027C54">
      <w:pPr>
        <w:numPr>
          <w:ilvl w:val="0"/>
          <w:numId w:val="42"/>
        </w:numPr>
        <w:spacing w:after="0"/>
        <w:rPr>
          <w:rFonts w:ascii="Arial" w:hAnsi="Arial" w:cs="Arial"/>
        </w:rPr>
      </w:pPr>
      <w:r w:rsidRPr="007D3C04">
        <w:rPr>
          <w:rFonts w:ascii="Arial" w:hAnsi="Arial" w:cs="Arial"/>
        </w:rPr>
        <w:t xml:space="preserve">Attained (&gt;90% </w:t>
      </w:r>
      <w:r w:rsidR="009B2D9B">
        <w:rPr>
          <w:rFonts w:ascii="Arial" w:hAnsi="Arial" w:cs="Arial"/>
        </w:rPr>
        <w:t>ART)</w:t>
      </w:r>
    </w:p>
    <w:p w14:paraId="386BF5F9" w14:textId="00FA98E9" w:rsidR="00DC31D9" w:rsidRPr="007D3C04" w:rsidRDefault="00DC31D9" w:rsidP="00027C54">
      <w:pPr>
        <w:numPr>
          <w:ilvl w:val="0"/>
          <w:numId w:val="42"/>
        </w:numPr>
        <w:spacing w:after="0"/>
        <w:rPr>
          <w:rFonts w:ascii="Arial" w:hAnsi="Arial" w:cs="Arial"/>
        </w:rPr>
      </w:pPr>
      <w:r w:rsidRPr="007D3C04">
        <w:rPr>
          <w:rFonts w:ascii="Arial" w:hAnsi="Arial" w:cs="Arial"/>
        </w:rPr>
        <w:t>Scale-Up (councils with largest number of PLHIV accounting for 80% of total)</w:t>
      </w:r>
    </w:p>
    <w:p w14:paraId="1C3F4805" w14:textId="28C8D6F2" w:rsidR="009B2D9B" w:rsidRDefault="00DC31D9" w:rsidP="009B2D9B">
      <w:pPr>
        <w:numPr>
          <w:ilvl w:val="0"/>
          <w:numId w:val="42"/>
        </w:numPr>
        <w:spacing w:after="0"/>
        <w:rPr>
          <w:rFonts w:ascii="Arial" w:hAnsi="Arial" w:cs="Arial"/>
        </w:rPr>
      </w:pPr>
      <w:r w:rsidRPr="007D3C04">
        <w:rPr>
          <w:rFonts w:ascii="Arial" w:hAnsi="Arial" w:cs="Arial"/>
        </w:rPr>
        <w:t>Sustained (remainder</w:t>
      </w:r>
      <w:r w:rsidR="009B2D9B">
        <w:rPr>
          <w:rFonts w:ascii="Arial" w:hAnsi="Arial" w:cs="Arial"/>
        </w:rPr>
        <w:t>, lesser HIV burden</w:t>
      </w:r>
      <w:r w:rsidRPr="007D3C04">
        <w:rPr>
          <w:rFonts w:ascii="Arial" w:hAnsi="Arial" w:cs="Arial"/>
        </w:rPr>
        <w:t>)</w:t>
      </w:r>
    </w:p>
    <w:p w14:paraId="4C93A07C" w14:textId="77777777" w:rsidR="009B2D9B" w:rsidRDefault="009B2D9B" w:rsidP="00276364">
      <w:pPr>
        <w:spacing w:after="0"/>
        <w:ind w:left="360"/>
        <w:rPr>
          <w:rFonts w:ascii="Arial" w:hAnsi="Arial" w:cs="Arial"/>
        </w:rPr>
      </w:pPr>
    </w:p>
    <w:p w14:paraId="00DE5D6D" w14:textId="284C8298" w:rsidR="006D3341" w:rsidRDefault="009B2D9B" w:rsidP="006D3341">
      <w:pPr>
        <w:spacing w:after="0"/>
        <w:rPr>
          <w:rFonts w:ascii="Arial" w:hAnsi="Arial" w:cs="Arial"/>
        </w:rPr>
      </w:pPr>
      <w:r>
        <w:rPr>
          <w:rFonts w:ascii="Arial" w:hAnsi="Arial" w:cs="Arial"/>
        </w:rPr>
        <w:t>Resources are targeted to scale-up councils t</w:t>
      </w:r>
      <w:r w:rsidR="00DC31D9">
        <w:rPr>
          <w:rFonts w:ascii="Arial" w:hAnsi="Arial" w:cs="Arial"/>
        </w:rPr>
        <w:t>o maximize impact</w:t>
      </w:r>
      <w:r w:rsidR="00E54015">
        <w:rPr>
          <w:rFonts w:ascii="Arial" w:hAnsi="Arial" w:cs="Arial"/>
        </w:rPr>
        <w:t xml:space="preserve"> of every additional prevention dollar spent. </w:t>
      </w:r>
      <w:r w:rsidR="006D3341" w:rsidRPr="00812C85">
        <w:rPr>
          <w:rFonts w:ascii="Arial" w:hAnsi="Arial" w:cs="Arial"/>
          <w:i/>
        </w:rPr>
        <w:t xml:space="preserve">Figure </w:t>
      </w:r>
      <w:r w:rsidR="00B61AA0" w:rsidRPr="00812C85">
        <w:rPr>
          <w:rFonts w:ascii="Arial" w:hAnsi="Arial" w:cs="Arial"/>
          <w:i/>
        </w:rPr>
        <w:t>3-5</w:t>
      </w:r>
      <w:r w:rsidR="006D3341" w:rsidRPr="00650F2B">
        <w:rPr>
          <w:rFonts w:ascii="Arial" w:hAnsi="Arial" w:cs="Arial"/>
        </w:rPr>
        <w:t xml:space="preserve"> below shows </w:t>
      </w:r>
      <w:r w:rsidR="00DC31D9" w:rsidRPr="00650F2B">
        <w:rPr>
          <w:rFonts w:ascii="Arial" w:hAnsi="Arial" w:cs="Arial"/>
        </w:rPr>
        <w:t>incidence by PEPFAR council categorization</w:t>
      </w:r>
      <w:r w:rsidR="00B61AA0">
        <w:rPr>
          <w:rFonts w:ascii="Arial" w:hAnsi="Arial" w:cs="Arial"/>
        </w:rPr>
        <w:t>.</w:t>
      </w:r>
    </w:p>
    <w:p w14:paraId="4AE40483" w14:textId="77777777" w:rsidR="00B61AA0" w:rsidRDefault="00B61AA0" w:rsidP="006D3341">
      <w:pPr>
        <w:spacing w:after="0"/>
        <w:rPr>
          <w:rFonts w:ascii="Arial" w:hAnsi="Arial" w:cs="Arial"/>
        </w:rPr>
      </w:pPr>
    </w:p>
    <w:p w14:paraId="07EFBFBB" w14:textId="77777777" w:rsidR="00C00118" w:rsidRDefault="00C00118" w:rsidP="007C2BF4">
      <w:pPr>
        <w:spacing w:after="0"/>
        <w:rPr>
          <w:rFonts w:ascii="Arial" w:hAnsi="Arial" w:cs="Arial"/>
          <w:i/>
          <w:sz w:val="18"/>
        </w:rPr>
      </w:pPr>
    </w:p>
    <w:p w14:paraId="0694D8DF" w14:textId="3B51CC47" w:rsidR="006D3341" w:rsidRDefault="00B61AA0" w:rsidP="007C2BF4">
      <w:pPr>
        <w:spacing w:after="0"/>
        <w:rPr>
          <w:rFonts w:ascii="Arial" w:hAnsi="Arial" w:cs="Arial"/>
          <w:i/>
        </w:rPr>
      </w:pPr>
      <w:r w:rsidRPr="00B61AA0">
        <w:rPr>
          <w:rFonts w:ascii="Arial" w:hAnsi="Arial" w:cs="Arial"/>
          <w:i/>
          <w:sz w:val="18"/>
        </w:rPr>
        <w:t>Figure 3-5. Incidence among population 15-49 by PEPFAR council categorization</w:t>
      </w:r>
    </w:p>
    <w:p w14:paraId="0C8FA9B8" w14:textId="77761AB9" w:rsidR="006D3341" w:rsidRPr="00505F88" w:rsidRDefault="00DC31D9" w:rsidP="007C2BF4">
      <w:pPr>
        <w:spacing w:after="0"/>
        <w:rPr>
          <w:rFonts w:ascii="Arial" w:hAnsi="Arial" w:cs="Arial"/>
          <w:i/>
        </w:rPr>
      </w:pPr>
      <w:r w:rsidRPr="00275F30">
        <w:rPr>
          <w:rFonts w:ascii="Arial" w:hAnsi="Arial" w:cs="Arial"/>
          <w:noProof/>
        </w:rPr>
        <mc:AlternateContent>
          <mc:Choice Requires="wps">
            <w:drawing>
              <wp:anchor distT="0" distB="0" distL="114300" distR="114300" simplePos="0" relativeHeight="251755520" behindDoc="0" locked="0" layoutInCell="1" allowOverlap="1" wp14:anchorId="3D7F8F28" wp14:editId="6EDBA2C8">
                <wp:simplePos x="0" y="0"/>
                <wp:positionH relativeFrom="column">
                  <wp:posOffset>1466850</wp:posOffset>
                </wp:positionH>
                <wp:positionV relativeFrom="paragraph">
                  <wp:posOffset>0</wp:posOffset>
                </wp:positionV>
                <wp:extent cx="0" cy="2621280"/>
                <wp:effectExtent l="19050" t="0" r="19050" b="7620"/>
                <wp:wrapNone/>
                <wp:docPr id="12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2128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F420D6" id="Straight Connector 8"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0" to="115.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" strokecolor="black [3213]" strokeweight="2.25pt">
                <v:stroke dashstyle="dash" joinstyle="miter"/>
                <o:lock v:ext="edit" shapetype="f"/>
              </v:line>
            </w:pict>
          </mc:Fallback>
        </mc:AlternateContent>
      </w:r>
      <w:r w:rsidRPr="00275F30">
        <w:rPr>
          <w:rFonts w:ascii="Arial" w:hAnsi="Arial" w:cs="Arial"/>
          <w:noProof/>
        </w:rPr>
        <mc:AlternateContent>
          <mc:Choice Requires="wps">
            <w:drawing>
              <wp:anchor distT="0" distB="0" distL="114300" distR="114300" simplePos="0" relativeHeight="251753472" behindDoc="0" locked="0" layoutInCell="1" allowOverlap="1" wp14:anchorId="1665AD5D" wp14:editId="2E0488F0">
                <wp:simplePos x="0" y="0"/>
                <wp:positionH relativeFrom="column">
                  <wp:posOffset>3493770</wp:posOffset>
                </wp:positionH>
                <wp:positionV relativeFrom="paragraph">
                  <wp:posOffset>0</wp:posOffset>
                </wp:positionV>
                <wp:extent cx="0" cy="2621280"/>
                <wp:effectExtent l="19050" t="0" r="19050" b="7620"/>
                <wp:wrapNone/>
                <wp:docPr id="1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2128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DD5C4D" id="Straight Connector 8"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1pt,0" to="275.1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" strokecolor="black [3213]" strokeweight="2.25pt">
                <v:stroke dashstyle="dash" joinstyle="miter"/>
                <o:lock v:ext="edit" shapetype="f"/>
              </v:line>
            </w:pict>
          </mc:Fallback>
        </mc:AlternateContent>
      </w:r>
      <w:r w:rsidR="006D3341" w:rsidRPr="007D3C04">
        <w:rPr>
          <w:noProof/>
        </w:rPr>
        <w:drawing>
          <wp:inline distT="0" distB="0" distL="0" distR="0" wp14:anchorId="7841A85A" wp14:editId="4F72724D">
            <wp:extent cx="5652655" cy="2667000"/>
            <wp:effectExtent l="0" t="0" r="5715" b="0"/>
            <wp:docPr id="120" name="Chart 120">
              <a:extLst xmlns:a="http://schemas.openxmlformats.org/drawingml/2006/main">
                <a:ext uri="{FF2B5EF4-FFF2-40B4-BE49-F238E27FC236}">
                  <a16:creationId xmlns:a16="http://schemas.microsoft.com/office/drawing/2014/main" id="{99B26B38-593F-41E4-A97C-057B86368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6C9CDC" w14:textId="08EC18D5" w:rsidR="006D3341" w:rsidRPr="00505F88" w:rsidRDefault="00DC31D9" w:rsidP="007C2BF4">
      <w:pPr>
        <w:spacing w:after="0"/>
        <w:rPr>
          <w:rFonts w:ascii="Arial" w:hAnsi="Arial" w:cs="Arial"/>
        </w:rPr>
      </w:pPr>
      <w:r w:rsidRPr="00DC31D9">
        <w:rPr>
          <w:rFonts w:ascii="Arial" w:hAnsi="Arial" w:cs="Arial"/>
          <w:i/>
          <w:noProof/>
        </w:rPr>
        <mc:AlternateContent>
          <mc:Choice Requires="wps">
            <w:drawing>
              <wp:anchor distT="0" distB="0" distL="114300" distR="114300" simplePos="0" relativeHeight="251757568" behindDoc="0" locked="0" layoutInCell="1" allowOverlap="1" wp14:anchorId="5B56B161" wp14:editId="7D38C2AD">
                <wp:simplePos x="0" y="0"/>
                <wp:positionH relativeFrom="column">
                  <wp:posOffset>670560</wp:posOffset>
                </wp:positionH>
                <wp:positionV relativeFrom="paragraph">
                  <wp:posOffset>91440</wp:posOffset>
                </wp:positionV>
                <wp:extent cx="5073015" cy="368935"/>
                <wp:effectExtent l="0" t="0" r="0" b="1905"/>
                <wp:wrapNone/>
                <wp:docPr id="125" name="TextBox 6"/>
                <wp:cNvGraphicFramePr/>
                <a:graphic xmlns:a="http://schemas.openxmlformats.org/drawingml/2006/main">
                  <a:graphicData uri="http://schemas.microsoft.com/office/word/2010/wordprocessingShape">
                    <wps:wsp>
                      <wps:cNvSpPr txBox="1"/>
                      <wps:spPr>
                        <a:xfrm>
                          <a:off x="0" y="0"/>
                          <a:ext cx="5073015" cy="368935"/>
                        </a:xfrm>
                        <a:prstGeom prst="rect">
                          <a:avLst/>
                        </a:prstGeom>
                        <a:solidFill>
                          <a:schemeClr val="bg1"/>
                        </a:solidFill>
                      </wps:spPr>
                      <wps:txbx>
                        <w:txbxContent>
                          <w:p w14:paraId="49C32FC5" w14:textId="4B9AB32D" w:rsidR="00426F25" w:rsidRPr="00505F88" w:rsidRDefault="00426F25" w:rsidP="00DC31D9">
                            <w:pPr>
                              <w:rPr>
                                <w:rFonts w:ascii="Arial" w:hAnsi="Arial" w:cs="Arial"/>
                                <w:sz w:val="18"/>
                                <w:szCs w:val="24"/>
                              </w:rPr>
                            </w:pPr>
                            <w:r w:rsidRPr="00505F88">
                              <w:rPr>
                                <w:rFonts w:ascii="Arial" w:hAnsi="Arial" w:cs="Arial"/>
                                <w:color w:val="000000" w:themeColor="text1"/>
                                <w:kern w:val="24"/>
                                <w:sz w:val="24"/>
                                <w:szCs w:val="36"/>
                              </w:rPr>
                              <w:t xml:space="preserve">    Attained   </w:t>
                            </w:r>
                            <w:r>
                              <w:rPr>
                                <w:rFonts w:ascii="Arial" w:hAnsi="Arial" w:cs="Arial"/>
                                <w:color w:val="000000" w:themeColor="text1"/>
                                <w:kern w:val="24"/>
                                <w:sz w:val="24"/>
                                <w:szCs w:val="36"/>
                              </w:rPr>
                              <w:t xml:space="preserve">             </w:t>
                            </w:r>
                            <w:r w:rsidRPr="00505F88">
                              <w:rPr>
                                <w:rFonts w:ascii="Arial" w:hAnsi="Arial" w:cs="Arial"/>
                                <w:color w:val="000000" w:themeColor="text1"/>
                                <w:kern w:val="24"/>
                                <w:sz w:val="24"/>
                                <w:szCs w:val="36"/>
                              </w:rPr>
                              <w:t xml:space="preserve">Scale-up                 </w:t>
                            </w:r>
                            <w:r>
                              <w:rPr>
                                <w:rFonts w:ascii="Arial" w:hAnsi="Arial" w:cs="Arial"/>
                                <w:color w:val="000000" w:themeColor="text1"/>
                                <w:kern w:val="24"/>
                                <w:sz w:val="24"/>
                                <w:szCs w:val="36"/>
                              </w:rPr>
                              <w:t xml:space="preserve">             </w:t>
                            </w:r>
                            <w:r w:rsidRPr="00505F88">
                              <w:rPr>
                                <w:rFonts w:ascii="Arial" w:hAnsi="Arial" w:cs="Arial"/>
                                <w:color w:val="000000" w:themeColor="text1"/>
                                <w:kern w:val="24"/>
                                <w:sz w:val="24"/>
                                <w:szCs w:val="36"/>
                              </w:rPr>
                              <w:t>Sustained</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56B161" id="TextBox 6" o:spid="_x0000_s1031" type="#_x0000_t202" style="position:absolute;margin-left:52.8pt;margin-top:7.2pt;width:399.45pt;height:29.0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" fillcolor="white [3212]" stroked="f">
                <v:textbox style="mso-fit-shape-to-text:t">
                  <w:txbxContent>
                    <w:p w14:paraId="49C32FC5" w14:textId="4B9AB32D" w:rsidR="00426F25" w:rsidRPr="00505F88" w:rsidRDefault="00426F25" w:rsidP="00DC31D9">
                      <w:pPr>
                        <w:rPr>
                          <w:rFonts w:ascii="Arial" w:hAnsi="Arial" w:cs="Arial"/>
                          <w:sz w:val="18"/>
                          <w:szCs w:val="24"/>
                        </w:rPr>
                      </w:pPr>
                      <w:r w:rsidRPr="00505F88">
                        <w:rPr>
                          <w:rFonts w:ascii="Arial" w:hAnsi="Arial" w:cs="Arial"/>
                          <w:color w:val="000000" w:themeColor="text1"/>
                          <w:kern w:val="24"/>
                          <w:sz w:val="24"/>
                          <w:szCs w:val="36"/>
                        </w:rPr>
                        <w:t xml:space="preserve">    Attained   </w:t>
                      </w:r>
                      <w:r>
                        <w:rPr>
                          <w:rFonts w:ascii="Arial" w:hAnsi="Arial" w:cs="Arial"/>
                          <w:color w:val="000000" w:themeColor="text1"/>
                          <w:kern w:val="24"/>
                          <w:sz w:val="24"/>
                          <w:szCs w:val="36"/>
                        </w:rPr>
                        <w:t xml:space="preserve">             </w:t>
                      </w:r>
                      <w:r w:rsidRPr="00505F88">
                        <w:rPr>
                          <w:rFonts w:ascii="Arial" w:hAnsi="Arial" w:cs="Arial"/>
                          <w:color w:val="000000" w:themeColor="text1"/>
                          <w:kern w:val="24"/>
                          <w:sz w:val="24"/>
                          <w:szCs w:val="36"/>
                        </w:rPr>
                        <w:t xml:space="preserve">Scale-up                 </w:t>
                      </w:r>
                      <w:r>
                        <w:rPr>
                          <w:rFonts w:ascii="Arial" w:hAnsi="Arial" w:cs="Arial"/>
                          <w:color w:val="000000" w:themeColor="text1"/>
                          <w:kern w:val="24"/>
                          <w:sz w:val="24"/>
                          <w:szCs w:val="36"/>
                        </w:rPr>
                        <w:t xml:space="preserve">             </w:t>
                      </w:r>
                      <w:r w:rsidRPr="00505F88">
                        <w:rPr>
                          <w:rFonts w:ascii="Arial" w:hAnsi="Arial" w:cs="Arial"/>
                          <w:color w:val="000000" w:themeColor="text1"/>
                          <w:kern w:val="24"/>
                          <w:sz w:val="24"/>
                          <w:szCs w:val="36"/>
                        </w:rPr>
                        <w:t>Sustained</w:t>
                      </w:r>
                    </w:p>
                  </w:txbxContent>
                </v:textbox>
              </v:shape>
            </w:pict>
          </mc:Fallback>
        </mc:AlternateContent>
      </w:r>
    </w:p>
    <w:p w14:paraId="5CFE8B0F" w14:textId="77777777" w:rsidR="001263A9" w:rsidRDefault="001263A9" w:rsidP="007C2BF4">
      <w:pPr>
        <w:spacing w:after="0"/>
        <w:rPr>
          <w:rFonts w:ascii="Arial" w:hAnsi="Arial" w:cs="Arial"/>
        </w:rPr>
      </w:pPr>
    </w:p>
    <w:p w14:paraId="5561E26C" w14:textId="77777777" w:rsidR="001263A9" w:rsidRDefault="001263A9" w:rsidP="007C2BF4">
      <w:pPr>
        <w:spacing w:after="0"/>
        <w:rPr>
          <w:rFonts w:ascii="Arial" w:hAnsi="Arial" w:cs="Arial"/>
        </w:rPr>
      </w:pPr>
    </w:p>
    <w:p w14:paraId="470EF048" w14:textId="292C08C5" w:rsidR="00DC31D9" w:rsidRPr="00505F88" w:rsidRDefault="00E54015" w:rsidP="007C2BF4">
      <w:pPr>
        <w:spacing w:after="0"/>
        <w:rPr>
          <w:rFonts w:ascii="Arial" w:hAnsi="Arial" w:cs="Arial"/>
        </w:rPr>
      </w:pPr>
      <w:r>
        <w:rPr>
          <w:rFonts w:ascii="Arial" w:hAnsi="Arial" w:cs="Arial"/>
        </w:rPr>
        <w:t>The Goals-Spectrum model used updated council epidemiological information and the most recent unit costs to assess which councils would have the lowest cost per infection averted and recommend which councils should be prioritized moving forward. W</w:t>
      </w:r>
      <w:r w:rsidR="000F5E56">
        <w:rPr>
          <w:rFonts w:ascii="Arial" w:hAnsi="Arial" w:cs="Arial"/>
        </w:rPr>
        <w:t>hen th</w:t>
      </w:r>
      <w:r>
        <w:rPr>
          <w:rFonts w:ascii="Arial" w:hAnsi="Arial" w:cs="Arial"/>
        </w:rPr>
        <w:t>ese results were compared to the current</w:t>
      </w:r>
      <w:r w:rsidR="000F5E56">
        <w:rPr>
          <w:rFonts w:ascii="Arial" w:hAnsi="Arial" w:cs="Arial"/>
        </w:rPr>
        <w:t xml:space="preserve"> geographic allocation of PEPFAR funding</w:t>
      </w:r>
      <w:r w:rsidR="005D2FBB">
        <w:rPr>
          <w:rFonts w:ascii="Arial" w:hAnsi="Arial" w:cs="Arial"/>
        </w:rPr>
        <w:t xml:space="preserve">, </w:t>
      </w:r>
      <w:r w:rsidR="000F5E56">
        <w:rPr>
          <w:rFonts w:ascii="Arial" w:hAnsi="Arial" w:cs="Arial"/>
        </w:rPr>
        <w:t>it was found that near-optimal geographic had already been achieved.</w:t>
      </w:r>
      <w:r>
        <w:rPr>
          <w:rFonts w:ascii="Arial" w:hAnsi="Arial" w:cs="Arial"/>
        </w:rPr>
        <w:t xml:space="preserve"> This finding was surprising but reflects the effectiveness of previous geographic prioritization efforts</w:t>
      </w:r>
      <w:r w:rsidR="00BF1723">
        <w:rPr>
          <w:rFonts w:ascii="Arial" w:hAnsi="Arial" w:cs="Arial"/>
        </w:rPr>
        <w:t xml:space="preserve"> by PEPFAR and government partners.</w:t>
      </w:r>
      <w:r w:rsidR="001F1B8D">
        <w:rPr>
          <w:rFonts w:ascii="Arial" w:hAnsi="Arial" w:cs="Arial"/>
        </w:rPr>
        <w:t xml:space="preserve"> Annex 6 shows the results from the geographic prioritization exercise. </w:t>
      </w:r>
    </w:p>
    <w:p w14:paraId="56C330DC" w14:textId="77777777" w:rsidR="00DC31D9" w:rsidRDefault="00DC31D9" w:rsidP="007C2BF4">
      <w:pPr>
        <w:spacing w:after="0"/>
        <w:rPr>
          <w:rFonts w:ascii="Arial" w:hAnsi="Arial" w:cs="Arial"/>
          <w:b/>
          <w:u w:val="single"/>
        </w:rPr>
      </w:pPr>
    </w:p>
    <w:p w14:paraId="0E201B66" w14:textId="349F8451" w:rsidR="007C2BF4" w:rsidRPr="007C2BF4" w:rsidRDefault="007C2BF4" w:rsidP="007C2BF4">
      <w:pPr>
        <w:spacing w:after="0"/>
        <w:rPr>
          <w:rFonts w:ascii="Arial" w:hAnsi="Arial" w:cs="Arial"/>
          <w:b/>
          <w:u w:val="single"/>
        </w:rPr>
      </w:pPr>
      <w:r w:rsidRPr="007C2BF4">
        <w:rPr>
          <w:rFonts w:ascii="Arial" w:hAnsi="Arial" w:cs="Arial"/>
          <w:b/>
          <w:u w:val="single"/>
        </w:rPr>
        <w:t>Technical efficiencies</w:t>
      </w:r>
      <w:r w:rsidR="007A3FED">
        <w:rPr>
          <w:rFonts w:ascii="Arial" w:hAnsi="Arial" w:cs="Arial"/>
          <w:b/>
          <w:u w:val="single"/>
        </w:rPr>
        <w:t xml:space="preserve"> in ART delivery</w:t>
      </w:r>
    </w:p>
    <w:p w14:paraId="56BABB9F" w14:textId="77777777" w:rsidR="00182300" w:rsidRPr="00BF0884" w:rsidRDefault="00182300" w:rsidP="00182300">
      <w:pPr>
        <w:spacing w:after="0"/>
        <w:rPr>
          <w:rFonts w:ascii="Arial" w:hAnsi="Arial" w:cs="Arial"/>
        </w:rPr>
      </w:pPr>
    </w:p>
    <w:p w14:paraId="02DB2657" w14:textId="60B5C3C3" w:rsidR="0073798F" w:rsidRDefault="00182300" w:rsidP="00182300">
      <w:pPr>
        <w:spacing w:after="0" w:line="256" w:lineRule="auto"/>
        <w:rPr>
          <w:rFonts w:ascii="Arial" w:hAnsi="Arial" w:cs="Arial"/>
        </w:rPr>
      </w:pPr>
      <w:r w:rsidRPr="00BF0884">
        <w:rPr>
          <w:rFonts w:ascii="Arial" w:hAnsi="Arial" w:cs="Arial"/>
        </w:rPr>
        <w:t xml:space="preserve">In </w:t>
      </w:r>
      <w:r w:rsidR="0073798F">
        <w:rPr>
          <w:rFonts w:ascii="Arial" w:hAnsi="Arial" w:cs="Arial"/>
        </w:rPr>
        <w:t xml:space="preserve">IC </w:t>
      </w:r>
      <w:r>
        <w:rPr>
          <w:rFonts w:ascii="Arial" w:hAnsi="Arial" w:cs="Arial"/>
        </w:rPr>
        <w:t>1.0</w:t>
      </w:r>
      <w:r w:rsidR="0073798F">
        <w:rPr>
          <w:rFonts w:ascii="Arial" w:hAnsi="Arial" w:cs="Arial"/>
        </w:rPr>
        <w:t xml:space="preserve"> actions</w:t>
      </w:r>
      <w:r w:rsidR="00390AA9" w:rsidRPr="00BF0884">
        <w:rPr>
          <w:rFonts w:ascii="Arial" w:hAnsi="Arial" w:cs="Arial"/>
        </w:rPr>
        <w:t xml:space="preserve"> </w:t>
      </w:r>
      <w:r w:rsidRPr="00BF0884">
        <w:rPr>
          <w:rFonts w:ascii="Arial" w:hAnsi="Arial" w:cs="Arial"/>
        </w:rPr>
        <w:t xml:space="preserve">that could help increase coverage </w:t>
      </w:r>
      <w:r w:rsidR="003C5BD5">
        <w:rPr>
          <w:rFonts w:ascii="Arial" w:hAnsi="Arial" w:cs="Arial"/>
        </w:rPr>
        <w:t>(e.g., adherence clubs</w:t>
      </w:r>
      <w:r w:rsidR="00390AA9">
        <w:rPr>
          <w:rFonts w:ascii="Arial" w:hAnsi="Arial" w:cs="Arial"/>
        </w:rPr>
        <w:t xml:space="preserve">, scaling up cash transfers, scale-up of index testing) </w:t>
      </w:r>
      <w:r w:rsidRPr="00BF0884">
        <w:rPr>
          <w:rFonts w:ascii="Arial" w:hAnsi="Arial" w:cs="Arial"/>
        </w:rPr>
        <w:t xml:space="preserve">but would at the same time require greater </w:t>
      </w:r>
      <w:r w:rsidR="003C5BD5">
        <w:rPr>
          <w:rFonts w:ascii="Arial" w:hAnsi="Arial" w:cs="Arial"/>
        </w:rPr>
        <w:t xml:space="preserve">financial </w:t>
      </w:r>
      <w:r w:rsidRPr="00BF0884">
        <w:rPr>
          <w:rFonts w:ascii="Arial" w:hAnsi="Arial" w:cs="Arial"/>
        </w:rPr>
        <w:t xml:space="preserve">outlays were also included in the </w:t>
      </w:r>
      <w:r w:rsidR="00A2301F">
        <w:rPr>
          <w:rFonts w:ascii="Arial" w:hAnsi="Arial" w:cs="Arial"/>
        </w:rPr>
        <w:t xml:space="preserve">IC 1.0 </w:t>
      </w:r>
      <w:r w:rsidRPr="00BF0884">
        <w:rPr>
          <w:rFonts w:ascii="Arial" w:hAnsi="Arial" w:cs="Arial"/>
        </w:rPr>
        <w:t>description</w:t>
      </w:r>
      <w:r w:rsidR="00A2301F">
        <w:rPr>
          <w:rFonts w:ascii="Arial" w:hAnsi="Arial" w:cs="Arial"/>
        </w:rPr>
        <w:t xml:space="preserve"> and modeling</w:t>
      </w:r>
      <w:r w:rsidRPr="00BF0884">
        <w:rPr>
          <w:rFonts w:ascii="Arial" w:hAnsi="Arial" w:cs="Arial"/>
        </w:rPr>
        <w:t xml:space="preserve"> of </w:t>
      </w:r>
      <w:r w:rsidR="00501EA7">
        <w:rPr>
          <w:rFonts w:ascii="Arial" w:hAnsi="Arial" w:cs="Arial"/>
        </w:rPr>
        <w:t>innovations</w:t>
      </w:r>
      <w:r w:rsidRPr="00BF0884">
        <w:rPr>
          <w:rFonts w:ascii="Arial" w:hAnsi="Arial" w:cs="Arial"/>
        </w:rPr>
        <w:t>.</w:t>
      </w:r>
      <w:r>
        <w:rPr>
          <w:rFonts w:ascii="Arial" w:hAnsi="Arial" w:cs="Arial"/>
        </w:rPr>
        <w:t xml:space="preserve"> </w:t>
      </w:r>
      <w:r w:rsidR="00A2301F">
        <w:rPr>
          <w:rFonts w:ascii="Arial" w:hAnsi="Arial" w:cs="Arial"/>
        </w:rPr>
        <w:t xml:space="preserve">Progress on these is described in </w:t>
      </w:r>
      <w:r w:rsidR="00A2301F" w:rsidRPr="00444084">
        <w:rPr>
          <w:rFonts w:ascii="Arial" w:hAnsi="Arial" w:cs="Arial"/>
          <w:i/>
        </w:rPr>
        <w:t>Figure 2-8</w:t>
      </w:r>
      <w:r w:rsidR="00A2301F">
        <w:rPr>
          <w:rFonts w:ascii="Arial" w:hAnsi="Arial" w:cs="Arial"/>
        </w:rPr>
        <w:t xml:space="preserve">.  </w:t>
      </w:r>
    </w:p>
    <w:p w14:paraId="26630FA7" w14:textId="77777777" w:rsidR="0073798F" w:rsidRDefault="0073798F" w:rsidP="00182300">
      <w:pPr>
        <w:spacing w:after="0" w:line="256" w:lineRule="auto"/>
        <w:rPr>
          <w:rFonts w:ascii="Arial" w:hAnsi="Arial" w:cs="Arial"/>
        </w:rPr>
      </w:pPr>
    </w:p>
    <w:p w14:paraId="798A4E44" w14:textId="66A3E533" w:rsidR="008E4A35" w:rsidRDefault="00182300" w:rsidP="003E5B97">
      <w:pPr>
        <w:rPr>
          <w:rFonts w:ascii="Arial" w:hAnsi="Arial" w:cs="Arial"/>
        </w:rPr>
      </w:pPr>
      <w:r w:rsidRPr="00BF0884">
        <w:rPr>
          <w:rFonts w:ascii="Arial" w:hAnsi="Arial" w:cs="Arial"/>
        </w:rPr>
        <w:t xml:space="preserve">In </w:t>
      </w:r>
      <w:r w:rsidR="0073798F">
        <w:rPr>
          <w:rFonts w:ascii="Arial" w:hAnsi="Arial" w:cs="Arial"/>
        </w:rPr>
        <w:t>IC 2.0</w:t>
      </w:r>
      <w:r w:rsidRPr="00BF0884">
        <w:rPr>
          <w:rFonts w:ascii="Arial" w:hAnsi="Arial" w:cs="Arial"/>
        </w:rPr>
        <w:t xml:space="preserve">, technical efficiencies were limited to only those </w:t>
      </w:r>
      <w:r w:rsidR="00501EA7">
        <w:rPr>
          <w:rFonts w:ascii="Arial" w:hAnsi="Arial" w:cs="Arial"/>
        </w:rPr>
        <w:t>actions that would reduce the unit cost of delivering HIV services</w:t>
      </w:r>
      <w:r w:rsidR="00501EA7" w:rsidRPr="00BF0884" w:rsidDel="00501EA7">
        <w:rPr>
          <w:rFonts w:ascii="Arial" w:hAnsi="Arial" w:cs="Arial"/>
        </w:rPr>
        <w:t xml:space="preserve"> </w:t>
      </w:r>
      <w:r w:rsidR="00501EA7">
        <w:rPr>
          <w:rFonts w:ascii="Arial" w:hAnsi="Arial" w:cs="Arial"/>
        </w:rPr>
        <w:t>so that more service coverage can be achieved with the same amount of money, or the same level of coverage can be reached while spending less and saving money.</w:t>
      </w:r>
      <w:r w:rsidRPr="00BF0884">
        <w:rPr>
          <w:rFonts w:ascii="Arial" w:hAnsi="Arial" w:cs="Arial"/>
        </w:rPr>
        <w:t xml:space="preserve"> </w:t>
      </w:r>
      <w:r w:rsidR="0073798F">
        <w:rPr>
          <w:rFonts w:ascii="Arial" w:hAnsi="Arial" w:cs="Arial"/>
        </w:rPr>
        <w:t xml:space="preserve">These included </w:t>
      </w:r>
      <w:r w:rsidR="0073798F" w:rsidRPr="00BF0884">
        <w:rPr>
          <w:rFonts w:ascii="Arial" w:hAnsi="Arial" w:cs="Arial"/>
        </w:rPr>
        <w:t xml:space="preserve">new or shifted policies </w:t>
      </w:r>
      <w:r w:rsidR="0073798F">
        <w:rPr>
          <w:rFonts w:ascii="Arial" w:hAnsi="Arial" w:cs="Arial"/>
        </w:rPr>
        <w:t xml:space="preserve">(e.g., VL monitoring frequency, use of multi-month ARV scripts) or technology changes (e.g., introduction of new ARV combinations) </w:t>
      </w:r>
      <w:r w:rsidR="0073798F" w:rsidRPr="00BF0884">
        <w:rPr>
          <w:rFonts w:ascii="Arial" w:hAnsi="Arial" w:cs="Arial"/>
        </w:rPr>
        <w:t>that would achieve the same or greater impact for a lower cost</w:t>
      </w:r>
      <w:r w:rsidR="0073798F">
        <w:rPr>
          <w:rFonts w:ascii="Arial" w:hAnsi="Arial" w:cs="Arial"/>
        </w:rPr>
        <w:t xml:space="preserve">.  The list of technical efficiencies used in IC 2.0 </w:t>
      </w:r>
      <w:bookmarkEnd w:id="58"/>
      <w:r w:rsidR="008E4A35" w:rsidRPr="00505F88">
        <w:rPr>
          <w:rFonts w:ascii="Arial" w:hAnsi="Arial" w:cs="Arial"/>
        </w:rPr>
        <w:t xml:space="preserve">is described in Annex </w:t>
      </w:r>
      <w:r w:rsidR="008544A5">
        <w:rPr>
          <w:rFonts w:ascii="Arial" w:hAnsi="Arial" w:cs="Arial"/>
        </w:rPr>
        <w:t>6</w:t>
      </w:r>
      <w:r w:rsidR="0073798F">
        <w:rPr>
          <w:rFonts w:ascii="Arial" w:hAnsi="Arial" w:cs="Arial"/>
        </w:rPr>
        <w:t xml:space="preserve">, and the calculation of savings is </w:t>
      </w:r>
      <w:r w:rsidR="00833D12">
        <w:rPr>
          <w:rFonts w:ascii="Arial" w:hAnsi="Arial" w:cs="Arial"/>
        </w:rPr>
        <w:t>shown</w:t>
      </w:r>
      <w:r w:rsidR="00E519E4">
        <w:rPr>
          <w:rFonts w:ascii="Arial" w:hAnsi="Arial" w:cs="Arial"/>
        </w:rPr>
        <w:t xml:space="preserve"> in Annex 7. </w:t>
      </w:r>
    </w:p>
    <w:p w14:paraId="619730E1" w14:textId="76EB0A97" w:rsidR="007A3FED" w:rsidRPr="007A3FED" w:rsidRDefault="007A3FED" w:rsidP="003E5B97">
      <w:pPr>
        <w:rPr>
          <w:rFonts w:ascii="Arial" w:hAnsi="Arial" w:cs="Arial"/>
          <w:b/>
          <w:bCs/>
          <w:u w:val="single"/>
        </w:rPr>
      </w:pPr>
      <w:r w:rsidRPr="007A3FED">
        <w:rPr>
          <w:rFonts w:ascii="Arial" w:hAnsi="Arial" w:cs="Arial"/>
          <w:b/>
          <w:bCs/>
          <w:u w:val="single"/>
        </w:rPr>
        <w:t>Efficient testing strategy</w:t>
      </w:r>
    </w:p>
    <w:p w14:paraId="3905AD4E" w14:textId="7E5E7A8F" w:rsidR="007A3FED" w:rsidRDefault="007A3FED" w:rsidP="003E5B97">
      <w:pPr>
        <w:rPr>
          <w:rFonts w:ascii="Arial" w:hAnsi="Arial" w:cs="Arial"/>
          <w:bCs/>
          <w:sz w:val="16"/>
        </w:rPr>
      </w:pPr>
      <w:r w:rsidRPr="00D8180A">
        <w:rPr>
          <w:rFonts w:ascii="Arial" w:hAnsi="Arial" w:cs="Arial"/>
        </w:rPr>
        <w:t xml:space="preserve">To </w:t>
      </w:r>
      <w:r>
        <w:rPr>
          <w:rFonts w:ascii="Arial" w:hAnsi="Arial" w:cs="Arial"/>
        </w:rPr>
        <w:t>identify a cost-effective testing strategy to reach the first 90 target and asses</w:t>
      </w:r>
      <w:r w:rsidR="00782143">
        <w:rPr>
          <w:rFonts w:ascii="Arial" w:hAnsi="Arial" w:cs="Arial"/>
        </w:rPr>
        <w:t>s</w:t>
      </w:r>
      <w:r>
        <w:rPr>
          <w:rFonts w:ascii="Arial" w:hAnsi="Arial" w:cs="Arial"/>
        </w:rPr>
        <w:t xml:space="preserve"> the related costs, the new Spectrum-Goals testing module was used. This new module </w:t>
      </w:r>
      <w:r w:rsidR="00782143">
        <w:rPr>
          <w:rFonts w:ascii="Arial" w:hAnsi="Arial" w:cs="Arial"/>
        </w:rPr>
        <w:t>has been</w:t>
      </w:r>
      <w:r>
        <w:rPr>
          <w:rFonts w:ascii="Arial" w:hAnsi="Arial" w:cs="Arial"/>
        </w:rPr>
        <w:t xml:space="preserve"> incorporated into the impact model described in Annex 3.</w:t>
      </w:r>
    </w:p>
    <w:p w14:paraId="7C043DFA" w14:textId="42F5DD0B" w:rsidR="007A3FED" w:rsidRPr="003E62FC" w:rsidRDefault="007A3FED" w:rsidP="003E5B97">
      <w:pPr>
        <w:rPr>
          <w:rFonts w:ascii="Arial" w:hAnsi="Arial" w:cs="Arial"/>
          <w:bCs/>
          <w:sz w:val="16"/>
        </w:rPr>
      </w:pPr>
      <w:r>
        <w:rPr>
          <w:rFonts w:ascii="Arial" w:hAnsi="Arial" w:cs="Arial"/>
        </w:rPr>
        <w:t>The new testing module first identifies a possible screening strategy to reach the target of 90% of PLHIV aware of their status by 202</w:t>
      </w:r>
      <w:r w:rsidR="00782143">
        <w:rPr>
          <w:rFonts w:ascii="Arial" w:hAnsi="Arial" w:cs="Arial"/>
        </w:rPr>
        <w:t>5</w:t>
      </w:r>
      <w:r>
        <w:rPr>
          <w:rFonts w:ascii="Arial" w:hAnsi="Arial" w:cs="Arial"/>
        </w:rPr>
        <w:t>. This</w:t>
      </w:r>
      <w:r w:rsidR="00782143">
        <w:rPr>
          <w:rFonts w:ascii="Arial" w:hAnsi="Arial" w:cs="Arial"/>
        </w:rPr>
        <w:t xml:space="preserve"> module uses previous program yield data and known unit costs to assess the cost-effectiveness of various </w:t>
      </w:r>
      <w:r>
        <w:rPr>
          <w:rFonts w:ascii="Arial" w:hAnsi="Arial" w:cs="Arial"/>
        </w:rPr>
        <w:t>screening modalities (VCT, PITC, community-based screening, self-testing) targeted at specific population groups</w:t>
      </w:r>
      <w:r w:rsidR="00782143">
        <w:rPr>
          <w:rFonts w:ascii="Arial" w:hAnsi="Arial" w:cs="Arial"/>
        </w:rPr>
        <w:t xml:space="preserve"> and then identify the most cost-effective strategy combination of modality to reach the set testing target (the first 90 in the case of Tanzania).</w:t>
      </w:r>
      <w:r>
        <w:rPr>
          <w:rFonts w:ascii="Arial" w:hAnsi="Arial" w:cs="Arial"/>
        </w:rPr>
        <w:t xml:space="preserve"> The module calculates </w:t>
      </w:r>
      <w:r w:rsidR="00782143">
        <w:rPr>
          <w:rFonts w:ascii="Arial" w:hAnsi="Arial" w:cs="Arial"/>
        </w:rPr>
        <w:t xml:space="preserve">both </w:t>
      </w:r>
      <w:r>
        <w:rPr>
          <w:rFonts w:ascii="Arial" w:hAnsi="Arial" w:cs="Arial"/>
        </w:rPr>
        <w:t>the</w:t>
      </w:r>
      <w:r w:rsidR="00782143">
        <w:rPr>
          <w:rFonts w:ascii="Arial" w:hAnsi="Arial" w:cs="Arial"/>
        </w:rPr>
        <w:t xml:space="preserve"> annual</w:t>
      </w:r>
      <w:r>
        <w:rPr>
          <w:rFonts w:ascii="Arial" w:hAnsi="Arial" w:cs="Arial"/>
        </w:rPr>
        <w:t xml:space="preserve"> </w:t>
      </w:r>
      <w:r w:rsidR="00782143">
        <w:rPr>
          <w:rFonts w:ascii="Arial" w:hAnsi="Arial" w:cs="Arial"/>
        </w:rPr>
        <w:t xml:space="preserve">volume </w:t>
      </w:r>
      <w:r>
        <w:rPr>
          <w:rFonts w:ascii="Arial" w:hAnsi="Arial" w:cs="Arial"/>
        </w:rPr>
        <w:t>of tests for each modality</w:t>
      </w:r>
      <w:r w:rsidR="00782143">
        <w:rPr>
          <w:rFonts w:ascii="Arial" w:hAnsi="Arial" w:cs="Arial"/>
        </w:rPr>
        <w:t xml:space="preserve"> required </w:t>
      </w:r>
      <w:r>
        <w:rPr>
          <w:rFonts w:ascii="Arial" w:hAnsi="Arial" w:cs="Arial"/>
        </w:rPr>
        <w:t>and also the associated costs of implementation</w:t>
      </w:r>
      <w:r w:rsidR="00782143">
        <w:rPr>
          <w:rFonts w:ascii="Arial" w:hAnsi="Arial" w:cs="Arial"/>
        </w:rPr>
        <w:t xml:space="preserve"> at scale.</w:t>
      </w:r>
    </w:p>
    <w:p w14:paraId="6E5CEB0F" w14:textId="77777777" w:rsidR="003C54E8" w:rsidRPr="00646F6C" w:rsidRDefault="003C54E8" w:rsidP="003C54E8">
      <w:pPr>
        <w:pStyle w:val="Heading3"/>
        <w:rPr>
          <w:rFonts w:ascii="Arial" w:hAnsi="Arial" w:cs="Arial"/>
          <w:i/>
          <w:iCs/>
          <w:color w:val="000000" w:themeColor="text1"/>
        </w:rPr>
      </w:pPr>
      <w:bookmarkStart w:id="63" w:name="_Toc57035159"/>
      <w:r w:rsidRPr="00646F6C">
        <w:rPr>
          <w:rFonts w:ascii="Arial" w:hAnsi="Arial" w:cs="Arial"/>
          <w:i/>
          <w:iCs/>
          <w:color w:val="000000" w:themeColor="text1"/>
        </w:rPr>
        <w:t>Resource mobilization</w:t>
      </w:r>
      <w:bookmarkEnd w:id="63"/>
    </w:p>
    <w:p w14:paraId="7DB28A45" w14:textId="77777777" w:rsidR="003C54E8" w:rsidRDefault="003C54E8" w:rsidP="003C54E8">
      <w:pPr>
        <w:spacing w:after="0"/>
        <w:rPr>
          <w:rFonts w:ascii="Arial" w:hAnsi="Arial" w:cs="Arial"/>
        </w:rPr>
      </w:pPr>
    </w:p>
    <w:p w14:paraId="456F6197" w14:textId="5CFFC6AE" w:rsidR="003C54E8" w:rsidRDefault="003C54E8" w:rsidP="003C54E8">
      <w:pPr>
        <w:spacing w:after="0"/>
        <w:rPr>
          <w:rFonts w:ascii="Arial" w:hAnsi="Arial" w:cs="Arial"/>
        </w:rPr>
      </w:pPr>
      <w:r>
        <w:rPr>
          <w:rFonts w:ascii="Arial" w:hAnsi="Arial" w:cs="Arial"/>
        </w:rPr>
        <w:t xml:space="preserve">In IC 2.0, domestic resource mobilization options are explored, using macroeconomic and fiscal analysis and comparison to other country benchmarks, and weighing a range of options including general taxation, government health insurance, and earmarked resources channels through special-purpose funds (see Chapter 7). </w:t>
      </w:r>
    </w:p>
    <w:p w14:paraId="69F7C3C6" w14:textId="77777777" w:rsidR="00C00118" w:rsidRDefault="00C00118" w:rsidP="00A974AF">
      <w:pPr>
        <w:pStyle w:val="Heading3"/>
        <w:rPr>
          <w:rFonts w:ascii="Arial" w:hAnsi="Arial" w:cs="Arial"/>
          <w:i/>
          <w:color w:val="000000" w:themeColor="text1"/>
        </w:rPr>
      </w:pPr>
    </w:p>
    <w:p w14:paraId="30769117" w14:textId="5305D29E" w:rsidR="00D8180A" w:rsidRDefault="00D8180A" w:rsidP="00A974AF">
      <w:pPr>
        <w:pStyle w:val="Heading3"/>
        <w:rPr>
          <w:rFonts w:ascii="Arial" w:hAnsi="Arial" w:cs="Arial"/>
          <w:i/>
          <w:color w:val="000000" w:themeColor="text1"/>
        </w:rPr>
      </w:pPr>
      <w:bookmarkStart w:id="64" w:name="_Toc57035160"/>
      <w:r w:rsidRPr="00D8180A">
        <w:rPr>
          <w:rFonts w:ascii="Arial" w:hAnsi="Arial" w:cs="Arial"/>
          <w:i/>
          <w:color w:val="000000" w:themeColor="text1"/>
        </w:rPr>
        <w:t>Targeted program analyses</w:t>
      </w:r>
      <w:r w:rsidR="007E0B34">
        <w:rPr>
          <w:rFonts w:ascii="Arial" w:hAnsi="Arial" w:cs="Arial"/>
          <w:i/>
          <w:color w:val="000000" w:themeColor="text1"/>
        </w:rPr>
        <w:t>: AGYW</w:t>
      </w:r>
      <w:bookmarkEnd w:id="64"/>
      <w:r w:rsidR="007E0B34">
        <w:rPr>
          <w:rFonts w:ascii="Arial" w:hAnsi="Arial" w:cs="Arial"/>
          <w:i/>
          <w:color w:val="000000" w:themeColor="text1"/>
        </w:rPr>
        <w:t xml:space="preserve"> </w:t>
      </w:r>
    </w:p>
    <w:p w14:paraId="23CD4076" w14:textId="142EB228" w:rsidR="00D8180A" w:rsidRDefault="00D8180A" w:rsidP="00A974AF">
      <w:pPr>
        <w:spacing w:after="0"/>
      </w:pPr>
    </w:p>
    <w:p w14:paraId="20211FFB" w14:textId="261FAD49" w:rsidR="002F12CE" w:rsidRDefault="002F12CE" w:rsidP="00650F2B">
      <w:pPr>
        <w:rPr>
          <w:rFonts w:ascii="Arial" w:hAnsi="Arial" w:cs="Arial"/>
        </w:rPr>
      </w:pPr>
      <w:bookmarkStart w:id="65" w:name="_Hlk11356764"/>
      <w:r>
        <w:rPr>
          <w:rFonts w:ascii="Arial" w:hAnsi="Arial" w:cs="Arial"/>
        </w:rPr>
        <w:t xml:space="preserve">Because AGYW interventions were not prioritized on the basis of cost-effectiveness in the Optimization exercises, Chapter 8 of IC 2.0 is devoted to discussing </w:t>
      </w:r>
      <w:r w:rsidR="00D8180A">
        <w:rPr>
          <w:rFonts w:ascii="Arial" w:hAnsi="Arial" w:cs="Arial"/>
        </w:rPr>
        <w:t xml:space="preserve">the costs and </w:t>
      </w:r>
      <w:r w:rsidR="005A5F86">
        <w:rPr>
          <w:rFonts w:ascii="Arial" w:hAnsi="Arial" w:cs="Arial"/>
        </w:rPr>
        <w:t xml:space="preserve">benefits of </w:t>
      </w:r>
      <w:r w:rsidR="00782143">
        <w:rPr>
          <w:rFonts w:ascii="Arial" w:hAnsi="Arial" w:cs="Arial"/>
        </w:rPr>
        <w:t>scaling-up a comprehensive package of prevention interventions</w:t>
      </w:r>
      <w:r w:rsidR="00AE41AB">
        <w:rPr>
          <w:rFonts w:ascii="Arial" w:hAnsi="Arial" w:cs="Arial"/>
        </w:rPr>
        <w:t xml:space="preserve"> to address the critical challenge of increasing incidence among AGYW</w:t>
      </w:r>
      <w:r>
        <w:rPr>
          <w:rFonts w:ascii="Arial" w:hAnsi="Arial" w:cs="Arial"/>
        </w:rPr>
        <w:t>. For this analysis,</w:t>
      </w:r>
      <w:r w:rsidR="00782143">
        <w:rPr>
          <w:rFonts w:ascii="Arial" w:hAnsi="Arial" w:cs="Arial"/>
        </w:rPr>
        <w:t xml:space="preserve"> another </w:t>
      </w:r>
      <w:r w:rsidR="005A5F86">
        <w:rPr>
          <w:rFonts w:ascii="Arial" w:hAnsi="Arial" w:cs="Arial"/>
        </w:rPr>
        <w:t xml:space="preserve">new Spectrum-Goals module </w:t>
      </w:r>
      <w:r w:rsidR="00AE41AB">
        <w:rPr>
          <w:rFonts w:ascii="Arial" w:hAnsi="Arial" w:cs="Arial"/>
        </w:rPr>
        <w:t>was used that was designed</w:t>
      </w:r>
      <w:r w:rsidR="00CC2044">
        <w:rPr>
          <w:rFonts w:ascii="Arial" w:hAnsi="Arial" w:cs="Arial"/>
        </w:rPr>
        <w:t xml:space="preserve"> specifically</w:t>
      </w:r>
      <w:r w:rsidR="00AE41AB">
        <w:rPr>
          <w:rFonts w:ascii="Arial" w:hAnsi="Arial" w:cs="Arial"/>
        </w:rPr>
        <w:t xml:space="preserve"> as a tool for guiding AGYW program scale-up</w:t>
      </w:r>
      <w:r>
        <w:rPr>
          <w:rFonts w:ascii="Arial" w:hAnsi="Arial" w:cs="Arial"/>
        </w:rPr>
        <w:t>.</w:t>
      </w:r>
    </w:p>
    <w:p w14:paraId="71B95774" w14:textId="02D99D93" w:rsidR="003C54E8" w:rsidRPr="00276364" w:rsidRDefault="0053791F" w:rsidP="009E699B">
      <w:pPr>
        <w:spacing w:after="0"/>
        <w:rPr>
          <w:rFonts w:ascii="Arial" w:hAnsi="Arial" w:cs="Arial"/>
        </w:rPr>
      </w:pPr>
      <w:r>
        <w:rPr>
          <w:rFonts w:ascii="Arial" w:hAnsi="Arial" w:cs="Arial"/>
        </w:rPr>
        <w:t xml:space="preserve">The comprehensive </w:t>
      </w:r>
      <w:r w:rsidR="00C86D0D">
        <w:rPr>
          <w:rFonts w:ascii="Arial" w:hAnsi="Arial" w:cs="Arial"/>
        </w:rPr>
        <w:t>AGYW</w:t>
      </w:r>
      <w:r>
        <w:rPr>
          <w:rFonts w:ascii="Arial" w:hAnsi="Arial" w:cs="Arial"/>
        </w:rPr>
        <w:t xml:space="preserve"> p</w:t>
      </w:r>
      <w:r w:rsidR="0075404D">
        <w:rPr>
          <w:rFonts w:ascii="Arial" w:hAnsi="Arial" w:cs="Arial"/>
        </w:rPr>
        <w:t>ackage</w:t>
      </w:r>
      <w:r>
        <w:rPr>
          <w:rFonts w:ascii="Arial" w:hAnsi="Arial" w:cs="Arial"/>
        </w:rPr>
        <w:t xml:space="preserve"> was defined as condom use, PrEP, comprehensive sexuality education,</w:t>
      </w:r>
      <w:r w:rsidR="00ED5792">
        <w:rPr>
          <w:rFonts w:ascii="Arial" w:hAnsi="Arial" w:cs="Arial"/>
        </w:rPr>
        <w:t xml:space="preserve"> and</w:t>
      </w:r>
      <w:r>
        <w:rPr>
          <w:rFonts w:ascii="Arial" w:hAnsi="Arial" w:cs="Arial"/>
        </w:rPr>
        <w:t xml:space="preserve"> economic empowerment</w:t>
      </w:r>
      <w:r w:rsidR="00ED5792">
        <w:rPr>
          <w:rFonts w:ascii="Arial" w:hAnsi="Arial" w:cs="Arial"/>
        </w:rPr>
        <w:t xml:space="preserve">. Interventions for ABYM included </w:t>
      </w:r>
      <w:r>
        <w:rPr>
          <w:rFonts w:ascii="Arial" w:hAnsi="Arial" w:cs="Arial"/>
        </w:rPr>
        <w:t xml:space="preserve">VMMC. </w:t>
      </w:r>
      <w:r w:rsidR="002F12CE">
        <w:rPr>
          <w:rFonts w:ascii="Arial" w:hAnsi="Arial" w:cs="Arial"/>
        </w:rPr>
        <w:t>T</w:t>
      </w:r>
      <w:r w:rsidR="009E699B">
        <w:rPr>
          <w:rFonts w:ascii="Arial" w:hAnsi="Arial" w:cs="Arial"/>
        </w:rPr>
        <w:t xml:space="preserve">hese interventions </w:t>
      </w:r>
      <w:r w:rsidR="00FC00DE">
        <w:rPr>
          <w:rFonts w:ascii="Arial" w:hAnsi="Arial" w:cs="Arial"/>
        </w:rPr>
        <w:t xml:space="preserve">are </w:t>
      </w:r>
      <w:r w:rsidR="009E699B">
        <w:rPr>
          <w:rFonts w:ascii="Arial" w:hAnsi="Arial" w:cs="Arial"/>
        </w:rPr>
        <w:t xml:space="preserve">scaled up in high and medium incidence regions to a higher degree </w:t>
      </w:r>
      <w:r w:rsidR="00FC00DE">
        <w:rPr>
          <w:rFonts w:ascii="Arial" w:hAnsi="Arial" w:cs="Arial"/>
        </w:rPr>
        <w:t xml:space="preserve">than called for in the NS or Optimization scenarios.  To do this, </w:t>
      </w:r>
      <w:r>
        <w:rPr>
          <w:rFonts w:ascii="Arial" w:hAnsi="Arial" w:cs="Arial"/>
        </w:rPr>
        <w:t>preliminary guidance from UNAIDS</w:t>
      </w:r>
      <w:r w:rsidR="00FC00DE">
        <w:rPr>
          <w:rFonts w:ascii="Arial" w:hAnsi="Arial" w:cs="Arial"/>
        </w:rPr>
        <w:t xml:space="preserve"> was used to set </w:t>
      </w:r>
      <w:r>
        <w:rPr>
          <w:rFonts w:ascii="Arial" w:hAnsi="Arial" w:cs="Arial"/>
        </w:rPr>
        <w:t>targets for high, medium, and low incidence districts</w:t>
      </w:r>
      <w:r w:rsidR="00FC00DE">
        <w:rPr>
          <w:rFonts w:ascii="Arial" w:hAnsi="Arial" w:cs="Arial"/>
        </w:rPr>
        <w:t>.  The additional costs and impacts of this expanded A</w:t>
      </w:r>
      <w:r w:rsidR="00AE41AB">
        <w:rPr>
          <w:rFonts w:ascii="Arial" w:hAnsi="Arial" w:cs="Arial"/>
        </w:rPr>
        <w:t>GYW</w:t>
      </w:r>
      <w:r w:rsidR="00FC00DE">
        <w:rPr>
          <w:rFonts w:ascii="Arial" w:hAnsi="Arial" w:cs="Arial"/>
        </w:rPr>
        <w:t xml:space="preserve"> effort were then estimated</w:t>
      </w:r>
      <w:r w:rsidR="00AE41AB">
        <w:rPr>
          <w:rFonts w:ascii="Arial" w:hAnsi="Arial" w:cs="Arial"/>
        </w:rPr>
        <w:t>.</w:t>
      </w:r>
      <w:bookmarkEnd w:id="65"/>
      <w:r w:rsidR="00AE41AB">
        <w:rPr>
          <w:rFonts w:ascii="Arial" w:hAnsi="Arial" w:cs="Arial"/>
        </w:rPr>
        <w:t xml:space="preserve"> Coverage of ART and other prevention interventions was maintained at 2018 levels. The impact and costs of the AGYW scale-up scenario are compared to the impact and costs of the other scenarios.</w:t>
      </w:r>
    </w:p>
    <w:p w14:paraId="6D09F0CD" w14:textId="22AF9943" w:rsidR="0053791F" w:rsidRDefault="00FC00DE" w:rsidP="009E699B">
      <w:pPr>
        <w:spacing w:after="0"/>
        <w:rPr>
          <w:rFonts w:ascii="Arial" w:hAnsi="Arial" w:cs="Arial"/>
        </w:rPr>
      </w:pPr>
      <w:r>
        <w:rPr>
          <w:rFonts w:ascii="Arial" w:hAnsi="Arial" w:cs="Arial"/>
        </w:rPr>
        <w:t xml:space="preserve"> </w:t>
      </w:r>
      <w:r w:rsidR="0053791F">
        <w:rPr>
          <w:rFonts w:ascii="Arial" w:hAnsi="Arial" w:cs="Arial"/>
        </w:rPr>
        <w:t xml:space="preserve"> </w:t>
      </w:r>
    </w:p>
    <w:p w14:paraId="4E78E360" w14:textId="741A5653" w:rsidR="002134FF" w:rsidRDefault="002134FF" w:rsidP="00153AFB">
      <w:pPr>
        <w:pStyle w:val="Heading3"/>
        <w:rPr>
          <w:rFonts w:ascii="Arial" w:hAnsi="Arial" w:cs="Arial"/>
          <w:i/>
          <w:color w:val="000000" w:themeColor="text1"/>
        </w:rPr>
      </w:pPr>
      <w:bookmarkStart w:id="66" w:name="_Toc57035161"/>
      <w:r>
        <w:rPr>
          <w:rFonts w:ascii="Arial" w:hAnsi="Arial" w:cs="Arial"/>
          <w:i/>
          <w:color w:val="000000" w:themeColor="text1"/>
        </w:rPr>
        <w:t>Key assumptions and limitations</w:t>
      </w:r>
      <w:r w:rsidR="00C86D0D">
        <w:rPr>
          <w:rFonts w:ascii="Arial" w:hAnsi="Arial" w:cs="Arial"/>
          <w:i/>
          <w:color w:val="000000" w:themeColor="text1"/>
        </w:rPr>
        <w:t xml:space="preserve"> of IC 2.0</w:t>
      </w:r>
      <w:bookmarkEnd w:id="66"/>
    </w:p>
    <w:p w14:paraId="77C08092" w14:textId="2F114F09" w:rsidR="002134FF" w:rsidRPr="00505F88" w:rsidRDefault="002134FF" w:rsidP="001E233E">
      <w:pPr>
        <w:spacing w:after="0"/>
        <w:rPr>
          <w:rFonts w:ascii="Arial" w:hAnsi="Arial" w:cs="Arial"/>
        </w:rPr>
      </w:pPr>
    </w:p>
    <w:p w14:paraId="297EAE52" w14:textId="31B74360" w:rsidR="009F3D4C" w:rsidRPr="00505F88" w:rsidRDefault="002134FF" w:rsidP="00505F88">
      <w:pPr>
        <w:rPr>
          <w:rFonts w:ascii="Arial" w:hAnsi="Arial" w:cs="Arial"/>
        </w:rPr>
      </w:pPr>
      <w:r w:rsidRPr="00505F88">
        <w:rPr>
          <w:rFonts w:ascii="Arial" w:hAnsi="Arial" w:cs="Arial"/>
        </w:rPr>
        <w:t xml:space="preserve">Key assumptions </w:t>
      </w:r>
      <w:r>
        <w:rPr>
          <w:rFonts w:ascii="Arial" w:hAnsi="Arial" w:cs="Arial"/>
        </w:rPr>
        <w:t xml:space="preserve">of the IC 2.0 modeling and analysis include: </w:t>
      </w:r>
    </w:p>
    <w:p w14:paraId="5066CFA1" w14:textId="1D1A5B74" w:rsidR="009F3D4C" w:rsidRDefault="009F3D4C" w:rsidP="0058354C">
      <w:pPr>
        <w:pStyle w:val="ListParagraph"/>
        <w:numPr>
          <w:ilvl w:val="0"/>
          <w:numId w:val="46"/>
        </w:numPr>
        <w:rPr>
          <w:rFonts w:ascii="Arial" w:hAnsi="Arial" w:cs="Arial"/>
        </w:rPr>
      </w:pPr>
      <w:r>
        <w:rPr>
          <w:rFonts w:ascii="Arial" w:hAnsi="Arial" w:cs="Arial"/>
        </w:rPr>
        <w:t xml:space="preserve">Available data is representative and of high quality </w:t>
      </w:r>
    </w:p>
    <w:p w14:paraId="1733347F" w14:textId="234D8EFE" w:rsidR="009F3D4C" w:rsidRDefault="009F3D4C" w:rsidP="0058354C">
      <w:pPr>
        <w:pStyle w:val="ListParagraph"/>
        <w:numPr>
          <w:ilvl w:val="0"/>
          <w:numId w:val="46"/>
        </w:numPr>
        <w:rPr>
          <w:rFonts w:ascii="Arial" w:hAnsi="Arial" w:cs="Arial"/>
        </w:rPr>
      </w:pPr>
      <w:r>
        <w:rPr>
          <w:rFonts w:ascii="Arial" w:hAnsi="Arial" w:cs="Arial"/>
        </w:rPr>
        <w:t>No new donor partners will emerge</w:t>
      </w:r>
    </w:p>
    <w:p w14:paraId="6CCF2E4E" w14:textId="516A6A41" w:rsidR="00BD2E89" w:rsidRDefault="002134FF" w:rsidP="001263A9">
      <w:pPr>
        <w:pStyle w:val="ListParagraph"/>
        <w:numPr>
          <w:ilvl w:val="0"/>
          <w:numId w:val="46"/>
        </w:numPr>
      </w:pPr>
      <w:r>
        <w:rPr>
          <w:rFonts w:ascii="Arial" w:hAnsi="Arial" w:cs="Arial"/>
        </w:rPr>
        <w:t xml:space="preserve">Funding allocation </w:t>
      </w:r>
      <w:r w:rsidR="009F3D4C">
        <w:rPr>
          <w:rFonts w:ascii="Arial" w:hAnsi="Arial" w:cs="Arial"/>
        </w:rPr>
        <w:t xml:space="preserve">across </w:t>
      </w:r>
      <w:r>
        <w:rPr>
          <w:rFonts w:ascii="Arial" w:hAnsi="Arial" w:cs="Arial"/>
        </w:rPr>
        <w:t xml:space="preserve">interventions is not rigid but can be shifted </w:t>
      </w:r>
    </w:p>
    <w:p w14:paraId="1C96E766" w14:textId="77777777" w:rsidR="00673DD2" w:rsidRDefault="00673DD2" w:rsidP="002134FF">
      <w:pPr>
        <w:rPr>
          <w:rFonts w:ascii="Arial" w:hAnsi="Arial" w:cs="Arial"/>
        </w:rPr>
      </w:pPr>
    </w:p>
    <w:p w14:paraId="4F2A648B" w14:textId="77777777" w:rsidR="00673DD2" w:rsidRDefault="00673DD2" w:rsidP="002134FF">
      <w:pPr>
        <w:rPr>
          <w:rFonts w:ascii="Arial" w:hAnsi="Arial" w:cs="Arial"/>
        </w:rPr>
      </w:pPr>
    </w:p>
    <w:p w14:paraId="070EA582" w14:textId="6437E3C8" w:rsidR="002134FF" w:rsidRDefault="002134FF" w:rsidP="002134FF">
      <w:pPr>
        <w:rPr>
          <w:rFonts w:ascii="Arial" w:hAnsi="Arial" w:cs="Arial"/>
        </w:rPr>
      </w:pPr>
      <w:r>
        <w:rPr>
          <w:rFonts w:ascii="Arial" w:hAnsi="Arial" w:cs="Arial"/>
        </w:rPr>
        <w:t>Key limitations include:</w:t>
      </w:r>
    </w:p>
    <w:p w14:paraId="13547ACF" w14:textId="5AC97CA8" w:rsidR="009F3D4C" w:rsidRDefault="009F3D4C" w:rsidP="0058354C">
      <w:pPr>
        <w:pStyle w:val="ListParagraph"/>
        <w:numPr>
          <w:ilvl w:val="0"/>
          <w:numId w:val="46"/>
        </w:numPr>
        <w:rPr>
          <w:rFonts w:ascii="Arial" w:hAnsi="Arial" w:cs="Arial"/>
        </w:rPr>
      </w:pPr>
      <w:r>
        <w:rPr>
          <w:rFonts w:ascii="Arial" w:hAnsi="Arial" w:cs="Arial"/>
        </w:rPr>
        <w:t xml:space="preserve">The National Strategy had not been costed </w:t>
      </w:r>
      <w:r w:rsidR="00FC00DE">
        <w:rPr>
          <w:rFonts w:ascii="Arial" w:hAnsi="Arial" w:cs="Arial"/>
        </w:rPr>
        <w:t xml:space="preserve">in a bottom-up manner </w:t>
      </w:r>
      <w:r>
        <w:rPr>
          <w:rFonts w:ascii="Arial" w:hAnsi="Arial" w:cs="Arial"/>
        </w:rPr>
        <w:t xml:space="preserve">at the time of this study. The Goals model was used to estimate the costs but a detailed costing of the Strategy should be done for </w:t>
      </w:r>
      <w:r w:rsidR="00FC00DE">
        <w:rPr>
          <w:rFonts w:ascii="Arial" w:hAnsi="Arial" w:cs="Arial"/>
        </w:rPr>
        <w:t xml:space="preserve">budgeting and </w:t>
      </w:r>
      <w:r>
        <w:rPr>
          <w:rFonts w:ascii="Arial" w:hAnsi="Arial" w:cs="Arial"/>
        </w:rPr>
        <w:t>implementation purposes</w:t>
      </w:r>
    </w:p>
    <w:p w14:paraId="799DA0B5" w14:textId="766171B7" w:rsidR="002134FF" w:rsidRDefault="002134FF" w:rsidP="0058354C">
      <w:pPr>
        <w:pStyle w:val="ListParagraph"/>
        <w:numPr>
          <w:ilvl w:val="0"/>
          <w:numId w:val="46"/>
        </w:numPr>
        <w:rPr>
          <w:rFonts w:ascii="Arial" w:hAnsi="Arial" w:cs="Arial"/>
        </w:rPr>
      </w:pPr>
      <w:r>
        <w:rPr>
          <w:rFonts w:ascii="Arial" w:hAnsi="Arial" w:cs="Arial"/>
        </w:rPr>
        <w:t>Data on financial expenditure is not harmonized across government and external partners. UNAIDS and the Bill and Melinda Gates Foundation were funding a harmonization cross-walk exercise at the time of this study, but it was not completed in time to use</w:t>
      </w:r>
    </w:p>
    <w:p w14:paraId="177174B0" w14:textId="649AAC72" w:rsidR="009F3D4C" w:rsidRDefault="009F3D4C" w:rsidP="0058354C">
      <w:pPr>
        <w:pStyle w:val="ListParagraph"/>
        <w:numPr>
          <w:ilvl w:val="0"/>
          <w:numId w:val="46"/>
        </w:numPr>
        <w:rPr>
          <w:rFonts w:ascii="Arial" w:hAnsi="Arial" w:cs="Arial"/>
        </w:rPr>
      </w:pPr>
      <w:r>
        <w:rPr>
          <w:rFonts w:ascii="Arial" w:hAnsi="Arial" w:cs="Arial"/>
        </w:rPr>
        <w:t xml:space="preserve">Unit cost data </w:t>
      </w:r>
      <w:r w:rsidR="00FC00DE">
        <w:rPr>
          <w:rFonts w:ascii="Arial" w:hAnsi="Arial" w:cs="Arial"/>
        </w:rPr>
        <w:t xml:space="preserve">was of variable </w:t>
      </w:r>
      <w:r w:rsidR="00ED5792">
        <w:rPr>
          <w:rFonts w:ascii="Arial" w:hAnsi="Arial" w:cs="Arial"/>
        </w:rPr>
        <w:t xml:space="preserve">quality, with some estimates being outdated and other cost data not being available. </w:t>
      </w:r>
    </w:p>
    <w:p w14:paraId="277129B7" w14:textId="12810AF8" w:rsidR="001263A9" w:rsidRPr="001B499B" w:rsidRDefault="008544A5" w:rsidP="001B499B">
      <w:pPr>
        <w:pStyle w:val="ListParagraph"/>
        <w:numPr>
          <w:ilvl w:val="0"/>
          <w:numId w:val="46"/>
        </w:numPr>
        <w:rPr>
          <w:rFonts w:ascii="Arial" w:hAnsi="Arial" w:cs="Arial"/>
        </w:rPr>
      </w:pPr>
      <w:r>
        <w:rPr>
          <w:rFonts w:ascii="Arial" w:hAnsi="Arial" w:cs="Arial"/>
        </w:rPr>
        <w:t>Although many behavioral and enabling interventions are recognized as important, their direct effects on HIV transmission are not well established and thus not included in the Goals model</w:t>
      </w:r>
      <w:r w:rsidR="001B499B">
        <w:rPr>
          <w:rFonts w:ascii="Arial" w:hAnsi="Arial" w:cs="Arial"/>
        </w:rPr>
        <w:t>.</w:t>
      </w:r>
    </w:p>
    <w:p w14:paraId="1CA3D72C" w14:textId="77777777" w:rsidR="001263A9" w:rsidRPr="00505F88" w:rsidRDefault="001263A9" w:rsidP="001940AB">
      <w:pPr>
        <w:pStyle w:val="ListParagraph"/>
        <w:spacing w:after="0"/>
        <w:rPr>
          <w:rFonts w:ascii="Arial" w:hAnsi="Arial" w:cs="Arial"/>
        </w:rPr>
      </w:pPr>
    </w:p>
    <w:p w14:paraId="4A12BACC" w14:textId="68A36F5E" w:rsidR="0029655E" w:rsidRDefault="0029655E" w:rsidP="001940AB">
      <w:pPr>
        <w:pStyle w:val="Heading3"/>
        <w:rPr>
          <w:rFonts w:ascii="Arial" w:hAnsi="Arial" w:cs="Arial"/>
          <w:i/>
          <w:color w:val="000000" w:themeColor="text1"/>
        </w:rPr>
      </w:pPr>
      <w:bookmarkStart w:id="67" w:name="_Toc57035162"/>
      <w:r w:rsidRPr="00153AFB">
        <w:rPr>
          <w:rFonts w:ascii="Arial" w:hAnsi="Arial" w:cs="Arial"/>
          <w:i/>
          <w:color w:val="000000" w:themeColor="text1"/>
        </w:rPr>
        <w:t>Data sources</w:t>
      </w:r>
      <w:r w:rsidR="00FC00DE">
        <w:rPr>
          <w:rFonts w:ascii="Arial" w:hAnsi="Arial" w:cs="Arial"/>
          <w:i/>
          <w:color w:val="000000" w:themeColor="text1"/>
        </w:rPr>
        <w:t xml:space="preserve"> (</w:t>
      </w:r>
      <w:r w:rsidR="007332F9">
        <w:rPr>
          <w:rFonts w:ascii="Arial" w:hAnsi="Arial" w:cs="Arial"/>
          <w:i/>
          <w:color w:val="000000" w:themeColor="text1"/>
        </w:rPr>
        <w:t>see R</w:t>
      </w:r>
      <w:r w:rsidR="00FC00DE">
        <w:rPr>
          <w:rFonts w:ascii="Arial" w:hAnsi="Arial" w:cs="Arial"/>
          <w:i/>
          <w:color w:val="000000" w:themeColor="text1"/>
        </w:rPr>
        <w:t>eferences)</w:t>
      </w:r>
      <w:bookmarkEnd w:id="67"/>
    </w:p>
    <w:p w14:paraId="163D29F2" w14:textId="77777777" w:rsidR="00762254" w:rsidRPr="00762254" w:rsidRDefault="00762254" w:rsidP="001940AB">
      <w:pPr>
        <w:spacing w:after="0"/>
        <w:rPr>
          <w:b/>
        </w:rPr>
      </w:pPr>
    </w:p>
    <w:p w14:paraId="265221EE" w14:textId="68CD1796" w:rsidR="00762254" w:rsidRPr="00762254" w:rsidRDefault="00762254" w:rsidP="00762254">
      <w:pPr>
        <w:spacing w:after="0"/>
        <w:rPr>
          <w:rFonts w:ascii="Arial" w:hAnsi="Arial" w:cs="Arial"/>
        </w:rPr>
      </w:pPr>
      <w:r w:rsidRPr="00762254">
        <w:rPr>
          <w:rFonts w:ascii="Arial" w:hAnsi="Arial" w:cs="Arial"/>
          <w:b/>
        </w:rPr>
        <w:t>Epidemiological and programmatic data</w:t>
      </w:r>
      <w:r w:rsidRPr="00762254">
        <w:rPr>
          <w:rFonts w:ascii="Arial" w:hAnsi="Arial" w:cs="Arial"/>
        </w:rPr>
        <w:t xml:space="preserve">. Key data sources for epidemiological and program data included: </w:t>
      </w:r>
    </w:p>
    <w:p w14:paraId="37EC72EB" w14:textId="77777777"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National household surveys</w:t>
      </w:r>
    </w:p>
    <w:p w14:paraId="0501687B" w14:textId="77777777"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AIS 2003/4</w:t>
      </w:r>
    </w:p>
    <w:p w14:paraId="2211F89F" w14:textId="77777777"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HIV/AIDS and Malaria Survey 2007-8, 2011-2012</w:t>
      </w:r>
    </w:p>
    <w:p w14:paraId="267BBF9C" w14:textId="77777777"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DHS 2010, DHS 2015-16</w:t>
      </w:r>
    </w:p>
    <w:p w14:paraId="747280F6" w14:textId="77777777"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THIS 2016-17</w:t>
      </w:r>
    </w:p>
    <w:p w14:paraId="67CA4D88" w14:textId="77777777"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Tanzania Fourth NMSF for HIV/AIDS 2018/19 – 2022/23</w:t>
      </w:r>
    </w:p>
    <w:p w14:paraId="570D5776" w14:textId="437ED499" w:rsidR="00762254" w:rsidRPr="00505F88" w:rsidRDefault="00762254" w:rsidP="0058354C">
      <w:pPr>
        <w:pStyle w:val="ListParagraph"/>
        <w:numPr>
          <w:ilvl w:val="0"/>
          <w:numId w:val="46"/>
        </w:numPr>
        <w:spacing w:after="0"/>
        <w:rPr>
          <w:rFonts w:ascii="Arial" w:hAnsi="Arial" w:cs="Arial"/>
        </w:rPr>
      </w:pPr>
      <w:r w:rsidRPr="00505F88">
        <w:rPr>
          <w:rFonts w:ascii="Arial" w:hAnsi="Arial" w:cs="Arial"/>
        </w:rPr>
        <w:t>Tanzania HIV Investment Case, Reference Report, November 2016</w:t>
      </w:r>
    </w:p>
    <w:p w14:paraId="73AEC772" w14:textId="132666C3" w:rsidR="00762254" w:rsidRDefault="00762254" w:rsidP="00762254">
      <w:pPr>
        <w:spacing w:after="0"/>
        <w:rPr>
          <w:rFonts w:ascii="Arial" w:hAnsi="Arial" w:cs="Arial"/>
        </w:rPr>
      </w:pPr>
    </w:p>
    <w:p w14:paraId="020ABD53" w14:textId="636AF9F1" w:rsidR="000C1BC8" w:rsidRDefault="00762254" w:rsidP="00762254">
      <w:pPr>
        <w:spacing w:after="0"/>
        <w:rPr>
          <w:rFonts w:ascii="Arial" w:hAnsi="Arial" w:cs="Arial"/>
        </w:rPr>
      </w:pPr>
      <w:r w:rsidRPr="00762254">
        <w:rPr>
          <w:rFonts w:ascii="Arial" w:hAnsi="Arial" w:cs="Arial"/>
          <w:b/>
        </w:rPr>
        <w:t>Financing data.</w:t>
      </w:r>
      <w:r>
        <w:rPr>
          <w:rFonts w:ascii="Arial" w:hAnsi="Arial" w:cs="Arial"/>
        </w:rPr>
        <w:t xml:space="preserve"> Key data sources for financing data included:</w:t>
      </w:r>
    </w:p>
    <w:p w14:paraId="2827EF04" w14:textId="19CB520F" w:rsidR="000C1BC8" w:rsidRDefault="000C1BC8" w:rsidP="0058354C">
      <w:pPr>
        <w:pStyle w:val="ListParagraph"/>
        <w:numPr>
          <w:ilvl w:val="0"/>
          <w:numId w:val="38"/>
        </w:numPr>
        <w:spacing w:after="0"/>
        <w:rPr>
          <w:rFonts w:ascii="Arial" w:hAnsi="Arial" w:cs="Arial"/>
        </w:rPr>
      </w:pPr>
      <w:r>
        <w:rPr>
          <w:rFonts w:ascii="Arial" w:hAnsi="Arial" w:cs="Arial"/>
        </w:rPr>
        <w:t>National AIDS Spending Assessment</w:t>
      </w:r>
    </w:p>
    <w:p w14:paraId="32A864BE" w14:textId="57CE9B4E" w:rsidR="0029655E" w:rsidRDefault="000C1BC8" w:rsidP="0058354C">
      <w:pPr>
        <w:pStyle w:val="ListParagraph"/>
        <w:numPr>
          <w:ilvl w:val="0"/>
          <w:numId w:val="38"/>
        </w:numPr>
        <w:spacing w:after="0"/>
        <w:rPr>
          <w:rFonts w:ascii="Arial" w:hAnsi="Arial" w:cs="Arial"/>
        </w:rPr>
      </w:pPr>
      <w:r>
        <w:rPr>
          <w:rFonts w:ascii="Arial" w:hAnsi="Arial" w:cs="Arial"/>
        </w:rPr>
        <w:t>Global Fund Funding Request</w:t>
      </w:r>
      <w:r w:rsidR="007C2BF4">
        <w:rPr>
          <w:rFonts w:ascii="Arial" w:hAnsi="Arial" w:cs="Arial"/>
        </w:rPr>
        <w:t xml:space="preserve"> 2016</w:t>
      </w:r>
    </w:p>
    <w:p w14:paraId="2916A489" w14:textId="5F04DC15" w:rsidR="007C2BF4" w:rsidRDefault="007C2BF4" w:rsidP="0058354C">
      <w:pPr>
        <w:pStyle w:val="ListParagraph"/>
        <w:numPr>
          <w:ilvl w:val="0"/>
          <w:numId w:val="38"/>
        </w:numPr>
        <w:spacing w:after="0"/>
        <w:rPr>
          <w:rFonts w:ascii="Arial" w:hAnsi="Arial" w:cs="Arial"/>
        </w:rPr>
      </w:pPr>
      <w:r>
        <w:rPr>
          <w:rFonts w:ascii="Arial" w:hAnsi="Arial" w:cs="Arial"/>
        </w:rPr>
        <w:t>Global Fund expenditure data 2011-2016</w:t>
      </w:r>
    </w:p>
    <w:p w14:paraId="587BFF53" w14:textId="43B78062" w:rsidR="007C2BF4" w:rsidRDefault="007C2BF4" w:rsidP="0058354C">
      <w:pPr>
        <w:pStyle w:val="ListParagraph"/>
        <w:numPr>
          <w:ilvl w:val="0"/>
          <w:numId w:val="38"/>
        </w:numPr>
        <w:spacing w:after="0"/>
        <w:rPr>
          <w:rFonts w:ascii="Arial" w:hAnsi="Arial" w:cs="Arial"/>
        </w:rPr>
      </w:pPr>
      <w:r>
        <w:rPr>
          <w:rFonts w:ascii="Arial" w:hAnsi="Arial" w:cs="Arial"/>
        </w:rPr>
        <w:t>PEPFAR COPs (available up to 2018)</w:t>
      </w:r>
    </w:p>
    <w:p w14:paraId="7A08705E" w14:textId="043B6CA3" w:rsidR="007C2BF4" w:rsidRDefault="007C2BF4" w:rsidP="0058354C">
      <w:pPr>
        <w:pStyle w:val="ListParagraph"/>
        <w:numPr>
          <w:ilvl w:val="0"/>
          <w:numId w:val="38"/>
        </w:numPr>
        <w:spacing w:after="0"/>
        <w:rPr>
          <w:rFonts w:ascii="Arial" w:hAnsi="Arial" w:cs="Arial"/>
        </w:rPr>
      </w:pPr>
      <w:r>
        <w:rPr>
          <w:rFonts w:ascii="Arial" w:hAnsi="Arial" w:cs="Arial"/>
        </w:rPr>
        <w:t>PEPFAR planning letter</w:t>
      </w:r>
    </w:p>
    <w:p w14:paraId="455C52A1" w14:textId="785354B4" w:rsidR="007C2BF4" w:rsidRDefault="007C2BF4" w:rsidP="0058354C">
      <w:pPr>
        <w:pStyle w:val="ListParagraph"/>
        <w:numPr>
          <w:ilvl w:val="0"/>
          <w:numId w:val="38"/>
        </w:numPr>
        <w:spacing w:after="0"/>
        <w:rPr>
          <w:rFonts w:ascii="Arial" w:hAnsi="Arial" w:cs="Arial"/>
        </w:rPr>
      </w:pPr>
      <w:r>
        <w:rPr>
          <w:rFonts w:ascii="Arial" w:hAnsi="Arial" w:cs="Arial"/>
        </w:rPr>
        <w:t>PEPFAR expenditure data 2014-2018</w:t>
      </w:r>
    </w:p>
    <w:p w14:paraId="2FE583E3" w14:textId="63304FAF" w:rsidR="00BD2E89" w:rsidRDefault="00BD2E89">
      <w:pPr>
        <w:rPr>
          <w:rFonts w:ascii="Arial" w:hAnsi="Arial" w:cs="Arial"/>
        </w:rPr>
      </w:pPr>
      <w:r>
        <w:rPr>
          <w:rFonts w:ascii="Arial" w:hAnsi="Arial" w:cs="Arial"/>
        </w:rPr>
        <w:br w:type="page"/>
      </w:r>
    </w:p>
    <w:p w14:paraId="03C0569E" w14:textId="4FA6FCF7" w:rsidR="002C4085" w:rsidRPr="00E40C71" w:rsidRDefault="002C4085" w:rsidP="00585A95">
      <w:pPr>
        <w:pStyle w:val="Heading1"/>
        <w:spacing w:before="0"/>
        <w:rPr>
          <w:rFonts w:ascii="Arial" w:hAnsi="Arial" w:cs="Arial"/>
          <w:b/>
          <w:color w:val="C00000"/>
        </w:rPr>
      </w:pPr>
      <w:bookmarkStart w:id="68" w:name="_Toc57035163"/>
      <w:r w:rsidRPr="00E40C71">
        <w:rPr>
          <w:rFonts w:ascii="Arial" w:hAnsi="Arial" w:cs="Arial"/>
          <w:b/>
          <w:color w:val="C00000"/>
        </w:rPr>
        <w:t xml:space="preserve">CHAPTER </w:t>
      </w:r>
      <w:r w:rsidR="00963025">
        <w:rPr>
          <w:rFonts w:ascii="Arial" w:hAnsi="Arial" w:cs="Arial"/>
          <w:b/>
          <w:color w:val="C00000"/>
        </w:rPr>
        <w:t>4</w:t>
      </w:r>
      <w:r w:rsidRPr="00E40C71">
        <w:rPr>
          <w:rFonts w:ascii="Arial" w:hAnsi="Arial" w:cs="Arial"/>
          <w:b/>
          <w:color w:val="C00000"/>
        </w:rPr>
        <w:t xml:space="preserve">: </w:t>
      </w:r>
      <w:r w:rsidR="0059798C">
        <w:rPr>
          <w:rFonts w:ascii="Arial" w:hAnsi="Arial" w:cs="Arial"/>
          <w:b/>
          <w:color w:val="C00000"/>
        </w:rPr>
        <w:t>CONSTANT COVERAGE</w:t>
      </w:r>
      <w:r w:rsidRPr="00E40C71">
        <w:rPr>
          <w:rFonts w:ascii="Arial" w:hAnsi="Arial" w:cs="Arial"/>
          <w:b/>
          <w:color w:val="C00000"/>
        </w:rPr>
        <w:t xml:space="preserve"> VS NATIONAL STRATEGY</w:t>
      </w:r>
      <w:bookmarkEnd w:id="68"/>
    </w:p>
    <w:p w14:paraId="03D092D9" w14:textId="77777777" w:rsidR="000C1BC8" w:rsidRDefault="000C1BC8" w:rsidP="009E2150">
      <w:pPr>
        <w:spacing w:after="0"/>
        <w:rPr>
          <w:rStyle w:val="Heading2Char"/>
          <w:rFonts w:ascii="Arial" w:hAnsi="Arial" w:cs="Arial"/>
          <w:b/>
          <w:color w:val="000000" w:themeColor="text1"/>
        </w:rPr>
      </w:pPr>
    </w:p>
    <w:p w14:paraId="6F6B7118" w14:textId="41C1F3B5" w:rsidR="00A922AF" w:rsidRDefault="0059798C" w:rsidP="00444084">
      <w:pPr>
        <w:pStyle w:val="Heading2"/>
      </w:pPr>
      <w:bookmarkStart w:id="69" w:name="_Toc57035164"/>
      <w:r>
        <w:rPr>
          <w:rStyle w:val="Heading2Char"/>
          <w:rFonts w:ascii="Arial" w:hAnsi="Arial" w:cs="Arial"/>
          <w:b/>
          <w:color w:val="000000" w:themeColor="text1"/>
        </w:rPr>
        <w:t>Constant Coverage</w:t>
      </w:r>
      <w:r w:rsidR="009F10FB" w:rsidRPr="000C1BC8">
        <w:rPr>
          <w:rFonts w:ascii="Arial" w:hAnsi="Arial" w:cs="Arial"/>
          <w:b/>
          <w:color w:val="000000" w:themeColor="text1"/>
        </w:rPr>
        <w:t xml:space="preserve"> </w:t>
      </w:r>
      <w:r w:rsidR="00534FF7">
        <w:rPr>
          <w:rFonts w:ascii="Arial" w:hAnsi="Arial" w:cs="Arial"/>
          <w:b/>
          <w:color w:val="000000" w:themeColor="text1"/>
        </w:rPr>
        <w:t>S</w:t>
      </w:r>
      <w:r w:rsidR="00622DFC">
        <w:rPr>
          <w:rFonts w:ascii="Arial" w:hAnsi="Arial" w:cs="Arial"/>
          <w:b/>
          <w:color w:val="000000" w:themeColor="text1"/>
        </w:rPr>
        <w:t>cenario</w:t>
      </w:r>
      <w:bookmarkEnd w:id="69"/>
    </w:p>
    <w:p w14:paraId="315DD8D8" w14:textId="7854ADAF" w:rsidR="00A922AF" w:rsidRPr="00A922AF" w:rsidRDefault="00A922AF" w:rsidP="00C86D0D">
      <w:pPr>
        <w:spacing w:after="0"/>
        <w:rPr>
          <w:rFonts w:ascii="Arial" w:hAnsi="Arial" w:cs="Arial"/>
        </w:rPr>
      </w:pPr>
    </w:p>
    <w:p w14:paraId="3E0BEA3D" w14:textId="4E305CBD" w:rsidR="009409CD" w:rsidRDefault="00456CEF" w:rsidP="000C1BC8">
      <w:pPr>
        <w:rPr>
          <w:rFonts w:ascii="Arial" w:hAnsi="Arial" w:cs="Arial"/>
        </w:rPr>
      </w:pPr>
      <w:r>
        <w:rPr>
          <w:rFonts w:ascii="Arial" w:hAnsi="Arial" w:cs="Arial"/>
        </w:rPr>
        <w:t xml:space="preserve">Given the current program gaps and ambitious targets, </w:t>
      </w:r>
      <w:r w:rsidR="00A922AF" w:rsidRPr="00A922AF">
        <w:rPr>
          <w:rFonts w:ascii="Arial" w:hAnsi="Arial" w:cs="Arial"/>
        </w:rPr>
        <w:t>i</w:t>
      </w:r>
      <w:r>
        <w:rPr>
          <w:rFonts w:ascii="Arial" w:hAnsi="Arial" w:cs="Arial"/>
        </w:rPr>
        <w:t>f</w:t>
      </w:r>
      <w:r w:rsidR="00A922AF" w:rsidRPr="00A922AF">
        <w:rPr>
          <w:rFonts w:ascii="Arial" w:hAnsi="Arial" w:cs="Arial"/>
        </w:rPr>
        <w:t xml:space="preserve"> Tanzania’s program </w:t>
      </w:r>
      <w:r>
        <w:rPr>
          <w:rFonts w:ascii="Arial" w:hAnsi="Arial" w:cs="Arial"/>
        </w:rPr>
        <w:t xml:space="preserve">remains stagnant </w:t>
      </w:r>
      <w:r w:rsidR="007332F9">
        <w:rPr>
          <w:rFonts w:ascii="Arial" w:hAnsi="Arial" w:cs="Arial"/>
        </w:rPr>
        <w:t>under</w:t>
      </w:r>
      <w:r w:rsidR="00FF60EA">
        <w:rPr>
          <w:rFonts w:ascii="Arial" w:hAnsi="Arial" w:cs="Arial"/>
        </w:rPr>
        <w:t xml:space="preserve"> </w:t>
      </w:r>
      <w:r w:rsidR="0059798C">
        <w:rPr>
          <w:rFonts w:ascii="Arial" w:hAnsi="Arial" w:cs="Arial"/>
        </w:rPr>
        <w:t>Constant Coverage</w:t>
      </w:r>
      <w:r w:rsidR="007332F9">
        <w:rPr>
          <w:rFonts w:ascii="Arial" w:hAnsi="Arial" w:cs="Arial"/>
        </w:rPr>
        <w:t xml:space="preserve">, </w:t>
      </w:r>
      <w:r>
        <w:rPr>
          <w:rFonts w:ascii="Arial" w:hAnsi="Arial" w:cs="Arial"/>
        </w:rPr>
        <w:t>missed opportunit</w:t>
      </w:r>
      <w:r w:rsidR="007332F9">
        <w:rPr>
          <w:rFonts w:ascii="Arial" w:hAnsi="Arial" w:cs="Arial"/>
        </w:rPr>
        <w:t xml:space="preserve">ies and negative consequences in terms of new infections and mortality </w:t>
      </w:r>
      <w:r>
        <w:rPr>
          <w:rFonts w:ascii="Arial" w:hAnsi="Arial" w:cs="Arial"/>
        </w:rPr>
        <w:t xml:space="preserve">will be severe. </w:t>
      </w:r>
    </w:p>
    <w:p w14:paraId="7D449CA2" w14:textId="178E0AB0" w:rsidR="000C1BC8" w:rsidRDefault="00A922AF" w:rsidP="00A922AF">
      <w:pPr>
        <w:pStyle w:val="Heading3"/>
        <w:rPr>
          <w:rFonts w:ascii="Arial" w:hAnsi="Arial" w:cs="Arial"/>
          <w:i/>
          <w:color w:val="000000" w:themeColor="text1"/>
        </w:rPr>
      </w:pPr>
      <w:bookmarkStart w:id="70" w:name="_Toc57035165"/>
      <w:r w:rsidRPr="00A922AF">
        <w:rPr>
          <w:rFonts w:ascii="Arial" w:hAnsi="Arial" w:cs="Arial"/>
          <w:i/>
          <w:color w:val="000000" w:themeColor="text1"/>
        </w:rPr>
        <w:t>Modeling assumptions</w:t>
      </w:r>
      <w:bookmarkEnd w:id="70"/>
    </w:p>
    <w:p w14:paraId="460CB497" w14:textId="5F2949E3" w:rsidR="00A922AF" w:rsidRDefault="00A922AF" w:rsidP="00093605">
      <w:pPr>
        <w:spacing w:after="0"/>
      </w:pPr>
    </w:p>
    <w:p w14:paraId="32D2D954" w14:textId="2B632A6A" w:rsidR="00027C54" w:rsidRDefault="00456CEF" w:rsidP="00A922AF">
      <w:pPr>
        <w:rPr>
          <w:rFonts w:ascii="Arial" w:hAnsi="Arial" w:cs="Arial"/>
          <w:i/>
          <w:sz w:val="18"/>
        </w:rPr>
      </w:pPr>
      <w:r w:rsidRPr="00456CEF">
        <w:rPr>
          <w:rFonts w:ascii="Arial" w:hAnsi="Arial" w:cs="Arial"/>
        </w:rPr>
        <w:t xml:space="preserve">The </w:t>
      </w:r>
      <w:r w:rsidR="0059798C">
        <w:rPr>
          <w:rFonts w:ascii="Arial" w:hAnsi="Arial" w:cs="Arial"/>
        </w:rPr>
        <w:t>Constant Coverage</w:t>
      </w:r>
      <w:r w:rsidRPr="00456CEF">
        <w:rPr>
          <w:rFonts w:ascii="Arial" w:hAnsi="Arial" w:cs="Arial"/>
        </w:rPr>
        <w:t xml:space="preserve"> </w:t>
      </w:r>
      <w:r w:rsidR="00534FF7">
        <w:rPr>
          <w:rFonts w:ascii="Arial" w:hAnsi="Arial" w:cs="Arial"/>
        </w:rPr>
        <w:t>S</w:t>
      </w:r>
      <w:r w:rsidRPr="00456CEF">
        <w:rPr>
          <w:rFonts w:ascii="Arial" w:hAnsi="Arial" w:cs="Arial"/>
        </w:rPr>
        <w:t>cenario assume</w:t>
      </w:r>
      <w:r w:rsidR="007332F9">
        <w:rPr>
          <w:rFonts w:ascii="Arial" w:hAnsi="Arial" w:cs="Arial"/>
        </w:rPr>
        <w:t>s</w:t>
      </w:r>
      <w:r w:rsidRPr="00456CEF">
        <w:rPr>
          <w:rFonts w:ascii="Arial" w:hAnsi="Arial" w:cs="Arial"/>
        </w:rPr>
        <w:t xml:space="preserve"> that coverage would be maintained at 2018 levels. </w:t>
      </w:r>
      <w:r w:rsidR="007332F9">
        <w:rPr>
          <w:rFonts w:ascii="Arial" w:hAnsi="Arial" w:cs="Arial"/>
        </w:rPr>
        <w:t>Since Tanzania’s populations continues to grow</w:t>
      </w:r>
      <w:r w:rsidR="00FF60EA">
        <w:rPr>
          <w:rFonts w:ascii="Arial" w:hAnsi="Arial" w:cs="Arial"/>
        </w:rPr>
        <w:t>,</w:t>
      </w:r>
      <w:r w:rsidR="007332F9">
        <w:rPr>
          <w:rFonts w:ascii="Arial" w:hAnsi="Arial" w:cs="Arial"/>
        </w:rPr>
        <w:t xml:space="preserve"> t</w:t>
      </w:r>
      <w:r w:rsidRPr="00456CEF">
        <w:rPr>
          <w:rFonts w:ascii="Arial" w:hAnsi="Arial" w:cs="Arial"/>
        </w:rPr>
        <w:t>he resource</w:t>
      </w:r>
      <w:r w:rsidR="007332F9">
        <w:rPr>
          <w:rFonts w:ascii="Arial" w:hAnsi="Arial" w:cs="Arial"/>
        </w:rPr>
        <w:t xml:space="preserve">s required </w:t>
      </w:r>
      <w:r w:rsidRPr="00456CEF">
        <w:rPr>
          <w:rFonts w:ascii="Arial" w:hAnsi="Arial" w:cs="Arial"/>
        </w:rPr>
        <w:t>to maintain these coverage level</w:t>
      </w:r>
      <w:r w:rsidR="007332F9">
        <w:rPr>
          <w:rFonts w:ascii="Arial" w:hAnsi="Arial" w:cs="Arial"/>
        </w:rPr>
        <w:t>s</w:t>
      </w:r>
      <w:r w:rsidRPr="00456CEF">
        <w:rPr>
          <w:rFonts w:ascii="Arial" w:hAnsi="Arial" w:cs="Arial"/>
        </w:rPr>
        <w:t xml:space="preserve"> increase </w:t>
      </w:r>
      <w:r w:rsidR="007332F9">
        <w:rPr>
          <w:rFonts w:ascii="Arial" w:hAnsi="Arial" w:cs="Arial"/>
        </w:rPr>
        <w:t xml:space="preserve">slightly </w:t>
      </w:r>
      <w:r w:rsidRPr="00456CEF">
        <w:rPr>
          <w:rFonts w:ascii="Arial" w:hAnsi="Arial" w:cs="Arial"/>
        </w:rPr>
        <w:t>over time.</w:t>
      </w:r>
    </w:p>
    <w:p w14:paraId="39FDA6DF" w14:textId="6ACEFC0C" w:rsidR="00D5288C" w:rsidRPr="008544A5" w:rsidRDefault="00C86D0D" w:rsidP="00A922AF">
      <w:pPr>
        <w:rPr>
          <w:rFonts w:ascii="Arial" w:hAnsi="Arial" w:cs="Arial"/>
          <w:i/>
          <w:sz w:val="18"/>
        </w:rPr>
      </w:pPr>
      <w:r>
        <w:rPr>
          <w:rFonts w:ascii="Arial" w:hAnsi="Arial" w:cs="Arial"/>
          <w:i/>
          <w:sz w:val="18"/>
        </w:rPr>
        <w:t>Figure</w:t>
      </w:r>
      <w:r w:rsidR="00D5288C" w:rsidRPr="008544A5">
        <w:rPr>
          <w:rFonts w:ascii="Arial" w:hAnsi="Arial" w:cs="Arial"/>
          <w:i/>
          <w:sz w:val="18"/>
        </w:rPr>
        <w:t xml:space="preserve"> 4-1. Modeling assumptions for </w:t>
      </w:r>
      <w:r w:rsidR="00A87DFC">
        <w:rPr>
          <w:rFonts w:ascii="Arial" w:hAnsi="Arial" w:cs="Arial"/>
          <w:i/>
          <w:sz w:val="18"/>
        </w:rPr>
        <w:t>Constant Coverage</w:t>
      </w:r>
      <w:r w:rsidR="00D5288C" w:rsidRPr="008544A5">
        <w:rPr>
          <w:rFonts w:ascii="Arial" w:hAnsi="Arial" w:cs="Arial"/>
          <w:i/>
          <w:sz w:val="18"/>
        </w:rPr>
        <w:t xml:space="preserve"> </w:t>
      </w:r>
      <w:r w:rsidR="00534FF7">
        <w:rPr>
          <w:rFonts w:ascii="Arial" w:hAnsi="Arial" w:cs="Arial"/>
          <w:i/>
          <w:sz w:val="18"/>
        </w:rPr>
        <w:t>S</w:t>
      </w:r>
      <w:r w:rsidR="00D5288C" w:rsidRPr="008544A5">
        <w:rPr>
          <w:rFonts w:ascii="Arial" w:hAnsi="Arial" w:cs="Arial"/>
          <w:i/>
          <w:sz w:val="18"/>
        </w:rPr>
        <w:t>cenario</w:t>
      </w:r>
    </w:p>
    <w:tbl>
      <w:tblPr>
        <w:tblpPr w:leftFromText="180" w:rightFromText="180" w:vertAnchor="text" w:horzAnchor="margin" w:tblpY="164"/>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007"/>
        <w:gridCol w:w="3007"/>
      </w:tblGrid>
      <w:tr w:rsidR="007C1806" w:rsidRPr="004920F1" w14:paraId="138BCF01" w14:textId="77777777" w:rsidTr="008544A5">
        <w:trPr>
          <w:trHeight w:val="382"/>
        </w:trPr>
        <w:tc>
          <w:tcPr>
            <w:tcW w:w="3248" w:type="dxa"/>
            <w:shd w:val="clear" w:color="auto" w:fill="FFFFFF" w:themeFill="background1"/>
            <w:vAlign w:val="center"/>
          </w:tcPr>
          <w:p w14:paraId="529AC0AD" w14:textId="3008F7BA" w:rsidR="007C1806" w:rsidRPr="004920F1" w:rsidRDefault="007C1806" w:rsidP="004920F1">
            <w:pPr>
              <w:spacing w:after="0"/>
              <w:rPr>
                <w:rFonts w:ascii="Arial" w:hAnsi="Arial" w:cs="Arial"/>
                <w:b/>
                <w:sz w:val="18"/>
              </w:rPr>
            </w:pPr>
            <w:r w:rsidRPr="004920F1">
              <w:rPr>
                <w:rFonts w:ascii="Arial" w:hAnsi="Arial" w:cs="Arial"/>
                <w:b/>
                <w:sz w:val="18"/>
              </w:rPr>
              <w:t>Abbreviation</w:t>
            </w:r>
          </w:p>
        </w:tc>
        <w:tc>
          <w:tcPr>
            <w:tcW w:w="6014" w:type="dxa"/>
            <w:gridSpan w:val="2"/>
            <w:shd w:val="clear" w:color="auto" w:fill="FFFFFF" w:themeFill="background1"/>
            <w:vAlign w:val="center"/>
          </w:tcPr>
          <w:p w14:paraId="15DE7DC6" w14:textId="5A40A562" w:rsidR="007C1806" w:rsidRPr="004920F1" w:rsidRDefault="0059798C" w:rsidP="004920F1">
            <w:pPr>
              <w:spacing w:after="0"/>
              <w:rPr>
                <w:rFonts w:ascii="Arial" w:hAnsi="Arial" w:cs="Arial"/>
                <w:sz w:val="18"/>
              </w:rPr>
            </w:pPr>
            <w:r>
              <w:rPr>
                <w:rFonts w:ascii="Arial" w:hAnsi="Arial" w:cs="Arial"/>
                <w:sz w:val="18"/>
              </w:rPr>
              <w:t>CC</w:t>
            </w:r>
          </w:p>
        </w:tc>
      </w:tr>
      <w:tr w:rsidR="004B0065" w:rsidRPr="004920F1" w14:paraId="7DB66642" w14:textId="77777777" w:rsidTr="008544A5">
        <w:trPr>
          <w:trHeight w:val="382"/>
        </w:trPr>
        <w:tc>
          <w:tcPr>
            <w:tcW w:w="3248" w:type="dxa"/>
            <w:shd w:val="clear" w:color="auto" w:fill="FFFFFF" w:themeFill="background1"/>
            <w:vAlign w:val="center"/>
          </w:tcPr>
          <w:p w14:paraId="4DDFC0B5" w14:textId="77777777" w:rsidR="004B0065" w:rsidRPr="004920F1" w:rsidRDefault="004B0065" w:rsidP="004920F1">
            <w:pPr>
              <w:spacing w:after="0"/>
              <w:rPr>
                <w:rFonts w:ascii="Arial" w:hAnsi="Arial" w:cs="Arial"/>
                <w:b/>
                <w:sz w:val="18"/>
              </w:rPr>
            </w:pPr>
            <w:r w:rsidRPr="004920F1">
              <w:rPr>
                <w:rFonts w:ascii="Arial" w:hAnsi="Arial" w:cs="Arial"/>
                <w:b/>
                <w:sz w:val="18"/>
              </w:rPr>
              <w:t>Coverage of budget driven scenario</w:t>
            </w:r>
          </w:p>
        </w:tc>
        <w:tc>
          <w:tcPr>
            <w:tcW w:w="6014" w:type="dxa"/>
            <w:gridSpan w:val="2"/>
            <w:shd w:val="clear" w:color="auto" w:fill="FFFFFF" w:themeFill="background1"/>
            <w:vAlign w:val="center"/>
          </w:tcPr>
          <w:p w14:paraId="1BF0BE04" w14:textId="0537EF5F" w:rsidR="004B0065" w:rsidRPr="004920F1" w:rsidRDefault="004B0065" w:rsidP="004920F1">
            <w:pPr>
              <w:spacing w:after="0"/>
              <w:rPr>
                <w:rFonts w:ascii="Arial" w:hAnsi="Arial" w:cs="Arial"/>
                <w:sz w:val="18"/>
              </w:rPr>
            </w:pPr>
            <w:r w:rsidRPr="004920F1">
              <w:rPr>
                <w:rFonts w:ascii="Arial" w:hAnsi="Arial" w:cs="Arial"/>
                <w:sz w:val="18"/>
              </w:rPr>
              <w:t>Coverage-driven</w:t>
            </w:r>
          </w:p>
        </w:tc>
      </w:tr>
      <w:tr w:rsidR="004B0065" w:rsidRPr="004920F1" w14:paraId="10999E91" w14:textId="77777777" w:rsidTr="008544A5">
        <w:trPr>
          <w:trHeight w:val="214"/>
        </w:trPr>
        <w:tc>
          <w:tcPr>
            <w:tcW w:w="3248" w:type="dxa"/>
            <w:shd w:val="clear" w:color="auto" w:fill="FFFFFF" w:themeFill="background1"/>
            <w:vAlign w:val="center"/>
          </w:tcPr>
          <w:p w14:paraId="597DE4C4" w14:textId="77777777" w:rsidR="004B0065" w:rsidRPr="004920F1" w:rsidRDefault="004B0065" w:rsidP="004920F1">
            <w:pPr>
              <w:spacing w:after="0"/>
              <w:rPr>
                <w:rFonts w:ascii="Arial" w:hAnsi="Arial" w:cs="Arial"/>
                <w:b/>
                <w:sz w:val="18"/>
              </w:rPr>
            </w:pPr>
            <w:r w:rsidRPr="004920F1">
              <w:rPr>
                <w:rFonts w:ascii="Arial" w:hAnsi="Arial" w:cs="Arial"/>
                <w:b/>
                <w:sz w:val="18"/>
              </w:rPr>
              <w:t>Coverage targets</w:t>
            </w:r>
          </w:p>
        </w:tc>
        <w:tc>
          <w:tcPr>
            <w:tcW w:w="6014" w:type="dxa"/>
            <w:gridSpan w:val="2"/>
            <w:shd w:val="clear" w:color="auto" w:fill="FFFFFF" w:themeFill="background1"/>
            <w:vAlign w:val="center"/>
          </w:tcPr>
          <w:p w14:paraId="4DBE1788" w14:textId="2A04082F" w:rsidR="004B0065" w:rsidRPr="004920F1" w:rsidRDefault="004B0065" w:rsidP="004920F1">
            <w:pPr>
              <w:spacing w:after="0"/>
              <w:rPr>
                <w:rFonts w:ascii="Arial" w:hAnsi="Arial" w:cs="Arial"/>
                <w:sz w:val="18"/>
              </w:rPr>
            </w:pPr>
            <w:r w:rsidRPr="004920F1">
              <w:rPr>
                <w:rFonts w:ascii="Arial" w:hAnsi="Arial" w:cs="Arial"/>
                <w:sz w:val="18"/>
              </w:rPr>
              <w:t>Constant coverage</w:t>
            </w:r>
            <w:r w:rsidR="00512414">
              <w:rPr>
                <w:rFonts w:ascii="Arial" w:hAnsi="Arial" w:cs="Arial"/>
                <w:sz w:val="18"/>
              </w:rPr>
              <w:t>: 57% ART coverage among all PLHIV; 70% among adults 15 years + (2018); Coverage of prevention intervention kept at 2018 levels</w:t>
            </w:r>
          </w:p>
        </w:tc>
      </w:tr>
      <w:tr w:rsidR="00E559A1" w:rsidRPr="004920F1" w14:paraId="6028E8EF" w14:textId="77777777" w:rsidTr="001264AF">
        <w:trPr>
          <w:trHeight w:val="201"/>
        </w:trPr>
        <w:tc>
          <w:tcPr>
            <w:tcW w:w="3248" w:type="dxa"/>
            <w:vMerge w:val="restart"/>
            <w:shd w:val="clear" w:color="auto" w:fill="FFFFFF" w:themeFill="background1"/>
            <w:vAlign w:val="center"/>
          </w:tcPr>
          <w:p w14:paraId="407C575A" w14:textId="77777777" w:rsidR="00E559A1" w:rsidRDefault="00E559A1" w:rsidP="00E559A1">
            <w:pPr>
              <w:spacing w:after="0"/>
              <w:rPr>
                <w:rFonts w:ascii="Arial" w:hAnsi="Arial" w:cs="Arial"/>
                <w:b/>
                <w:sz w:val="18"/>
              </w:rPr>
            </w:pPr>
            <w:r>
              <w:rPr>
                <w:rFonts w:ascii="Arial" w:hAnsi="Arial" w:cs="Arial"/>
                <w:b/>
                <w:sz w:val="18"/>
              </w:rPr>
              <w:t>Resources required</w:t>
            </w:r>
          </w:p>
          <w:p w14:paraId="50ECD937" w14:textId="21E7A156" w:rsidR="00E559A1" w:rsidRDefault="00E559A1" w:rsidP="00E559A1">
            <w:pPr>
              <w:spacing w:after="0"/>
              <w:rPr>
                <w:rFonts w:ascii="Arial" w:hAnsi="Arial" w:cs="Arial"/>
                <w:b/>
                <w:sz w:val="18"/>
              </w:rPr>
            </w:pPr>
            <w:r>
              <w:rPr>
                <w:rFonts w:ascii="Arial" w:hAnsi="Arial" w:cs="Arial"/>
                <w:b/>
                <w:sz w:val="18"/>
              </w:rPr>
              <w:t>(preview of results)</w:t>
            </w:r>
          </w:p>
        </w:tc>
        <w:tc>
          <w:tcPr>
            <w:tcW w:w="3007" w:type="dxa"/>
            <w:shd w:val="clear" w:color="auto" w:fill="FFFFFF" w:themeFill="background1"/>
            <w:vAlign w:val="center"/>
          </w:tcPr>
          <w:p w14:paraId="45A64B38" w14:textId="51BD945F" w:rsidR="00E559A1" w:rsidRPr="004920F1" w:rsidRDefault="00E559A1" w:rsidP="00E559A1">
            <w:pPr>
              <w:spacing w:after="0"/>
              <w:rPr>
                <w:rFonts w:ascii="Arial" w:hAnsi="Arial" w:cs="Arial"/>
                <w:sz w:val="18"/>
              </w:rPr>
            </w:pPr>
            <w:r>
              <w:rPr>
                <w:rFonts w:ascii="Arial" w:hAnsi="Arial" w:cs="Arial"/>
                <w:sz w:val="18"/>
              </w:rPr>
              <w:t>Resources required in 2019</w:t>
            </w:r>
          </w:p>
        </w:tc>
        <w:tc>
          <w:tcPr>
            <w:tcW w:w="3007" w:type="dxa"/>
            <w:shd w:val="clear" w:color="auto" w:fill="FFFFFF" w:themeFill="background1"/>
            <w:vAlign w:val="center"/>
          </w:tcPr>
          <w:p w14:paraId="2955EB19" w14:textId="5ACE7999" w:rsidR="00E559A1" w:rsidRPr="004920F1" w:rsidRDefault="00E559A1" w:rsidP="00E559A1">
            <w:pPr>
              <w:spacing w:after="0"/>
              <w:rPr>
                <w:rFonts w:ascii="Arial" w:hAnsi="Arial" w:cs="Arial"/>
                <w:sz w:val="18"/>
              </w:rPr>
            </w:pPr>
            <w:r>
              <w:rPr>
                <w:rFonts w:ascii="Arial" w:hAnsi="Arial" w:cs="Arial"/>
                <w:sz w:val="18"/>
              </w:rPr>
              <w:t>USD 461 M</w:t>
            </w:r>
          </w:p>
        </w:tc>
      </w:tr>
      <w:tr w:rsidR="00E559A1" w:rsidRPr="004920F1" w14:paraId="1B759CA6" w14:textId="77777777" w:rsidTr="001264AF">
        <w:trPr>
          <w:trHeight w:val="201"/>
        </w:trPr>
        <w:tc>
          <w:tcPr>
            <w:tcW w:w="3248" w:type="dxa"/>
            <w:vMerge/>
            <w:shd w:val="clear" w:color="auto" w:fill="FFFFFF" w:themeFill="background1"/>
            <w:vAlign w:val="center"/>
          </w:tcPr>
          <w:p w14:paraId="2764B79A" w14:textId="77777777" w:rsidR="00E559A1" w:rsidRDefault="00E559A1" w:rsidP="00E559A1">
            <w:pPr>
              <w:spacing w:after="0"/>
              <w:rPr>
                <w:rFonts w:ascii="Arial" w:hAnsi="Arial" w:cs="Arial"/>
                <w:b/>
                <w:sz w:val="18"/>
              </w:rPr>
            </w:pPr>
          </w:p>
        </w:tc>
        <w:tc>
          <w:tcPr>
            <w:tcW w:w="3007" w:type="dxa"/>
            <w:shd w:val="clear" w:color="auto" w:fill="FFFFFF" w:themeFill="background1"/>
            <w:vAlign w:val="center"/>
          </w:tcPr>
          <w:p w14:paraId="23D3029E" w14:textId="6995D732" w:rsidR="00E559A1" w:rsidRPr="004920F1" w:rsidRDefault="00E559A1" w:rsidP="00E559A1">
            <w:pPr>
              <w:spacing w:after="0"/>
              <w:rPr>
                <w:rFonts w:ascii="Arial" w:hAnsi="Arial" w:cs="Arial"/>
                <w:sz w:val="18"/>
              </w:rPr>
            </w:pPr>
            <w:r>
              <w:rPr>
                <w:rFonts w:ascii="Arial" w:hAnsi="Arial" w:cs="Arial"/>
                <w:sz w:val="18"/>
              </w:rPr>
              <w:t>Resources required in 2030</w:t>
            </w:r>
          </w:p>
        </w:tc>
        <w:tc>
          <w:tcPr>
            <w:tcW w:w="3007" w:type="dxa"/>
            <w:shd w:val="clear" w:color="auto" w:fill="FFFFFF" w:themeFill="background1"/>
            <w:vAlign w:val="center"/>
          </w:tcPr>
          <w:p w14:paraId="5DE453F4" w14:textId="3E1BD632" w:rsidR="00E559A1" w:rsidRPr="004920F1" w:rsidRDefault="00E559A1" w:rsidP="00E559A1">
            <w:pPr>
              <w:spacing w:after="0"/>
              <w:rPr>
                <w:rFonts w:ascii="Arial" w:hAnsi="Arial" w:cs="Arial"/>
                <w:sz w:val="18"/>
              </w:rPr>
            </w:pPr>
            <w:r w:rsidRPr="00311475">
              <w:rPr>
                <w:rFonts w:ascii="Arial" w:hAnsi="Arial" w:cs="Arial"/>
                <w:sz w:val="18"/>
              </w:rPr>
              <w:t xml:space="preserve">USD </w:t>
            </w:r>
            <w:r>
              <w:rPr>
                <w:rFonts w:ascii="Arial" w:hAnsi="Arial" w:cs="Arial"/>
                <w:sz w:val="18"/>
              </w:rPr>
              <w:t>500</w:t>
            </w:r>
            <w:r w:rsidRPr="00311475">
              <w:rPr>
                <w:rFonts w:ascii="Arial" w:hAnsi="Arial" w:cs="Arial"/>
                <w:sz w:val="18"/>
              </w:rPr>
              <w:t xml:space="preserve"> M</w:t>
            </w:r>
            <w:r>
              <w:rPr>
                <w:rFonts w:ascii="Arial" w:hAnsi="Arial" w:cs="Arial"/>
                <w:sz w:val="18"/>
              </w:rPr>
              <w:t>*</w:t>
            </w:r>
          </w:p>
        </w:tc>
      </w:tr>
      <w:tr w:rsidR="00E559A1" w:rsidRPr="004920F1" w14:paraId="24550E10" w14:textId="77777777" w:rsidTr="001264AF">
        <w:trPr>
          <w:trHeight w:val="201"/>
        </w:trPr>
        <w:tc>
          <w:tcPr>
            <w:tcW w:w="3248" w:type="dxa"/>
            <w:vMerge/>
            <w:shd w:val="clear" w:color="auto" w:fill="FFFFFF" w:themeFill="background1"/>
            <w:vAlign w:val="center"/>
          </w:tcPr>
          <w:p w14:paraId="1CD2A40E" w14:textId="77777777" w:rsidR="00E559A1" w:rsidRDefault="00E559A1" w:rsidP="00E559A1">
            <w:pPr>
              <w:spacing w:after="0"/>
              <w:rPr>
                <w:rFonts w:ascii="Arial" w:hAnsi="Arial" w:cs="Arial"/>
                <w:b/>
                <w:sz w:val="18"/>
              </w:rPr>
            </w:pPr>
          </w:p>
        </w:tc>
        <w:tc>
          <w:tcPr>
            <w:tcW w:w="3007" w:type="dxa"/>
            <w:shd w:val="clear" w:color="auto" w:fill="FFFFFF" w:themeFill="background1"/>
            <w:vAlign w:val="center"/>
          </w:tcPr>
          <w:p w14:paraId="53D68805" w14:textId="4001EDC4" w:rsidR="00E559A1" w:rsidRPr="004920F1" w:rsidRDefault="00E559A1" w:rsidP="00E559A1">
            <w:pPr>
              <w:spacing w:after="0"/>
              <w:rPr>
                <w:rFonts w:ascii="Arial" w:hAnsi="Arial" w:cs="Arial"/>
                <w:sz w:val="18"/>
              </w:rPr>
            </w:pPr>
            <w:r>
              <w:rPr>
                <w:rFonts w:ascii="Arial" w:hAnsi="Arial" w:cs="Arial"/>
                <w:sz w:val="18"/>
              </w:rPr>
              <w:t>Cumulative resources (2019-2030)</w:t>
            </w:r>
          </w:p>
        </w:tc>
        <w:tc>
          <w:tcPr>
            <w:tcW w:w="3007" w:type="dxa"/>
            <w:shd w:val="clear" w:color="auto" w:fill="FFFFFF" w:themeFill="background1"/>
            <w:vAlign w:val="center"/>
          </w:tcPr>
          <w:p w14:paraId="57EC6E6C" w14:textId="4CF5206B" w:rsidR="00E559A1" w:rsidRPr="004920F1" w:rsidRDefault="00E559A1" w:rsidP="00E559A1">
            <w:pPr>
              <w:spacing w:after="0"/>
              <w:rPr>
                <w:rFonts w:ascii="Arial" w:hAnsi="Arial" w:cs="Arial"/>
                <w:sz w:val="18"/>
              </w:rPr>
            </w:pPr>
            <w:r w:rsidRPr="00060DBD">
              <w:rPr>
                <w:rFonts w:ascii="Arial" w:hAnsi="Arial" w:cs="Arial"/>
                <w:sz w:val="18"/>
              </w:rPr>
              <w:t>USD 5.</w:t>
            </w:r>
            <w:r>
              <w:rPr>
                <w:rFonts w:ascii="Arial" w:hAnsi="Arial" w:cs="Arial"/>
                <w:sz w:val="18"/>
              </w:rPr>
              <w:t>8</w:t>
            </w:r>
            <w:r w:rsidRPr="00060DBD">
              <w:rPr>
                <w:rFonts w:ascii="Arial" w:hAnsi="Arial" w:cs="Arial"/>
                <w:sz w:val="18"/>
              </w:rPr>
              <w:t xml:space="preserve"> B</w:t>
            </w:r>
          </w:p>
        </w:tc>
      </w:tr>
      <w:tr w:rsidR="004B0065" w:rsidRPr="004920F1" w14:paraId="14F25A69" w14:textId="77777777" w:rsidTr="008544A5">
        <w:trPr>
          <w:trHeight w:val="201"/>
        </w:trPr>
        <w:tc>
          <w:tcPr>
            <w:tcW w:w="3248" w:type="dxa"/>
            <w:shd w:val="clear" w:color="auto" w:fill="FFFFFF" w:themeFill="background1"/>
            <w:vAlign w:val="center"/>
          </w:tcPr>
          <w:p w14:paraId="795F40D8" w14:textId="27ABF3BF" w:rsidR="004B0065" w:rsidRPr="004920F1" w:rsidRDefault="00512414" w:rsidP="004920F1">
            <w:pPr>
              <w:spacing w:after="0"/>
              <w:rPr>
                <w:rFonts w:ascii="Arial" w:hAnsi="Arial" w:cs="Arial"/>
                <w:b/>
                <w:sz w:val="18"/>
              </w:rPr>
            </w:pPr>
            <w:r>
              <w:rPr>
                <w:rFonts w:ascii="Arial" w:hAnsi="Arial" w:cs="Arial"/>
                <w:b/>
                <w:sz w:val="18"/>
              </w:rPr>
              <w:t>Optimization</w:t>
            </w:r>
            <w:r w:rsidR="004B0065" w:rsidRPr="004920F1">
              <w:rPr>
                <w:rFonts w:ascii="Arial" w:hAnsi="Arial" w:cs="Arial"/>
                <w:b/>
                <w:sz w:val="18"/>
              </w:rPr>
              <w:t xml:space="preserve"> </w:t>
            </w:r>
          </w:p>
        </w:tc>
        <w:tc>
          <w:tcPr>
            <w:tcW w:w="6014" w:type="dxa"/>
            <w:gridSpan w:val="2"/>
            <w:shd w:val="clear" w:color="auto" w:fill="FFFFFF" w:themeFill="background1"/>
            <w:vAlign w:val="center"/>
          </w:tcPr>
          <w:p w14:paraId="5647A0D8" w14:textId="1E50CFCD" w:rsidR="004B0065" w:rsidRPr="004920F1" w:rsidRDefault="004B0065" w:rsidP="004920F1">
            <w:pPr>
              <w:spacing w:after="0"/>
              <w:rPr>
                <w:rFonts w:ascii="Arial" w:hAnsi="Arial" w:cs="Arial"/>
                <w:sz w:val="18"/>
              </w:rPr>
            </w:pPr>
            <w:r w:rsidRPr="004920F1">
              <w:rPr>
                <w:rFonts w:ascii="Arial" w:hAnsi="Arial" w:cs="Arial"/>
                <w:sz w:val="18"/>
              </w:rPr>
              <w:t>No</w:t>
            </w:r>
            <w:r w:rsidR="00D8180A" w:rsidRPr="004920F1">
              <w:rPr>
                <w:rFonts w:ascii="Arial" w:hAnsi="Arial" w:cs="Arial"/>
                <w:sz w:val="18"/>
              </w:rPr>
              <w:t xml:space="preserve"> </w:t>
            </w:r>
            <w:r w:rsidR="00512414">
              <w:rPr>
                <w:rFonts w:ascii="Arial" w:hAnsi="Arial" w:cs="Arial"/>
                <w:sz w:val="18"/>
              </w:rPr>
              <w:t>optimization approaches scaled</w:t>
            </w:r>
          </w:p>
        </w:tc>
      </w:tr>
    </w:tbl>
    <w:p w14:paraId="0115F87D" w14:textId="77777777" w:rsidR="00A9563C" w:rsidRDefault="00A9563C" w:rsidP="00F07840"/>
    <w:p w14:paraId="0A62B817" w14:textId="6626DAB0" w:rsidR="002C4085" w:rsidRDefault="00F827F6" w:rsidP="00505F88">
      <w:pPr>
        <w:pStyle w:val="Heading3"/>
        <w:rPr>
          <w:rFonts w:ascii="Arial" w:hAnsi="Arial" w:cs="Arial"/>
          <w:i/>
          <w:color w:val="000000" w:themeColor="text1"/>
        </w:rPr>
      </w:pPr>
      <w:bookmarkStart w:id="71" w:name="_Toc57035166"/>
      <w:r>
        <w:rPr>
          <w:rFonts w:ascii="Arial" w:hAnsi="Arial" w:cs="Arial"/>
          <w:i/>
          <w:color w:val="000000" w:themeColor="text1"/>
        </w:rPr>
        <w:t>Impact</w:t>
      </w:r>
      <w:r w:rsidR="007714BC">
        <w:rPr>
          <w:rFonts w:ascii="Arial" w:hAnsi="Arial" w:cs="Arial"/>
          <w:i/>
          <w:color w:val="000000" w:themeColor="text1"/>
        </w:rPr>
        <w:t xml:space="preserve"> of </w:t>
      </w:r>
      <w:r w:rsidR="0059798C">
        <w:rPr>
          <w:rFonts w:ascii="Arial" w:hAnsi="Arial" w:cs="Arial"/>
          <w:i/>
          <w:color w:val="000000" w:themeColor="text1"/>
        </w:rPr>
        <w:t>Constant Coverage</w:t>
      </w:r>
      <w:bookmarkEnd w:id="71"/>
    </w:p>
    <w:p w14:paraId="07C57786" w14:textId="3D86FFB6" w:rsidR="005B067B" w:rsidRDefault="005B067B" w:rsidP="00505F88">
      <w:pPr>
        <w:spacing w:after="0"/>
      </w:pPr>
    </w:p>
    <w:p w14:paraId="7D4EF8A6" w14:textId="74FF866A" w:rsidR="00355514" w:rsidRPr="00505F88" w:rsidRDefault="005B067B" w:rsidP="00505F88">
      <w:pPr>
        <w:spacing w:after="0"/>
        <w:rPr>
          <w:rFonts w:ascii="Arial" w:hAnsi="Arial" w:cs="Arial"/>
        </w:rPr>
      </w:pPr>
      <w:r>
        <w:rPr>
          <w:rFonts w:ascii="Arial" w:hAnsi="Arial" w:cs="Arial"/>
        </w:rPr>
        <w:t xml:space="preserve">The impacts of </w:t>
      </w:r>
      <w:r w:rsidR="0059798C">
        <w:rPr>
          <w:rFonts w:ascii="Arial" w:hAnsi="Arial" w:cs="Arial"/>
        </w:rPr>
        <w:t xml:space="preserve">the Constant Coverage scenario </w:t>
      </w:r>
      <w:r>
        <w:rPr>
          <w:rFonts w:ascii="Arial" w:hAnsi="Arial" w:cs="Arial"/>
        </w:rPr>
        <w:t xml:space="preserve">represent the costs of inaction—what will occur in the absence of program scale-up from optimization or additional resource mobilization. </w:t>
      </w:r>
    </w:p>
    <w:p w14:paraId="68BCD037" w14:textId="77777777" w:rsidR="00AF7AC6" w:rsidRDefault="00AF7AC6" w:rsidP="00505F88">
      <w:pPr>
        <w:spacing w:after="0"/>
      </w:pPr>
    </w:p>
    <w:p w14:paraId="4F861C68" w14:textId="456FCE71" w:rsidR="00023406" w:rsidRDefault="00023406" w:rsidP="00AF7AC6">
      <w:pPr>
        <w:rPr>
          <w:rFonts w:ascii="Arial" w:hAnsi="Arial" w:cs="Arial"/>
        </w:rPr>
      </w:pPr>
      <w:r>
        <w:rPr>
          <w:rFonts w:ascii="Arial" w:hAnsi="Arial" w:cs="Arial"/>
          <w:b/>
        </w:rPr>
        <w:t>ART coverage.</w:t>
      </w:r>
      <w:r w:rsidR="00422E66">
        <w:rPr>
          <w:rFonts w:ascii="Arial" w:hAnsi="Arial" w:cs="Arial"/>
          <w:bCs/>
        </w:rPr>
        <w:t xml:space="preserve"> In 201</w:t>
      </w:r>
      <w:r w:rsidR="00BA002E">
        <w:rPr>
          <w:rFonts w:ascii="Arial" w:hAnsi="Arial" w:cs="Arial"/>
          <w:bCs/>
        </w:rPr>
        <w:t>7</w:t>
      </w:r>
      <w:r w:rsidR="00422E66">
        <w:rPr>
          <w:rFonts w:ascii="Arial" w:hAnsi="Arial" w:cs="Arial"/>
          <w:bCs/>
        </w:rPr>
        <w:t xml:space="preserve">, ART coverage among </w:t>
      </w:r>
      <w:r w:rsidR="00422E66" w:rsidRPr="00BA002E">
        <w:rPr>
          <w:rFonts w:ascii="Arial" w:hAnsi="Arial" w:cs="Arial"/>
          <w:bCs/>
        </w:rPr>
        <w:t>all</w:t>
      </w:r>
      <w:r w:rsidRPr="00BA002E">
        <w:rPr>
          <w:rFonts w:ascii="Arial" w:hAnsi="Arial" w:cs="Arial"/>
        </w:rPr>
        <w:t xml:space="preserve"> PLHIV </w:t>
      </w:r>
      <w:r w:rsidR="00422E66" w:rsidRPr="00BA002E">
        <w:rPr>
          <w:rFonts w:ascii="Arial" w:hAnsi="Arial" w:cs="Arial"/>
        </w:rPr>
        <w:t>was</w:t>
      </w:r>
      <w:r w:rsidR="00422E66">
        <w:rPr>
          <w:rFonts w:ascii="Arial" w:hAnsi="Arial" w:cs="Arial"/>
        </w:rPr>
        <w:t xml:space="preserve"> </w:t>
      </w:r>
      <w:r w:rsidR="00BA002E">
        <w:rPr>
          <w:rFonts w:ascii="Arial" w:hAnsi="Arial" w:cs="Arial"/>
        </w:rPr>
        <w:t>57</w:t>
      </w:r>
      <w:r w:rsidR="00422E66">
        <w:rPr>
          <w:rFonts w:ascii="Arial" w:hAnsi="Arial" w:cs="Arial"/>
        </w:rPr>
        <w:t>%</w:t>
      </w:r>
      <w:r w:rsidR="00BA002E">
        <w:rPr>
          <w:rFonts w:ascii="Arial" w:hAnsi="Arial" w:cs="Arial"/>
        </w:rPr>
        <w:t xml:space="preserve"> and 70% among adults 15 years and older</w:t>
      </w:r>
      <w:r w:rsidR="00422E66">
        <w:rPr>
          <w:rFonts w:ascii="Arial" w:hAnsi="Arial" w:cs="Arial"/>
        </w:rPr>
        <w:t>. The Constant Coverage scenario maintains this coverage, even</w:t>
      </w:r>
      <w:r>
        <w:rPr>
          <w:rFonts w:ascii="Arial" w:hAnsi="Arial" w:cs="Arial"/>
        </w:rPr>
        <w:t xml:space="preserve"> </w:t>
      </w:r>
      <w:r w:rsidR="00422E66">
        <w:rPr>
          <w:rFonts w:ascii="Arial" w:hAnsi="Arial" w:cs="Arial"/>
        </w:rPr>
        <w:t xml:space="preserve">with </w:t>
      </w:r>
      <w:r>
        <w:rPr>
          <w:rFonts w:ascii="Arial" w:hAnsi="Arial" w:cs="Arial"/>
        </w:rPr>
        <w:t>population growth</w:t>
      </w:r>
      <w:r w:rsidR="0097190A">
        <w:rPr>
          <w:rFonts w:ascii="Arial" w:hAnsi="Arial" w:cs="Arial"/>
        </w:rPr>
        <w:t xml:space="preserve"> and HIV incidence staying at high levels. </w:t>
      </w:r>
      <w:r>
        <w:rPr>
          <w:rFonts w:ascii="Arial" w:hAnsi="Arial" w:cs="Arial"/>
        </w:rPr>
        <w:t xml:space="preserve"> </w:t>
      </w:r>
      <w:r w:rsidR="0097190A">
        <w:rPr>
          <w:rFonts w:ascii="Arial" w:hAnsi="Arial" w:cs="Arial"/>
        </w:rPr>
        <w:t>As a result, Constant Coverage (as a percentage of all PLHIV) would mean</w:t>
      </w:r>
      <w:r>
        <w:rPr>
          <w:rFonts w:ascii="Arial" w:hAnsi="Arial" w:cs="Arial"/>
        </w:rPr>
        <w:t xml:space="preserve"> that the absolute number on ART w</w:t>
      </w:r>
      <w:r w:rsidR="0097190A">
        <w:rPr>
          <w:rFonts w:ascii="Arial" w:hAnsi="Arial" w:cs="Arial"/>
        </w:rPr>
        <w:t xml:space="preserve">ould </w:t>
      </w:r>
      <w:r>
        <w:rPr>
          <w:rFonts w:ascii="Arial" w:hAnsi="Arial" w:cs="Arial"/>
        </w:rPr>
        <w:t>increase</w:t>
      </w:r>
      <w:r w:rsidR="00F13131">
        <w:rPr>
          <w:rFonts w:ascii="Arial" w:hAnsi="Arial" w:cs="Arial"/>
        </w:rPr>
        <w:t xml:space="preserve"> from 1.06 M</w:t>
      </w:r>
      <w:r w:rsidR="0097190A">
        <w:rPr>
          <w:rFonts w:ascii="Arial" w:hAnsi="Arial" w:cs="Arial"/>
        </w:rPr>
        <w:t xml:space="preserve"> in 2019</w:t>
      </w:r>
      <w:r w:rsidR="00F13131">
        <w:rPr>
          <w:rFonts w:ascii="Arial" w:hAnsi="Arial" w:cs="Arial"/>
        </w:rPr>
        <w:t xml:space="preserve"> to 1.1 M PLHIV</w:t>
      </w:r>
      <w:r w:rsidR="0097190A">
        <w:rPr>
          <w:rFonts w:ascii="Arial" w:hAnsi="Arial" w:cs="Arial"/>
        </w:rPr>
        <w:t xml:space="preserve"> in 2030.</w:t>
      </w:r>
    </w:p>
    <w:p w14:paraId="745FC9CD" w14:textId="0E7A46EF" w:rsidR="00F13131" w:rsidRDefault="00A9563C" w:rsidP="00AF7AC6">
      <w:pPr>
        <w:rPr>
          <w:rFonts w:ascii="Arial" w:hAnsi="Arial" w:cs="Arial"/>
        </w:rPr>
      </w:pPr>
      <w:r w:rsidRPr="00A9563C">
        <w:rPr>
          <w:rFonts w:ascii="Arial" w:hAnsi="Arial" w:cs="Arial"/>
          <w:b/>
        </w:rPr>
        <w:t>New infections.</w:t>
      </w:r>
      <w:r>
        <w:rPr>
          <w:rFonts w:ascii="Arial" w:hAnsi="Arial" w:cs="Arial"/>
        </w:rPr>
        <w:t xml:space="preserve"> If Tanzania only maintains </w:t>
      </w:r>
      <w:r w:rsidR="0059798C">
        <w:rPr>
          <w:rFonts w:ascii="Arial" w:hAnsi="Arial" w:cs="Arial"/>
        </w:rPr>
        <w:t>constant coverage,</w:t>
      </w:r>
      <w:r w:rsidR="00AF7AC6">
        <w:rPr>
          <w:rFonts w:ascii="Arial" w:hAnsi="Arial" w:cs="Arial"/>
        </w:rPr>
        <w:t xml:space="preserve"> </w:t>
      </w:r>
      <w:r>
        <w:rPr>
          <w:rFonts w:ascii="Arial" w:hAnsi="Arial" w:cs="Arial"/>
        </w:rPr>
        <w:t>53</w:t>
      </w:r>
      <w:r w:rsidR="000F5E56">
        <w:rPr>
          <w:rFonts w:ascii="Arial" w:hAnsi="Arial" w:cs="Arial"/>
        </w:rPr>
        <w:t>3</w:t>
      </w:r>
      <w:r>
        <w:rPr>
          <w:rFonts w:ascii="Arial" w:hAnsi="Arial" w:cs="Arial"/>
        </w:rPr>
        <w:t>,</w:t>
      </w:r>
      <w:r w:rsidR="000F5E56">
        <w:rPr>
          <w:rFonts w:ascii="Arial" w:hAnsi="Arial" w:cs="Arial"/>
        </w:rPr>
        <w:t>000</w:t>
      </w:r>
      <w:r>
        <w:rPr>
          <w:rFonts w:ascii="Arial" w:hAnsi="Arial" w:cs="Arial"/>
        </w:rPr>
        <w:t xml:space="preserve"> new infections will occur from 2019-2030. Annual new infections will stay relatively constant. In 2019, annual new infections will be 44,903 compared to 44,</w:t>
      </w:r>
      <w:r w:rsidR="000F5E56">
        <w:rPr>
          <w:rFonts w:ascii="Arial" w:hAnsi="Arial" w:cs="Arial"/>
        </w:rPr>
        <w:t>000</w:t>
      </w:r>
      <w:r>
        <w:rPr>
          <w:rFonts w:ascii="Arial" w:hAnsi="Arial" w:cs="Arial"/>
        </w:rPr>
        <w:t xml:space="preserve"> in 2030, a 2% reduction. This means Tanzania would fall significantly short of the Fast Track target of a 90% reduction in new infections from 2010 to 2030 with only a 55% reduction in this time period.  </w:t>
      </w:r>
      <w:r w:rsidR="0059798C">
        <w:rPr>
          <w:rFonts w:ascii="Arial" w:hAnsi="Arial" w:cs="Arial"/>
        </w:rPr>
        <w:t xml:space="preserve">Constant Coverage </w:t>
      </w:r>
      <w:r w:rsidR="00F13131">
        <w:rPr>
          <w:rFonts w:ascii="Arial" w:hAnsi="Arial" w:cs="Arial"/>
        </w:rPr>
        <w:t xml:space="preserve">would be particularly </w:t>
      </w:r>
      <w:r w:rsidR="00E41D5E">
        <w:rPr>
          <w:rFonts w:ascii="Arial" w:hAnsi="Arial" w:cs="Arial"/>
        </w:rPr>
        <w:t>bad news for new infections among adolescents. New infections would increase from 1</w:t>
      </w:r>
      <w:r w:rsidR="000F5E56">
        <w:rPr>
          <w:rFonts w:ascii="Arial" w:hAnsi="Arial" w:cs="Arial"/>
        </w:rPr>
        <w:t>2,000</w:t>
      </w:r>
      <w:r w:rsidR="00E41D5E">
        <w:rPr>
          <w:rFonts w:ascii="Arial" w:hAnsi="Arial" w:cs="Arial"/>
        </w:rPr>
        <w:t xml:space="preserve"> annually in 2019 to 13,</w:t>
      </w:r>
      <w:r w:rsidR="000F5E56">
        <w:rPr>
          <w:rFonts w:ascii="Arial" w:hAnsi="Arial" w:cs="Arial"/>
        </w:rPr>
        <w:t>000</w:t>
      </w:r>
      <w:r w:rsidR="00E41D5E">
        <w:rPr>
          <w:rFonts w:ascii="Arial" w:hAnsi="Arial" w:cs="Arial"/>
        </w:rPr>
        <w:t xml:space="preserve"> in 2030, a 9%</w:t>
      </w:r>
      <w:r w:rsidR="007332F9">
        <w:rPr>
          <w:rFonts w:ascii="Arial" w:hAnsi="Arial" w:cs="Arial"/>
        </w:rPr>
        <w:t xml:space="preserve"> rise</w:t>
      </w:r>
      <w:r w:rsidR="00E41D5E">
        <w:rPr>
          <w:rFonts w:ascii="Arial" w:hAnsi="Arial" w:cs="Arial"/>
        </w:rPr>
        <w:t xml:space="preserve">. </w:t>
      </w:r>
    </w:p>
    <w:p w14:paraId="29F53A7B" w14:textId="21876293" w:rsidR="009E25B2" w:rsidRDefault="009E25B2" w:rsidP="00AF7AC6">
      <w:pPr>
        <w:rPr>
          <w:rFonts w:ascii="Arial" w:hAnsi="Arial" w:cs="Arial"/>
        </w:rPr>
      </w:pPr>
    </w:p>
    <w:p w14:paraId="61DD68F5" w14:textId="49177049" w:rsidR="009E25B2" w:rsidRDefault="009E25B2" w:rsidP="00AF7AC6">
      <w:pPr>
        <w:rPr>
          <w:rFonts w:ascii="Arial" w:hAnsi="Arial" w:cs="Arial"/>
        </w:rPr>
      </w:pPr>
    </w:p>
    <w:p w14:paraId="233B8347" w14:textId="3D27FDB4" w:rsidR="009E25B2" w:rsidRDefault="009E25B2" w:rsidP="00AF7AC6">
      <w:pPr>
        <w:rPr>
          <w:rFonts w:ascii="Arial" w:hAnsi="Arial" w:cs="Arial"/>
        </w:rPr>
      </w:pPr>
    </w:p>
    <w:p w14:paraId="423CC419" w14:textId="303BC787" w:rsidR="009E25B2" w:rsidRDefault="009E25B2" w:rsidP="00AF7AC6">
      <w:pPr>
        <w:rPr>
          <w:rFonts w:ascii="Arial" w:hAnsi="Arial" w:cs="Arial"/>
        </w:rPr>
      </w:pPr>
    </w:p>
    <w:p w14:paraId="61E8553B" w14:textId="0BA25581" w:rsidR="009E25B2" w:rsidRDefault="009E25B2" w:rsidP="00AF7AC6">
      <w:pPr>
        <w:rPr>
          <w:rFonts w:ascii="Arial" w:hAnsi="Arial" w:cs="Arial"/>
        </w:rPr>
      </w:pPr>
      <w:r w:rsidRPr="00A9563C">
        <w:rPr>
          <w:rFonts w:ascii="Arial" w:hAnsi="Arial" w:cs="Arial"/>
          <w:b/>
          <w:noProof/>
        </w:rPr>
        <w:drawing>
          <wp:anchor distT="0" distB="0" distL="114300" distR="114300" simplePos="0" relativeHeight="251783168" behindDoc="0" locked="0" layoutInCell="1" allowOverlap="1" wp14:anchorId="2030AA70" wp14:editId="314A7078">
            <wp:simplePos x="0" y="0"/>
            <wp:positionH relativeFrom="margin">
              <wp:posOffset>281940</wp:posOffset>
            </wp:positionH>
            <wp:positionV relativeFrom="paragraph">
              <wp:posOffset>304800</wp:posOffset>
            </wp:positionV>
            <wp:extent cx="4876800" cy="2019300"/>
            <wp:effectExtent l="0" t="0" r="0" b="0"/>
            <wp:wrapTopAndBottom/>
            <wp:docPr id="18" name="Chart 18">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rFonts w:ascii="Arial" w:hAnsi="Arial" w:cs="Arial"/>
          <w:i/>
          <w:iCs/>
          <w:sz w:val="18"/>
          <w:szCs w:val="18"/>
        </w:rPr>
        <w:t>Figure 4-2. New infections 2019-2030</w:t>
      </w:r>
    </w:p>
    <w:p w14:paraId="282E9848" w14:textId="77777777" w:rsidR="009E25B2" w:rsidRPr="00F13131" w:rsidRDefault="009E25B2" w:rsidP="00AF7AC6">
      <w:pPr>
        <w:rPr>
          <w:rFonts w:ascii="Arial" w:hAnsi="Arial" w:cs="Arial"/>
        </w:rPr>
      </w:pPr>
    </w:p>
    <w:p w14:paraId="457B0114" w14:textId="7CE668E4" w:rsidR="00A9563C" w:rsidRDefault="00A9563C" w:rsidP="00AF7AC6">
      <w:pPr>
        <w:rPr>
          <w:rFonts w:ascii="Arial" w:hAnsi="Arial" w:cs="Arial"/>
        </w:rPr>
      </w:pPr>
      <w:r w:rsidRPr="00F827F6">
        <w:rPr>
          <w:rFonts w:ascii="Arial" w:hAnsi="Arial" w:cs="Arial"/>
          <w:b/>
        </w:rPr>
        <w:t xml:space="preserve">AIDS-related deaths. </w:t>
      </w:r>
      <w:r w:rsidR="00F827F6" w:rsidRPr="00F827F6">
        <w:rPr>
          <w:rFonts w:ascii="Arial" w:hAnsi="Arial" w:cs="Arial"/>
        </w:rPr>
        <w:t>In a reversal of past progress,</w:t>
      </w:r>
      <w:r w:rsidR="00F827F6" w:rsidRPr="00F827F6">
        <w:rPr>
          <w:rFonts w:ascii="Arial" w:hAnsi="Arial" w:cs="Arial"/>
          <w:b/>
        </w:rPr>
        <w:t xml:space="preserve"> </w:t>
      </w:r>
      <w:r w:rsidRPr="00F827F6">
        <w:rPr>
          <w:rFonts w:ascii="Arial" w:hAnsi="Arial" w:cs="Arial"/>
        </w:rPr>
        <w:t>AIDS-related deaths w</w:t>
      </w:r>
      <w:r w:rsidR="00C70433">
        <w:rPr>
          <w:rFonts w:ascii="Arial" w:hAnsi="Arial" w:cs="Arial"/>
        </w:rPr>
        <w:t>ould</w:t>
      </w:r>
      <w:r w:rsidR="00F827F6" w:rsidRPr="00F827F6">
        <w:rPr>
          <w:rFonts w:ascii="Arial" w:hAnsi="Arial" w:cs="Arial"/>
        </w:rPr>
        <w:t xml:space="preserve"> </w:t>
      </w:r>
      <w:r w:rsidRPr="00F827F6">
        <w:rPr>
          <w:rFonts w:ascii="Arial" w:hAnsi="Arial" w:cs="Arial"/>
        </w:rPr>
        <w:t xml:space="preserve">increase under </w:t>
      </w:r>
      <w:r w:rsidR="0059798C">
        <w:rPr>
          <w:rFonts w:ascii="Arial" w:hAnsi="Arial" w:cs="Arial"/>
        </w:rPr>
        <w:t xml:space="preserve">Constant Coverage </w:t>
      </w:r>
      <w:r w:rsidRPr="00F827F6">
        <w:rPr>
          <w:rFonts w:ascii="Arial" w:hAnsi="Arial" w:cs="Arial"/>
        </w:rPr>
        <w:t>from 28,</w:t>
      </w:r>
      <w:r w:rsidR="000F5E56">
        <w:rPr>
          <w:rFonts w:ascii="Arial" w:hAnsi="Arial" w:cs="Arial"/>
        </w:rPr>
        <w:t>000</w:t>
      </w:r>
      <w:r w:rsidRPr="00F827F6">
        <w:rPr>
          <w:rFonts w:ascii="Arial" w:hAnsi="Arial" w:cs="Arial"/>
        </w:rPr>
        <w:t xml:space="preserve"> annually in 2019 to 38,588 annually in 2030. </w:t>
      </w:r>
      <w:r w:rsidR="00F827F6" w:rsidRPr="00F827F6">
        <w:rPr>
          <w:rFonts w:ascii="Arial" w:hAnsi="Arial" w:cs="Arial"/>
        </w:rPr>
        <w:t>In total, 40</w:t>
      </w:r>
      <w:r w:rsidR="000F5E56">
        <w:rPr>
          <w:rFonts w:ascii="Arial" w:hAnsi="Arial" w:cs="Arial"/>
        </w:rPr>
        <w:t>8</w:t>
      </w:r>
      <w:r w:rsidR="00F827F6" w:rsidRPr="00F827F6">
        <w:rPr>
          <w:rFonts w:ascii="Arial" w:hAnsi="Arial" w:cs="Arial"/>
        </w:rPr>
        <w:t>,</w:t>
      </w:r>
      <w:r w:rsidR="000F5E56">
        <w:rPr>
          <w:rFonts w:ascii="Arial" w:hAnsi="Arial" w:cs="Arial"/>
        </w:rPr>
        <w:t>000</w:t>
      </w:r>
      <w:r w:rsidR="00F827F6" w:rsidRPr="00F827F6">
        <w:rPr>
          <w:rFonts w:ascii="Arial" w:hAnsi="Arial" w:cs="Arial"/>
        </w:rPr>
        <w:t xml:space="preserve"> AIDS-related deaths w</w:t>
      </w:r>
      <w:r w:rsidR="00C70433">
        <w:rPr>
          <w:rFonts w:ascii="Arial" w:hAnsi="Arial" w:cs="Arial"/>
        </w:rPr>
        <w:t xml:space="preserve">ould </w:t>
      </w:r>
      <w:r w:rsidR="00F827F6" w:rsidRPr="00F827F6">
        <w:rPr>
          <w:rFonts w:ascii="Arial" w:hAnsi="Arial" w:cs="Arial"/>
        </w:rPr>
        <w:t xml:space="preserve">occur from 2019-2030. Tanzania would see only a 53% reduction in AIDS-related deaths from 2010-2030, again falling significantly short of the Fast Track 90% mortality reduction target. </w:t>
      </w:r>
    </w:p>
    <w:p w14:paraId="69E8C4B4" w14:textId="525D7689" w:rsidR="00D5288C" w:rsidRPr="008544A5" w:rsidRDefault="008544A5" w:rsidP="00D5288C">
      <w:pPr>
        <w:rPr>
          <w:rFonts w:ascii="Arial" w:hAnsi="Arial" w:cs="Arial"/>
          <w:i/>
          <w:sz w:val="18"/>
        </w:rPr>
      </w:pPr>
      <w:r w:rsidRPr="00F827F6">
        <w:rPr>
          <w:rFonts w:ascii="Arial" w:hAnsi="Arial" w:cs="Arial"/>
          <w:b/>
          <w:noProof/>
        </w:rPr>
        <w:drawing>
          <wp:anchor distT="0" distB="0" distL="114300" distR="114300" simplePos="0" relativeHeight="251758592" behindDoc="0" locked="0" layoutInCell="1" allowOverlap="1" wp14:anchorId="4CA8329B" wp14:editId="3C3D4612">
            <wp:simplePos x="0" y="0"/>
            <wp:positionH relativeFrom="column">
              <wp:posOffset>335280</wp:posOffset>
            </wp:positionH>
            <wp:positionV relativeFrom="paragraph">
              <wp:posOffset>225425</wp:posOffset>
            </wp:positionV>
            <wp:extent cx="4861560" cy="1828800"/>
            <wp:effectExtent l="0" t="0" r="15240" b="0"/>
            <wp:wrapTopAndBottom/>
            <wp:docPr id="127" name="Chart 127">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D5288C" w:rsidRPr="008544A5">
        <w:rPr>
          <w:rFonts w:ascii="Arial" w:hAnsi="Arial" w:cs="Arial"/>
          <w:i/>
          <w:sz w:val="18"/>
        </w:rPr>
        <w:t>Figure</w:t>
      </w:r>
      <w:r w:rsidR="00D5288C">
        <w:rPr>
          <w:rFonts w:ascii="Arial" w:hAnsi="Arial" w:cs="Arial"/>
          <w:i/>
          <w:sz w:val="18"/>
        </w:rPr>
        <w:t xml:space="preserve"> 4</w:t>
      </w:r>
      <w:r w:rsidR="00D5288C" w:rsidRPr="008544A5">
        <w:rPr>
          <w:rFonts w:ascii="Arial" w:hAnsi="Arial" w:cs="Arial"/>
          <w:i/>
          <w:sz w:val="18"/>
        </w:rPr>
        <w:t>-</w:t>
      </w:r>
      <w:r w:rsidR="009E25B2">
        <w:rPr>
          <w:rFonts w:ascii="Arial" w:hAnsi="Arial" w:cs="Arial"/>
          <w:i/>
          <w:sz w:val="18"/>
        </w:rPr>
        <w:t>3</w:t>
      </w:r>
      <w:r w:rsidR="00D5288C" w:rsidRPr="008544A5">
        <w:rPr>
          <w:rFonts w:ascii="Arial" w:hAnsi="Arial" w:cs="Arial"/>
          <w:i/>
          <w:sz w:val="18"/>
        </w:rPr>
        <w:t>. AIDS-related deaths 2019-2030</w:t>
      </w:r>
    </w:p>
    <w:p w14:paraId="30686C86" w14:textId="734116F8" w:rsidR="00D5288C" w:rsidRDefault="00D5288C" w:rsidP="00AF7AC6">
      <w:pPr>
        <w:rPr>
          <w:rFonts w:ascii="Arial" w:hAnsi="Arial" w:cs="Arial"/>
        </w:rPr>
      </w:pPr>
    </w:p>
    <w:p w14:paraId="060CB18F" w14:textId="069077A9" w:rsidR="00FF58F2" w:rsidRPr="00116101" w:rsidRDefault="00FF58F2" w:rsidP="00116101">
      <w:pPr>
        <w:spacing w:after="0"/>
        <w:rPr>
          <w:rFonts w:ascii="Arial" w:hAnsi="Arial" w:cs="Arial"/>
        </w:rPr>
      </w:pPr>
      <w:r w:rsidRPr="00116101">
        <w:rPr>
          <w:rFonts w:ascii="Arial" w:hAnsi="Arial" w:cs="Arial"/>
          <w:b/>
          <w:bCs/>
        </w:rPr>
        <w:t>Life expectancy.</w:t>
      </w:r>
      <w:r w:rsidR="00E2270C" w:rsidRPr="00116101">
        <w:rPr>
          <w:rFonts w:ascii="Arial" w:hAnsi="Arial" w:cs="Arial"/>
          <w:b/>
          <w:bCs/>
        </w:rPr>
        <w:t xml:space="preserve"> </w:t>
      </w:r>
      <w:r w:rsidR="00D36B04" w:rsidRPr="00116101">
        <w:rPr>
          <w:rFonts w:ascii="Arial" w:hAnsi="Arial" w:cs="Arial"/>
        </w:rPr>
        <w:t xml:space="preserve">Under </w:t>
      </w:r>
      <w:r w:rsidR="0059798C" w:rsidRPr="00116101">
        <w:rPr>
          <w:rFonts w:ascii="Arial" w:hAnsi="Arial" w:cs="Arial"/>
        </w:rPr>
        <w:t>Constant Coverage</w:t>
      </w:r>
      <w:r w:rsidR="00D36B04" w:rsidRPr="00116101">
        <w:rPr>
          <w:rFonts w:ascii="Arial" w:hAnsi="Arial" w:cs="Arial"/>
        </w:rPr>
        <w:t>, average life expectancy would increase from 66.8 years in 2019 to 67.03 years in 2020, 67.7 years in 2025, and 68.88 years in 203. The effect of increasing incomes and overall improved access to healthcare on life expectancy during this time period would outweigh the rise in AIDS-mortality.</w:t>
      </w:r>
    </w:p>
    <w:p w14:paraId="32DC967D" w14:textId="77777777" w:rsidR="00FF58F2" w:rsidRDefault="00FF58F2" w:rsidP="00116101">
      <w:pPr>
        <w:pStyle w:val="Heading3"/>
        <w:spacing w:before="0"/>
        <w:rPr>
          <w:rFonts w:ascii="Arial" w:hAnsi="Arial" w:cs="Arial"/>
          <w:i/>
          <w:color w:val="000000" w:themeColor="text1"/>
        </w:rPr>
      </w:pPr>
    </w:p>
    <w:p w14:paraId="0AB8CD3E" w14:textId="5D203347" w:rsidR="00F827F6" w:rsidRDefault="00023406" w:rsidP="00505F88">
      <w:pPr>
        <w:pStyle w:val="Heading3"/>
        <w:rPr>
          <w:rFonts w:ascii="Arial" w:hAnsi="Arial" w:cs="Arial"/>
          <w:i/>
          <w:color w:val="000000" w:themeColor="text1"/>
        </w:rPr>
      </w:pPr>
      <w:bookmarkStart w:id="72" w:name="_Toc57035167"/>
      <w:r w:rsidRPr="00023406">
        <w:rPr>
          <w:rFonts w:ascii="Arial" w:hAnsi="Arial" w:cs="Arial"/>
          <w:i/>
          <w:color w:val="000000" w:themeColor="text1"/>
        </w:rPr>
        <w:t>Costs</w:t>
      </w:r>
      <w:r w:rsidR="007714BC">
        <w:rPr>
          <w:rFonts w:ascii="Arial" w:hAnsi="Arial" w:cs="Arial"/>
          <w:i/>
          <w:color w:val="000000" w:themeColor="text1"/>
        </w:rPr>
        <w:t xml:space="preserve"> of </w:t>
      </w:r>
      <w:r w:rsidR="0059798C">
        <w:rPr>
          <w:rFonts w:ascii="Arial" w:hAnsi="Arial" w:cs="Arial"/>
          <w:i/>
          <w:color w:val="000000" w:themeColor="text1"/>
        </w:rPr>
        <w:t>Constant Coverage</w:t>
      </w:r>
      <w:bookmarkEnd w:id="72"/>
    </w:p>
    <w:p w14:paraId="2E9ACF12" w14:textId="0406AAED" w:rsidR="008B4CB7" w:rsidRDefault="008B4CB7" w:rsidP="00505F88">
      <w:pPr>
        <w:spacing w:after="0"/>
      </w:pPr>
    </w:p>
    <w:p w14:paraId="0ED80138" w14:textId="51DDB6F5" w:rsidR="008B4CB7" w:rsidRPr="008B4CB7" w:rsidRDefault="0059798C" w:rsidP="00505F88">
      <w:pPr>
        <w:spacing w:after="0"/>
        <w:rPr>
          <w:rFonts w:ascii="Arial" w:hAnsi="Arial" w:cs="Arial"/>
        </w:rPr>
      </w:pPr>
      <w:r>
        <w:rPr>
          <w:rFonts w:ascii="Arial" w:hAnsi="Arial" w:cs="Arial"/>
        </w:rPr>
        <w:t>Costs to maintain Constant Coverage would increase</w:t>
      </w:r>
      <w:r w:rsidR="00C70433">
        <w:rPr>
          <w:rFonts w:ascii="Arial" w:hAnsi="Arial" w:cs="Arial"/>
        </w:rPr>
        <w:t xml:space="preserve"> from</w:t>
      </w:r>
      <w:r w:rsidR="0044237A">
        <w:rPr>
          <w:rFonts w:ascii="Arial" w:hAnsi="Arial" w:cs="Arial"/>
        </w:rPr>
        <w:t xml:space="preserve"> </w:t>
      </w:r>
      <w:r w:rsidR="008B4CB7">
        <w:rPr>
          <w:rFonts w:ascii="Arial" w:hAnsi="Arial" w:cs="Arial"/>
        </w:rPr>
        <w:t xml:space="preserve">USD 461 M in 2019 </w:t>
      </w:r>
      <w:r w:rsidR="00C70433">
        <w:rPr>
          <w:rFonts w:ascii="Arial" w:hAnsi="Arial" w:cs="Arial"/>
        </w:rPr>
        <w:t>to</w:t>
      </w:r>
      <w:r w:rsidR="008B4CB7">
        <w:rPr>
          <w:rFonts w:ascii="Arial" w:hAnsi="Arial" w:cs="Arial"/>
        </w:rPr>
        <w:t xml:space="preserve"> USD 500 M in 2030.</w:t>
      </w:r>
      <w:r w:rsidR="007714BC">
        <w:rPr>
          <w:rFonts w:ascii="Arial" w:hAnsi="Arial" w:cs="Arial"/>
        </w:rPr>
        <w:t xml:space="preserve"> </w:t>
      </w:r>
      <w:r w:rsidR="00C601C7">
        <w:rPr>
          <w:rFonts w:ascii="Arial" w:hAnsi="Arial" w:cs="Arial"/>
        </w:rPr>
        <w:t>Given that external funding for HIV is not likely to increase, this increase w</w:t>
      </w:r>
      <w:r w:rsidR="007332F9">
        <w:rPr>
          <w:rFonts w:ascii="Arial" w:hAnsi="Arial" w:cs="Arial"/>
        </w:rPr>
        <w:t xml:space="preserve">ould </w:t>
      </w:r>
      <w:r w:rsidR="00C601C7">
        <w:rPr>
          <w:rFonts w:ascii="Arial" w:hAnsi="Arial" w:cs="Arial"/>
        </w:rPr>
        <w:t xml:space="preserve">have to be funded from domestic sources. </w:t>
      </w:r>
      <w:r w:rsidR="00077322">
        <w:rPr>
          <w:rFonts w:ascii="Arial" w:hAnsi="Arial" w:cs="Arial"/>
        </w:rPr>
        <w:t>In most</w:t>
      </w:r>
      <w:r w:rsidR="00C70433">
        <w:rPr>
          <w:rFonts w:ascii="Arial" w:hAnsi="Arial" w:cs="Arial"/>
        </w:rPr>
        <w:t xml:space="preserve"> HIV</w:t>
      </w:r>
      <w:r w:rsidR="00077322">
        <w:rPr>
          <w:rFonts w:ascii="Arial" w:hAnsi="Arial" w:cs="Arial"/>
        </w:rPr>
        <w:t xml:space="preserve"> investment cases</w:t>
      </w:r>
      <w:r>
        <w:rPr>
          <w:rFonts w:ascii="Arial" w:hAnsi="Arial" w:cs="Arial"/>
        </w:rPr>
        <w:t xml:space="preserve">, Constant Coverage </w:t>
      </w:r>
      <w:r w:rsidR="00077322">
        <w:rPr>
          <w:rFonts w:ascii="Arial" w:hAnsi="Arial" w:cs="Arial"/>
        </w:rPr>
        <w:t>is the conservative financing scenario</w:t>
      </w:r>
      <w:r w:rsidR="007332F9">
        <w:rPr>
          <w:rFonts w:ascii="Arial" w:hAnsi="Arial" w:cs="Arial"/>
        </w:rPr>
        <w:t>,</w:t>
      </w:r>
      <w:r w:rsidR="00077322">
        <w:rPr>
          <w:rFonts w:ascii="Arial" w:hAnsi="Arial" w:cs="Arial"/>
        </w:rPr>
        <w:t xml:space="preserve"> but in the Tanzanian context </w:t>
      </w:r>
      <w:r>
        <w:rPr>
          <w:rFonts w:ascii="Arial" w:hAnsi="Arial" w:cs="Arial"/>
        </w:rPr>
        <w:t xml:space="preserve">even </w:t>
      </w:r>
      <w:r w:rsidR="00077322">
        <w:rPr>
          <w:rFonts w:ascii="Arial" w:hAnsi="Arial" w:cs="Arial"/>
        </w:rPr>
        <w:t xml:space="preserve">maintaining spending </w:t>
      </w:r>
      <w:r>
        <w:rPr>
          <w:rFonts w:ascii="Arial" w:hAnsi="Arial" w:cs="Arial"/>
        </w:rPr>
        <w:t xml:space="preserve">levels in this scenario </w:t>
      </w:r>
      <w:r w:rsidR="00C70433">
        <w:rPr>
          <w:rFonts w:ascii="Arial" w:hAnsi="Arial" w:cs="Arial"/>
        </w:rPr>
        <w:t>will be challenging.</w:t>
      </w:r>
    </w:p>
    <w:p w14:paraId="1B97DDFB" w14:textId="15AF6427" w:rsidR="003E1382" w:rsidRDefault="003E1382" w:rsidP="00A178D1"/>
    <w:p w14:paraId="04A1EFAF" w14:textId="77777777" w:rsidR="00093605" w:rsidRPr="00A178D1" w:rsidRDefault="00093605" w:rsidP="00A178D1"/>
    <w:p w14:paraId="53B5A722" w14:textId="38F1EE16" w:rsidR="009409CD" w:rsidRDefault="009409CD" w:rsidP="00505F88">
      <w:pPr>
        <w:pStyle w:val="Heading3"/>
        <w:spacing w:before="0"/>
        <w:rPr>
          <w:rFonts w:ascii="Arial" w:hAnsi="Arial" w:cs="Arial"/>
          <w:i/>
          <w:color w:val="000000" w:themeColor="text1"/>
        </w:rPr>
      </w:pPr>
      <w:bookmarkStart w:id="73" w:name="_Toc57035168"/>
      <w:r>
        <w:rPr>
          <w:rFonts w:ascii="Arial" w:hAnsi="Arial" w:cs="Arial"/>
          <w:i/>
          <w:color w:val="000000" w:themeColor="text1"/>
        </w:rPr>
        <w:t xml:space="preserve">Takeaways of </w:t>
      </w:r>
      <w:r w:rsidR="0059798C">
        <w:rPr>
          <w:rFonts w:ascii="Arial" w:hAnsi="Arial" w:cs="Arial"/>
          <w:i/>
          <w:color w:val="000000" w:themeColor="text1"/>
        </w:rPr>
        <w:t>Constant Coverage</w:t>
      </w:r>
      <w:bookmarkEnd w:id="73"/>
      <w:r w:rsidR="00534FF7">
        <w:rPr>
          <w:rFonts w:ascii="Arial" w:hAnsi="Arial" w:cs="Arial"/>
          <w:i/>
          <w:color w:val="000000" w:themeColor="text1"/>
        </w:rPr>
        <w:t xml:space="preserve"> </w:t>
      </w:r>
    </w:p>
    <w:p w14:paraId="23CDEB44" w14:textId="2DC75BAF" w:rsidR="009409CD" w:rsidRDefault="009409CD" w:rsidP="00505F88">
      <w:pPr>
        <w:spacing w:after="0"/>
      </w:pPr>
    </w:p>
    <w:p w14:paraId="390F7483" w14:textId="43256776" w:rsidR="00C00118" w:rsidRDefault="009409CD" w:rsidP="00355514">
      <w:pPr>
        <w:spacing w:after="0"/>
        <w:rPr>
          <w:rFonts w:ascii="Arial" w:hAnsi="Arial" w:cs="Arial"/>
          <w:i/>
          <w:sz w:val="18"/>
        </w:rPr>
      </w:pPr>
      <w:r w:rsidRPr="009409CD">
        <w:rPr>
          <w:rFonts w:ascii="Arial" w:hAnsi="Arial" w:cs="Arial"/>
        </w:rPr>
        <w:t xml:space="preserve">If </w:t>
      </w:r>
      <w:r>
        <w:rPr>
          <w:rFonts w:ascii="Arial" w:hAnsi="Arial" w:cs="Arial"/>
        </w:rPr>
        <w:t xml:space="preserve">only </w:t>
      </w:r>
      <w:r w:rsidR="0059798C">
        <w:rPr>
          <w:rFonts w:ascii="Arial" w:hAnsi="Arial" w:cs="Arial"/>
        </w:rPr>
        <w:t xml:space="preserve">Constant Coverage is </w:t>
      </w:r>
      <w:r>
        <w:rPr>
          <w:rFonts w:ascii="Arial" w:hAnsi="Arial" w:cs="Arial"/>
        </w:rPr>
        <w:t xml:space="preserve">maintained, </w:t>
      </w:r>
      <w:r w:rsidR="0059798C">
        <w:rPr>
          <w:rFonts w:ascii="Arial" w:hAnsi="Arial" w:cs="Arial"/>
        </w:rPr>
        <w:t xml:space="preserve">the </w:t>
      </w:r>
      <w:r w:rsidR="007332F9">
        <w:rPr>
          <w:rFonts w:ascii="Arial" w:hAnsi="Arial" w:cs="Arial"/>
        </w:rPr>
        <w:t xml:space="preserve">impacts of </w:t>
      </w:r>
      <w:r w:rsidR="005B067B">
        <w:rPr>
          <w:rFonts w:ascii="Arial" w:hAnsi="Arial" w:cs="Arial"/>
        </w:rPr>
        <w:t xml:space="preserve">inaction </w:t>
      </w:r>
      <w:r w:rsidR="00622DFC">
        <w:rPr>
          <w:rFonts w:ascii="Arial" w:hAnsi="Arial" w:cs="Arial"/>
        </w:rPr>
        <w:t xml:space="preserve">are that </w:t>
      </w:r>
      <w:r>
        <w:rPr>
          <w:rFonts w:ascii="Arial" w:hAnsi="Arial" w:cs="Arial"/>
        </w:rPr>
        <w:t xml:space="preserve">ART coverage will </w:t>
      </w:r>
      <w:r w:rsidR="0059798C">
        <w:rPr>
          <w:rFonts w:ascii="Arial" w:hAnsi="Arial" w:cs="Arial"/>
        </w:rPr>
        <w:t>not grow</w:t>
      </w:r>
      <w:r w:rsidR="005B067B">
        <w:rPr>
          <w:rFonts w:ascii="Arial" w:hAnsi="Arial" w:cs="Arial"/>
        </w:rPr>
        <w:t>; a</w:t>
      </w:r>
      <w:r>
        <w:rPr>
          <w:rFonts w:ascii="Arial" w:hAnsi="Arial" w:cs="Arial"/>
        </w:rPr>
        <w:t xml:space="preserve">nnual new infections will stay </w:t>
      </w:r>
      <w:r w:rsidR="00C601C7">
        <w:rPr>
          <w:rFonts w:ascii="Arial" w:hAnsi="Arial" w:cs="Arial"/>
        </w:rPr>
        <w:t>approximately</w:t>
      </w:r>
      <w:r w:rsidR="005B067B">
        <w:rPr>
          <w:rFonts w:ascii="Arial" w:hAnsi="Arial" w:cs="Arial"/>
        </w:rPr>
        <w:t xml:space="preserve"> at current levels; </w:t>
      </w:r>
      <w:r>
        <w:rPr>
          <w:rFonts w:ascii="Arial" w:hAnsi="Arial" w:cs="Arial"/>
        </w:rPr>
        <w:t>annual AIDS-deaths will increase</w:t>
      </w:r>
      <w:r w:rsidR="005B067B">
        <w:rPr>
          <w:rFonts w:ascii="Arial" w:hAnsi="Arial" w:cs="Arial"/>
        </w:rPr>
        <w:t>; and</w:t>
      </w:r>
      <w:r>
        <w:rPr>
          <w:rFonts w:ascii="Arial" w:hAnsi="Arial" w:cs="Arial"/>
        </w:rPr>
        <w:t xml:space="preserve"> Tanzania will fall significantly short of Fast Track targets</w:t>
      </w:r>
      <w:r w:rsidR="00275F30">
        <w:rPr>
          <w:rFonts w:ascii="Arial" w:hAnsi="Arial" w:cs="Arial"/>
        </w:rPr>
        <w:t xml:space="preserve"> (</w:t>
      </w:r>
      <w:r w:rsidR="00275F30" w:rsidRPr="00585A95">
        <w:rPr>
          <w:rFonts w:ascii="Arial" w:hAnsi="Arial" w:cs="Arial"/>
          <w:i/>
        </w:rPr>
        <w:t xml:space="preserve">Figure </w:t>
      </w:r>
      <w:r w:rsidR="00B61AA0" w:rsidRPr="00585A95">
        <w:rPr>
          <w:rFonts w:ascii="Arial" w:hAnsi="Arial" w:cs="Arial"/>
          <w:i/>
        </w:rPr>
        <w:t>4-</w:t>
      </w:r>
      <w:r w:rsidR="009E25B2">
        <w:rPr>
          <w:rFonts w:ascii="Arial" w:hAnsi="Arial" w:cs="Arial"/>
          <w:i/>
        </w:rPr>
        <w:t>4</w:t>
      </w:r>
      <w:r w:rsidR="00275F30">
        <w:rPr>
          <w:rFonts w:ascii="Arial" w:hAnsi="Arial" w:cs="Arial"/>
        </w:rPr>
        <w:t>)</w:t>
      </w:r>
      <w:r>
        <w:rPr>
          <w:rFonts w:ascii="Arial" w:hAnsi="Arial" w:cs="Arial"/>
        </w:rPr>
        <w:t>.</w:t>
      </w:r>
    </w:p>
    <w:p w14:paraId="0665B981" w14:textId="77777777" w:rsidR="00C00118" w:rsidRDefault="00C00118" w:rsidP="00355514">
      <w:pPr>
        <w:spacing w:after="0"/>
        <w:rPr>
          <w:rFonts w:ascii="Arial" w:hAnsi="Arial" w:cs="Arial"/>
          <w:i/>
          <w:sz w:val="18"/>
        </w:rPr>
      </w:pPr>
    </w:p>
    <w:p w14:paraId="3B3060E2" w14:textId="27036682" w:rsidR="00275F30" w:rsidRPr="008544A5" w:rsidRDefault="00275F30" w:rsidP="00355514">
      <w:pPr>
        <w:spacing w:after="0"/>
        <w:rPr>
          <w:rFonts w:ascii="Arial" w:hAnsi="Arial" w:cs="Arial"/>
          <w:i/>
          <w:sz w:val="18"/>
        </w:rPr>
      </w:pPr>
      <w:r w:rsidRPr="008544A5">
        <w:rPr>
          <w:rFonts w:ascii="Arial" w:hAnsi="Arial" w:cs="Arial"/>
          <w:i/>
          <w:sz w:val="18"/>
        </w:rPr>
        <w:t xml:space="preserve">Figure </w:t>
      </w:r>
      <w:r w:rsidR="00D5288C">
        <w:rPr>
          <w:rFonts w:ascii="Arial" w:hAnsi="Arial" w:cs="Arial"/>
          <w:i/>
          <w:sz w:val="18"/>
        </w:rPr>
        <w:t>4</w:t>
      </w:r>
      <w:r w:rsidR="00D5288C" w:rsidRPr="008544A5">
        <w:rPr>
          <w:rFonts w:ascii="Arial" w:hAnsi="Arial" w:cs="Arial"/>
          <w:i/>
          <w:sz w:val="18"/>
        </w:rPr>
        <w:t>-</w:t>
      </w:r>
      <w:r w:rsidR="009E25B2">
        <w:rPr>
          <w:rFonts w:ascii="Arial" w:hAnsi="Arial" w:cs="Arial"/>
          <w:i/>
          <w:sz w:val="18"/>
        </w:rPr>
        <w:t>4</w:t>
      </w:r>
      <w:r w:rsidRPr="008544A5">
        <w:rPr>
          <w:rFonts w:ascii="Arial" w:hAnsi="Arial" w:cs="Arial"/>
          <w:i/>
          <w:sz w:val="18"/>
        </w:rPr>
        <w:t xml:space="preserve">. Progress towards Fast Track Targets of </w:t>
      </w:r>
      <w:r w:rsidR="00A87DFC">
        <w:rPr>
          <w:rFonts w:ascii="Arial" w:hAnsi="Arial" w:cs="Arial"/>
          <w:i/>
          <w:sz w:val="18"/>
        </w:rPr>
        <w:t>Constant Coverage Scenario</w:t>
      </w:r>
    </w:p>
    <w:p w14:paraId="2B2A1BA8" w14:textId="20AAD076" w:rsidR="0059798C" w:rsidRDefault="00275F30" w:rsidP="00B61AA0">
      <w:pPr>
        <w:spacing w:after="0"/>
        <w:rPr>
          <w:rFonts w:ascii="Arial" w:hAnsi="Arial" w:cs="Arial"/>
        </w:rPr>
      </w:pPr>
      <w:r w:rsidRPr="006D3341">
        <w:rPr>
          <w:rFonts w:ascii="Arial" w:hAnsi="Arial" w:cs="Arial"/>
          <w:noProof/>
        </w:rPr>
        <w:drawing>
          <wp:anchor distT="0" distB="0" distL="114300" distR="114300" simplePos="0" relativeHeight="251749376" behindDoc="0" locked="0" layoutInCell="1" allowOverlap="1" wp14:anchorId="1FE68CB6" wp14:editId="5CEF56A2">
            <wp:simplePos x="0" y="0"/>
            <wp:positionH relativeFrom="column">
              <wp:posOffset>381000</wp:posOffset>
            </wp:positionH>
            <wp:positionV relativeFrom="paragraph">
              <wp:posOffset>175895</wp:posOffset>
            </wp:positionV>
            <wp:extent cx="5196840" cy="2948940"/>
            <wp:effectExtent l="0" t="0" r="3810" b="3810"/>
            <wp:wrapTopAndBottom/>
            <wp:docPr id="121" name="Chart 121">
              <a:extLst xmlns:a="http://schemas.openxmlformats.org/drawingml/2006/main">
                <a:ext uri="{FF2B5EF4-FFF2-40B4-BE49-F238E27FC236}">
                  <a16:creationId xmlns:a16="http://schemas.microsoft.com/office/drawing/2014/main" id="{4F74E8AE-1B94-4A02-844C-1BF4AE0C3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8CD011F" w14:textId="77777777" w:rsidR="0059798C" w:rsidRDefault="0059798C" w:rsidP="00B61AA0">
      <w:pPr>
        <w:spacing w:after="0"/>
        <w:rPr>
          <w:rFonts w:ascii="Arial" w:hAnsi="Arial" w:cs="Arial"/>
        </w:rPr>
      </w:pPr>
    </w:p>
    <w:p w14:paraId="54150318" w14:textId="16C50DB0" w:rsidR="009409CD" w:rsidRPr="009409CD" w:rsidRDefault="00A46CD4" w:rsidP="00B61AA0">
      <w:pPr>
        <w:spacing w:after="0"/>
        <w:rPr>
          <w:rFonts w:ascii="Arial" w:hAnsi="Arial" w:cs="Arial"/>
        </w:rPr>
      </w:pPr>
      <w:r>
        <w:rPr>
          <w:rFonts w:ascii="Arial" w:hAnsi="Arial" w:cs="Arial"/>
        </w:rPr>
        <w:t>It</w:t>
      </w:r>
      <w:r w:rsidR="009409CD">
        <w:rPr>
          <w:rFonts w:ascii="Arial" w:hAnsi="Arial" w:cs="Arial"/>
        </w:rPr>
        <w:t xml:space="preserve"> is clear th</w:t>
      </w:r>
      <w:r w:rsidR="0059798C">
        <w:rPr>
          <w:rFonts w:ascii="Arial" w:hAnsi="Arial" w:cs="Arial"/>
        </w:rPr>
        <w:t xml:space="preserve">at this scenario </w:t>
      </w:r>
      <w:r w:rsidR="009409CD">
        <w:rPr>
          <w:rFonts w:ascii="Arial" w:hAnsi="Arial" w:cs="Arial"/>
        </w:rPr>
        <w:t>is not a</w:t>
      </w:r>
      <w:r w:rsidR="00ED5792">
        <w:rPr>
          <w:rFonts w:ascii="Arial" w:hAnsi="Arial" w:cs="Arial"/>
        </w:rPr>
        <w:t xml:space="preserve"> desirable</w:t>
      </w:r>
      <w:r w:rsidR="009409CD">
        <w:rPr>
          <w:rFonts w:ascii="Arial" w:hAnsi="Arial" w:cs="Arial"/>
        </w:rPr>
        <w:t xml:space="preserve"> option for the future of the national HIV program. </w:t>
      </w:r>
      <w:r w:rsidR="0059798C">
        <w:rPr>
          <w:rFonts w:ascii="Arial" w:hAnsi="Arial" w:cs="Arial"/>
        </w:rPr>
        <w:t>But, luckily the Government and partners have committed to additional scale-up and further Optimization strategies.</w:t>
      </w:r>
    </w:p>
    <w:p w14:paraId="3C0AB5D7" w14:textId="77777777" w:rsidR="009409CD" w:rsidRPr="009409CD" w:rsidRDefault="009409CD" w:rsidP="00B61AA0">
      <w:pPr>
        <w:spacing w:after="0"/>
      </w:pPr>
    </w:p>
    <w:p w14:paraId="083CFB83" w14:textId="222339B9" w:rsidR="002C4085" w:rsidRPr="00B167C0" w:rsidRDefault="002C4085" w:rsidP="00B61AA0">
      <w:pPr>
        <w:pStyle w:val="Heading2"/>
        <w:spacing w:before="0"/>
        <w:rPr>
          <w:rFonts w:ascii="Arial" w:hAnsi="Arial" w:cs="Arial"/>
          <w:b/>
          <w:color w:val="000000" w:themeColor="text1"/>
        </w:rPr>
      </w:pPr>
      <w:bookmarkStart w:id="74" w:name="_Toc57035169"/>
      <w:r w:rsidRPr="00B167C0">
        <w:rPr>
          <w:rFonts w:ascii="Arial" w:hAnsi="Arial" w:cs="Arial"/>
          <w:b/>
          <w:color w:val="000000" w:themeColor="text1"/>
        </w:rPr>
        <w:t xml:space="preserve">The </w:t>
      </w:r>
      <w:r w:rsidR="00B167C0">
        <w:rPr>
          <w:rFonts w:ascii="Arial" w:hAnsi="Arial" w:cs="Arial"/>
          <w:b/>
          <w:color w:val="000000" w:themeColor="text1"/>
        </w:rPr>
        <w:t>N</w:t>
      </w:r>
      <w:r w:rsidRPr="00B167C0">
        <w:rPr>
          <w:rFonts w:ascii="Arial" w:hAnsi="Arial" w:cs="Arial"/>
          <w:b/>
          <w:color w:val="000000" w:themeColor="text1"/>
        </w:rPr>
        <w:t xml:space="preserve">ational </w:t>
      </w:r>
      <w:r w:rsidR="00B167C0">
        <w:rPr>
          <w:rFonts w:ascii="Arial" w:hAnsi="Arial" w:cs="Arial"/>
          <w:b/>
          <w:color w:val="000000" w:themeColor="text1"/>
        </w:rPr>
        <w:t>S</w:t>
      </w:r>
      <w:r w:rsidRPr="00B167C0">
        <w:rPr>
          <w:rFonts w:ascii="Arial" w:hAnsi="Arial" w:cs="Arial"/>
          <w:b/>
          <w:color w:val="000000" w:themeColor="text1"/>
        </w:rPr>
        <w:t>trategy</w:t>
      </w:r>
      <w:r w:rsidR="00622DFC">
        <w:rPr>
          <w:rFonts w:ascii="Arial" w:hAnsi="Arial" w:cs="Arial"/>
          <w:b/>
          <w:color w:val="000000" w:themeColor="text1"/>
        </w:rPr>
        <w:t xml:space="preserve"> </w:t>
      </w:r>
      <w:r w:rsidR="00534FF7">
        <w:rPr>
          <w:rFonts w:ascii="Arial" w:hAnsi="Arial" w:cs="Arial"/>
          <w:b/>
          <w:color w:val="000000" w:themeColor="text1"/>
        </w:rPr>
        <w:t>S</w:t>
      </w:r>
      <w:r w:rsidR="00622DFC">
        <w:rPr>
          <w:rFonts w:ascii="Arial" w:hAnsi="Arial" w:cs="Arial"/>
          <w:b/>
          <w:color w:val="000000" w:themeColor="text1"/>
        </w:rPr>
        <w:t>cenario</w:t>
      </w:r>
      <w:bookmarkEnd w:id="74"/>
      <w:r w:rsidRPr="00B167C0">
        <w:rPr>
          <w:rFonts w:ascii="Arial" w:hAnsi="Arial" w:cs="Arial"/>
          <w:b/>
          <w:color w:val="000000" w:themeColor="text1"/>
        </w:rPr>
        <w:t xml:space="preserve"> </w:t>
      </w:r>
    </w:p>
    <w:p w14:paraId="4F5B137E" w14:textId="74079DD0" w:rsidR="00B167C0" w:rsidRDefault="00B167C0" w:rsidP="00B61AA0">
      <w:pPr>
        <w:spacing w:after="0"/>
        <w:rPr>
          <w:b/>
        </w:rPr>
      </w:pPr>
    </w:p>
    <w:p w14:paraId="6569AA4A" w14:textId="65A1C234" w:rsidR="00B167C0" w:rsidRDefault="00A922AF" w:rsidP="00B61AA0">
      <w:pPr>
        <w:pStyle w:val="Heading3"/>
        <w:rPr>
          <w:rFonts w:ascii="Arial" w:hAnsi="Arial" w:cs="Arial"/>
          <w:i/>
          <w:color w:val="000000" w:themeColor="text1"/>
        </w:rPr>
      </w:pPr>
      <w:bookmarkStart w:id="75" w:name="_Toc57035170"/>
      <w:r>
        <w:rPr>
          <w:rFonts w:ascii="Arial" w:hAnsi="Arial" w:cs="Arial"/>
          <w:i/>
          <w:color w:val="000000" w:themeColor="text1"/>
        </w:rPr>
        <w:t>Context</w:t>
      </w:r>
      <w:r w:rsidR="0072169A">
        <w:rPr>
          <w:rFonts w:ascii="Arial" w:hAnsi="Arial" w:cs="Arial"/>
          <w:i/>
          <w:color w:val="000000" w:themeColor="text1"/>
        </w:rPr>
        <w:t>: Ambitious national goals.</w:t>
      </w:r>
      <w:bookmarkEnd w:id="75"/>
    </w:p>
    <w:p w14:paraId="4CDC485B" w14:textId="77AAD7E4" w:rsidR="007067DC" w:rsidRPr="007067DC" w:rsidRDefault="007067DC" w:rsidP="00B61AA0">
      <w:pPr>
        <w:spacing w:after="0"/>
      </w:pPr>
    </w:p>
    <w:p w14:paraId="08446D72" w14:textId="2F25B371" w:rsidR="007067DC" w:rsidRDefault="009409CD" w:rsidP="00B55A50">
      <w:pPr>
        <w:spacing w:after="0" w:line="256" w:lineRule="auto"/>
        <w:rPr>
          <w:rFonts w:ascii="Arial" w:hAnsi="Arial" w:cs="Arial"/>
        </w:rPr>
      </w:pPr>
      <w:r>
        <w:rPr>
          <w:rFonts w:ascii="Arial" w:hAnsi="Arial" w:cs="Arial"/>
        </w:rPr>
        <w:t xml:space="preserve">The leadership of the HIV response has committed to doing more than </w:t>
      </w:r>
      <w:r w:rsidR="00A46CD4">
        <w:rPr>
          <w:rFonts w:ascii="Arial" w:hAnsi="Arial" w:cs="Arial"/>
        </w:rPr>
        <w:t>maintaining constant coverage and the program as is</w:t>
      </w:r>
      <w:r>
        <w:rPr>
          <w:rFonts w:ascii="Arial" w:hAnsi="Arial" w:cs="Arial"/>
        </w:rPr>
        <w:t xml:space="preserve">. </w:t>
      </w:r>
      <w:r w:rsidR="00B167C0" w:rsidRPr="00925A18">
        <w:rPr>
          <w:rFonts w:ascii="Arial" w:hAnsi="Arial" w:cs="Arial"/>
        </w:rPr>
        <w:t>NACP and TACAIDS have both released updated national strategic plans</w:t>
      </w:r>
      <w:r w:rsidR="00B167C0">
        <w:rPr>
          <w:rFonts w:ascii="Arial" w:hAnsi="Arial" w:cs="Arial"/>
        </w:rPr>
        <w:t xml:space="preserve"> to guide the national response through 2023</w:t>
      </w:r>
      <w:r w:rsidR="0072618D">
        <w:rPr>
          <w:rFonts w:ascii="Arial" w:hAnsi="Arial" w:cs="Arial"/>
        </w:rPr>
        <w:t xml:space="preserve">: </w:t>
      </w:r>
      <w:r w:rsidR="009E25B2">
        <w:rPr>
          <w:rFonts w:ascii="Arial" w:hAnsi="Arial" w:cs="Arial"/>
        </w:rPr>
        <w:t>T</w:t>
      </w:r>
      <w:r w:rsidR="00B167C0" w:rsidRPr="00925A18">
        <w:rPr>
          <w:rFonts w:ascii="Arial" w:hAnsi="Arial" w:cs="Arial"/>
        </w:rPr>
        <w:t>he Health Sector HIV Strategic Plan 201</w:t>
      </w:r>
      <w:r w:rsidR="00B167C0">
        <w:rPr>
          <w:rFonts w:ascii="Arial" w:hAnsi="Arial" w:cs="Arial"/>
        </w:rPr>
        <w:t>7-2022</w:t>
      </w:r>
      <w:r w:rsidR="00B167C0" w:rsidRPr="00925A18">
        <w:rPr>
          <w:rFonts w:ascii="Arial" w:hAnsi="Arial" w:cs="Arial"/>
        </w:rPr>
        <w:t xml:space="preserve"> (HSHSP</w:t>
      </w:r>
      <w:r w:rsidR="002F7FD7">
        <w:rPr>
          <w:rFonts w:ascii="Arial" w:hAnsi="Arial" w:cs="Arial"/>
        </w:rPr>
        <w:t xml:space="preserve"> IV</w:t>
      </w:r>
      <w:r w:rsidR="00B167C0" w:rsidRPr="00925A18">
        <w:rPr>
          <w:rFonts w:ascii="Arial" w:hAnsi="Arial" w:cs="Arial"/>
        </w:rPr>
        <w:t>)</w:t>
      </w:r>
      <w:r w:rsidR="00B167C0">
        <w:rPr>
          <w:rFonts w:ascii="Arial" w:hAnsi="Arial" w:cs="Arial"/>
        </w:rPr>
        <w:t xml:space="preserve"> and the </w:t>
      </w:r>
      <w:r w:rsidR="00B167C0" w:rsidRPr="00925A18">
        <w:rPr>
          <w:rFonts w:ascii="Arial" w:hAnsi="Arial" w:cs="Arial"/>
        </w:rPr>
        <w:t>National Multisectoral Strategic Framework 20</w:t>
      </w:r>
      <w:r w:rsidR="00B167C0">
        <w:rPr>
          <w:rFonts w:ascii="Arial" w:hAnsi="Arial" w:cs="Arial"/>
        </w:rPr>
        <w:t>7/</w:t>
      </w:r>
      <w:r w:rsidR="00B167C0" w:rsidRPr="00925A18">
        <w:rPr>
          <w:rFonts w:ascii="Arial" w:hAnsi="Arial" w:cs="Arial"/>
        </w:rPr>
        <w:t>1</w:t>
      </w:r>
      <w:r w:rsidR="00B167C0">
        <w:rPr>
          <w:rFonts w:ascii="Arial" w:hAnsi="Arial" w:cs="Arial"/>
        </w:rPr>
        <w:t>8</w:t>
      </w:r>
      <w:r w:rsidR="00B167C0" w:rsidRPr="00925A18">
        <w:rPr>
          <w:rFonts w:ascii="Arial" w:hAnsi="Arial" w:cs="Arial"/>
        </w:rPr>
        <w:t>-2022</w:t>
      </w:r>
      <w:r w:rsidR="00B167C0">
        <w:rPr>
          <w:rFonts w:ascii="Arial" w:hAnsi="Arial" w:cs="Arial"/>
        </w:rPr>
        <w:t xml:space="preserve">/23 (NMSF IV). </w:t>
      </w:r>
      <w:r w:rsidR="001C64C0">
        <w:rPr>
          <w:rFonts w:ascii="Arial" w:hAnsi="Arial" w:cs="Arial"/>
        </w:rPr>
        <w:t xml:space="preserve">These </w:t>
      </w:r>
      <w:r w:rsidR="0072618D">
        <w:rPr>
          <w:rFonts w:ascii="Arial" w:hAnsi="Arial" w:cs="Arial"/>
        </w:rPr>
        <w:t xml:space="preserve">have been </w:t>
      </w:r>
      <w:r w:rsidR="001C64C0">
        <w:rPr>
          <w:rFonts w:ascii="Arial" w:hAnsi="Arial" w:cs="Arial"/>
        </w:rPr>
        <w:t>described in Chapter 2.</w:t>
      </w:r>
    </w:p>
    <w:p w14:paraId="1A953E59" w14:textId="77777777" w:rsidR="00B167C0" w:rsidRDefault="00B167C0" w:rsidP="00C759BF">
      <w:pPr>
        <w:spacing w:after="0" w:line="240" w:lineRule="auto"/>
        <w:contextualSpacing/>
        <w:rPr>
          <w:rFonts w:ascii="Arial" w:hAnsi="Arial" w:cs="Arial"/>
        </w:rPr>
      </w:pPr>
    </w:p>
    <w:p w14:paraId="33C1198A" w14:textId="488E6A6A" w:rsidR="00D5288C" w:rsidRDefault="00D5288C" w:rsidP="00C759BF">
      <w:pPr>
        <w:spacing w:after="0" w:line="240" w:lineRule="auto"/>
        <w:contextualSpacing/>
        <w:rPr>
          <w:rFonts w:ascii="Arial" w:hAnsi="Arial" w:cs="Arial"/>
        </w:rPr>
        <w:sectPr w:rsidR="00D5288C" w:rsidSect="00CD3475">
          <w:type w:val="continuous"/>
          <w:pgSz w:w="12240" w:h="15840"/>
          <w:pgMar w:top="1440" w:right="1440" w:bottom="1440" w:left="1440" w:header="720" w:footer="720" w:gutter="0"/>
          <w:cols w:space="720"/>
          <w:docGrid w:linePitch="360"/>
        </w:sectPr>
      </w:pPr>
    </w:p>
    <w:p w14:paraId="197AC75A" w14:textId="66C7FAE1" w:rsidR="0072618D" w:rsidRPr="00585A95" w:rsidRDefault="00C86D0D" w:rsidP="00585A95">
      <w:pPr>
        <w:spacing w:after="0" w:line="240" w:lineRule="auto"/>
        <w:contextualSpacing/>
        <w:rPr>
          <w:rFonts w:ascii="Arial" w:hAnsi="Arial" w:cs="Arial"/>
        </w:rPr>
      </w:pPr>
      <w:r>
        <w:rPr>
          <w:rFonts w:ascii="Arial" w:hAnsi="Arial" w:cs="Arial"/>
          <w:i/>
        </w:rPr>
        <w:t>Figure</w:t>
      </w:r>
      <w:r w:rsidR="00B167C0" w:rsidRPr="003A7E77">
        <w:rPr>
          <w:rFonts w:ascii="Arial" w:hAnsi="Arial" w:cs="Arial"/>
          <w:i/>
        </w:rPr>
        <w:t xml:space="preserve"> </w:t>
      </w:r>
      <w:r w:rsidR="00D5288C">
        <w:rPr>
          <w:rFonts w:ascii="Arial" w:hAnsi="Arial" w:cs="Arial"/>
          <w:i/>
        </w:rPr>
        <w:t>4-</w:t>
      </w:r>
      <w:r w:rsidR="009E25B2">
        <w:rPr>
          <w:rFonts w:ascii="Arial" w:hAnsi="Arial" w:cs="Arial"/>
          <w:i/>
        </w:rPr>
        <w:t>5</w:t>
      </w:r>
      <w:r w:rsidR="00B167C0" w:rsidRPr="00925A18">
        <w:rPr>
          <w:rFonts w:ascii="Arial" w:hAnsi="Arial" w:cs="Arial"/>
        </w:rPr>
        <w:t xml:space="preserve"> </w:t>
      </w:r>
      <w:r w:rsidR="0072618D">
        <w:rPr>
          <w:rFonts w:ascii="Arial" w:hAnsi="Arial" w:cs="Arial"/>
        </w:rPr>
        <w:t xml:space="preserve">below gives </w:t>
      </w:r>
      <w:r w:rsidR="00B167C0" w:rsidRPr="00925A18">
        <w:rPr>
          <w:rFonts w:ascii="Arial" w:hAnsi="Arial" w:cs="Arial"/>
        </w:rPr>
        <w:t xml:space="preserve">the coverage targets for key intervention such as </w:t>
      </w:r>
      <w:r w:rsidR="00B167C0">
        <w:rPr>
          <w:rFonts w:ascii="Arial" w:hAnsi="Arial" w:cs="Arial"/>
        </w:rPr>
        <w:t xml:space="preserve">HTC, ART, and PMTCT </w:t>
      </w:r>
      <w:r w:rsidR="00B167C0" w:rsidRPr="00925A18">
        <w:rPr>
          <w:rFonts w:ascii="Arial" w:hAnsi="Arial" w:cs="Arial"/>
        </w:rPr>
        <w:t>laid out in these two national strategies</w:t>
      </w:r>
      <w:r w:rsidR="00B167C0">
        <w:rPr>
          <w:rFonts w:ascii="Arial" w:hAnsi="Arial" w:cs="Arial"/>
        </w:rPr>
        <w:t xml:space="preserve">.  These targets are </w:t>
      </w:r>
      <w:r w:rsidR="0072618D">
        <w:rPr>
          <w:rFonts w:ascii="Arial" w:hAnsi="Arial" w:cs="Arial"/>
        </w:rPr>
        <w:t xml:space="preserve">broadly </w:t>
      </w:r>
      <w:r w:rsidR="00B167C0">
        <w:rPr>
          <w:rFonts w:ascii="Arial" w:hAnsi="Arial" w:cs="Arial"/>
        </w:rPr>
        <w:t>consistent across the two strategy documents. Both strategies achieve 90-90-90 targets by 2020. The NMSF IV is more ambitious for 2022-2023, aiming to achieve 95-95-95 targets compared to 90-90-90 for the HSHSP</w:t>
      </w:r>
      <w:r w:rsidR="002F7FD7">
        <w:rPr>
          <w:rFonts w:ascii="Arial" w:hAnsi="Arial" w:cs="Arial"/>
        </w:rPr>
        <w:t xml:space="preserve"> IV</w:t>
      </w:r>
      <w:r w:rsidR="00B167C0">
        <w:rPr>
          <w:rFonts w:ascii="Arial" w:hAnsi="Arial" w:cs="Arial"/>
        </w:rPr>
        <w:t>.</w:t>
      </w:r>
      <w:r w:rsidR="007D0D94">
        <w:rPr>
          <w:rFonts w:ascii="Arial" w:hAnsi="Arial" w:cs="Arial"/>
        </w:rPr>
        <w:t xml:space="preserve"> </w:t>
      </w:r>
    </w:p>
    <w:p w14:paraId="41159EC1" w14:textId="77777777" w:rsidR="00027C54" w:rsidRDefault="00027C54" w:rsidP="00A922AF">
      <w:pPr>
        <w:spacing w:after="0" w:line="256" w:lineRule="auto"/>
        <w:rPr>
          <w:rFonts w:ascii="Arial" w:hAnsi="Arial" w:cs="Arial"/>
          <w:i/>
          <w:sz w:val="18"/>
        </w:rPr>
      </w:pPr>
    </w:p>
    <w:p w14:paraId="6A817CA9" w14:textId="77777777" w:rsidR="00CC2044" w:rsidRDefault="00CC2044">
      <w:pPr>
        <w:rPr>
          <w:rFonts w:ascii="Arial" w:hAnsi="Arial" w:cs="Arial"/>
          <w:i/>
          <w:sz w:val="18"/>
        </w:rPr>
      </w:pPr>
      <w:r>
        <w:rPr>
          <w:rFonts w:ascii="Arial" w:hAnsi="Arial" w:cs="Arial"/>
          <w:i/>
          <w:sz w:val="18"/>
        </w:rPr>
        <w:br w:type="page"/>
      </w:r>
    </w:p>
    <w:p w14:paraId="330328FA" w14:textId="1F8C756C" w:rsidR="000C1BC8" w:rsidRDefault="00C86D0D" w:rsidP="00276364">
      <w:pPr>
        <w:spacing w:after="0" w:line="256" w:lineRule="auto"/>
        <w:rPr>
          <w:b/>
        </w:rPr>
      </w:pPr>
      <w:r>
        <w:rPr>
          <w:rFonts w:ascii="Arial" w:hAnsi="Arial" w:cs="Arial"/>
          <w:i/>
          <w:sz w:val="18"/>
        </w:rPr>
        <w:t>Figure</w:t>
      </w:r>
      <w:r w:rsidR="00B167C0" w:rsidRPr="00925A18">
        <w:rPr>
          <w:rFonts w:ascii="Arial" w:hAnsi="Arial" w:cs="Arial"/>
          <w:i/>
          <w:sz w:val="18"/>
        </w:rPr>
        <w:t xml:space="preserve"> </w:t>
      </w:r>
      <w:r w:rsidR="00D5288C">
        <w:rPr>
          <w:rFonts w:ascii="Arial" w:hAnsi="Arial" w:cs="Arial"/>
          <w:i/>
          <w:sz w:val="18"/>
        </w:rPr>
        <w:t>4-</w:t>
      </w:r>
      <w:r w:rsidR="009E25B2">
        <w:rPr>
          <w:rFonts w:ascii="Arial" w:hAnsi="Arial" w:cs="Arial"/>
          <w:i/>
          <w:sz w:val="18"/>
        </w:rPr>
        <w:t>5</w:t>
      </w:r>
      <w:r w:rsidR="00B167C0" w:rsidRPr="00925A18">
        <w:rPr>
          <w:rFonts w:ascii="Arial" w:hAnsi="Arial" w:cs="Arial"/>
          <w:i/>
          <w:sz w:val="18"/>
        </w:rPr>
        <w:t xml:space="preserve">. Key programmatic targets of national strategies </w:t>
      </w:r>
    </w:p>
    <w:tbl>
      <w:tblPr>
        <w:tblW w:w="0" w:type="auto"/>
        <w:tblLook w:val="04A0" w:firstRow="1" w:lastRow="0" w:firstColumn="1" w:lastColumn="0" w:noHBand="0" w:noVBand="1"/>
      </w:tblPr>
      <w:tblGrid>
        <w:gridCol w:w="3269"/>
        <w:gridCol w:w="2620"/>
        <w:gridCol w:w="3056"/>
      </w:tblGrid>
      <w:tr w:rsidR="000C1BC8" w:rsidRPr="003E1382" w14:paraId="0CE6CF98" w14:textId="77777777" w:rsidTr="008661A5">
        <w:trPr>
          <w:trHeight w:val="251"/>
        </w:trPr>
        <w:tc>
          <w:tcPr>
            <w:tcW w:w="3269" w:type="dxa"/>
            <w:shd w:val="clear" w:color="auto" w:fill="C00000"/>
          </w:tcPr>
          <w:p w14:paraId="043A1153" w14:textId="77777777" w:rsidR="000C1BC8" w:rsidRPr="00A178D1" w:rsidRDefault="000C1BC8" w:rsidP="008661A5">
            <w:pPr>
              <w:spacing w:after="0"/>
              <w:rPr>
                <w:rFonts w:ascii="Arial" w:hAnsi="Arial" w:cs="Arial"/>
                <w:b/>
                <w:sz w:val="18"/>
                <w:szCs w:val="18"/>
              </w:rPr>
            </w:pPr>
          </w:p>
        </w:tc>
        <w:tc>
          <w:tcPr>
            <w:tcW w:w="2620" w:type="dxa"/>
            <w:shd w:val="clear" w:color="auto" w:fill="C00000"/>
            <w:vAlign w:val="center"/>
          </w:tcPr>
          <w:p w14:paraId="42B74623" w14:textId="5AFAB032" w:rsidR="000C1BC8" w:rsidRPr="00A178D1" w:rsidRDefault="000C1BC8" w:rsidP="008661A5">
            <w:pPr>
              <w:spacing w:after="0"/>
              <w:jc w:val="center"/>
              <w:rPr>
                <w:rFonts w:ascii="Arial" w:hAnsi="Arial" w:cs="Arial"/>
                <w:b/>
                <w:sz w:val="18"/>
                <w:szCs w:val="18"/>
              </w:rPr>
            </w:pPr>
            <w:r w:rsidRPr="00A178D1">
              <w:rPr>
                <w:rFonts w:ascii="Arial" w:hAnsi="Arial" w:cs="Arial"/>
                <w:b/>
                <w:sz w:val="18"/>
                <w:szCs w:val="18"/>
              </w:rPr>
              <w:t>NMSF IV</w:t>
            </w:r>
          </w:p>
        </w:tc>
        <w:tc>
          <w:tcPr>
            <w:tcW w:w="3056" w:type="dxa"/>
            <w:shd w:val="clear" w:color="auto" w:fill="C00000"/>
            <w:vAlign w:val="center"/>
          </w:tcPr>
          <w:p w14:paraId="0C0A9445" w14:textId="70D06D30" w:rsidR="000C1BC8" w:rsidRPr="00A178D1" w:rsidRDefault="000C1BC8" w:rsidP="008661A5">
            <w:pPr>
              <w:spacing w:after="0"/>
              <w:jc w:val="center"/>
              <w:rPr>
                <w:rFonts w:ascii="Arial" w:hAnsi="Arial" w:cs="Arial"/>
                <w:b/>
                <w:sz w:val="18"/>
                <w:szCs w:val="18"/>
              </w:rPr>
            </w:pPr>
            <w:r w:rsidRPr="00A178D1">
              <w:rPr>
                <w:rFonts w:ascii="Arial" w:hAnsi="Arial" w:cs="Arial"/>
                <w:b/>
                <w:sz w:val="18"/>
                <w:szCs w:val="18"/>
              </w:rPr>
              <w:t>HSHSP IV</w:t>
            </w:r>
          </w:p>
        </w:tc>
      </w:tr>
      <w:tr w:rsidR="00686B00" w:rsidRPr="003E1382" w14:paraId="1B58DEB9" w14:textId="77777777" w:rsidTr="0005165F">
        <w:trPr>
          <w:trHeight w:val="214"/>
        </w:trPr>
        <w:tc>
          <w:tcPr>
            <w:tcW w:w="8945" w:type="dxa"/>
            <w:gridSpan w:val="3"/>
            <w:shd w:val="clear" w:color="auto" w:fill="F4B083" w:themeFill="accent2" w:themeFillTint="99"/>
          </w:tcPr>
          <w:p w14:paraId="179DC9F1" w14:textId="2D645B34" w:rsidR="00686B00" w:rsidRPr="00A178D1" w:rsidRDefault="00686B00" w:rsidP="008661A5">
            <w:pPr>
              <w:spacing w:after="0"/>
              <w:rPr>
                <w:rFonts w:ascii="Arial" w:hAnsi="Arial" w:cs="Arial"/>
                <w:b/>
                <w:sz w:val="18"/>
                <w:szCs w:val="18"/>
              </w:rPr>
            </w:pPr>
            <w:r w:rsidRPr="00A178D1">
              <w:rPr>
                <w:rFonts w:ascii="Arial" w:hAnsi="Arial" w:cs="Arial"/>
                <w:b/>
                <w:sz w:val="18"/>
                <w:szCs w:val="18"/>
              </w:rPr>
              <w:t>Treatment</w:t>
            </w:r>
          </w:p>
        </w:tc>
      </w:tr>
      <w:tr w:rsidR="00686B00" w:rsidRPr="003E1382" w14:paraId="5B4748C1" w14:textId="77777777" w:rsidTr="0005165F">
        <w:trPr>
          <w:trHeight w:val="236"/>
        </w:trPr>
        <w:tc>
          <w:tcPr>
            <w:tcW w:w="8945" w:type="dxa"/>
            <w:gridSpan w:val="3"/>
            <w:shd w:val="clear" w:color="auto" w:fill="FFE599" w:themeFill="accent4" w:themeFillTint="66"/>
          </w:tcPr>
          <w:p w14:paraId="7454261E" w14:textId="3C527373" w:rsidR="00686B00" w:rsidRPr="00A178D1" w:rsidRDefault="00686B00" w:rsidP="008661A5">
            <w:pPr>
              <w:spacing w:after="0"/>
              <w:ind w:left="720"/>
              <w:rPr>
                <w:rFonts w:ascii="Arial" w:hAnsi="Arial" w:cs="Arial"/>
                <w:b/>
                <w:sz w:val="18"/>
                <w:szCs w:val="18"/>
              </w:rPr>
            </w:pPr>
            <w:r w:rsidRPr="00A178D1">
              <w:rPr>
                <w:rFonts w:ascii="Arial" w:hAnsi="Arial" w:cs="Arial"/>
                <w:b/>
                <w:sz w:val="18"/>
                <w:szCs w:val="18"/>
              </w:rPr>
              <w:t>First 90: HTC (among all PLHIV)</w:t>
            </w:r>
          </w:p>
        </w:tc>
      </w:tr>
      <w:tr w:rsidR="000C1BC8" w:rsidRPr="003E1382" w14:paraId="566CACB8" w14:textId="77777777" w:rsidTr="0005165F">
        <w:trPr>
          <w:trHeight w:val="251"/>
        </w:trPr>
        <w:tc>
          <w:tcPr>
            <w:tcW w:w="3269" w:type="dxa"/>
          </w:tcPr>
          <w:p w14:paraId="16852978" w14:textId="2E617101" w:rsidR="000C1BC8" w:rsidRPr="00A178D1" w:rsidRDefault="000C1BC8" w:rsidP="008661A5">
            <w:pPr>
              <w:spacing w:after="0"/>
              <w:ind w:left="1440"/>
              <w:rPr>
                <w:rFonts w:ascii="Arial" w:hAnsi="Arial" w:cs="Arial"/>
                <w:i/>
                <w:sz w:val="18"/>
                <w:szCs w:val="18"/>
              </w:rPr>
            </w:pPr>
            <w:r w:rsidRPr="00A178D1">
              <w:rPr>
                <w:rFonts w:ascii="Arial" w:hAnsi="Arial" w:cs="Arial"/>
                <w:i/>
                <w:sz w:val="18"/>
                <w:szCs w:val="18"/>
              </w:rPr>
              <w:t>2020</w:t>
            </w:r>
          </w:p>
        </w:tc>
        <w:tc>
          <w:tcPr>
            <w:tcW w:w="2620" w:type="dxa"/>
          </w:tcPr>
          <w:p w14:paraId="0D94A8D4" w14:textId="4F77C6C2"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c>
          <w:tcPr>
            <w:tcW w:w="3056" w:type="dxa"/>
          </w:tcPr>
          <w:p w14:paraId="1B1D8464" w14:textId="09184ADB"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r>
      <w:tr w:rsidR="000C1BC8" w:rsidRPr="003E1382" w14:paraId="40AF9127" w14:textId="77777777" w:rsidTr="0005165F">
        <w:trPr>
          <w:trHeight w:val="239"/>
        </w:trPr>
        <w:tc>
          <w:tcPr>
            <w:tcW w:w="3269" w:type="dxa"/>
          </w:tcPr>
          <w:p w14:paraId="2A7208CA" w14:textId="6BDFBAEC" w:rsidR="000C1BC8" w:rsidRPr="00A178D1" w:rsidRDefault="000C1BC8" w:rsidP="008661A5">
            <w:pPr>
              <w:spacing w:after="0"/>
              <w:ind w:left="1440"/>
              <w:rPr>
                <w:rFonts w:ascii="Arial" w:hAnsi="Arial" w:cs="Arial"/>
                <w:i/>
                <w:sz w:val="18"/>
                <w:szCs w:val="18"/>
              </w:rPr>
            </w:pPr>
            <w:r w:rsidRPr="00A178D1">
              <w:rPr>
                <w:rFonts w:ascii="Arial" w:hAnsi="Arial" w:cs="Arial"/>
                <w:i/>
                <w:sz w:val="18"/>
                <w:szCs w:val="18"/>
              </w:rPr>
              <w:t>2023</w:t>
            </w:r>
          </w:p>
        </w:tc>
        <w:tc>
          <w:tcPr>
            <w:tcW w:w="2620" w:type="dxa"/>
          </w:tcPr>
          <w:p w14:paraId="73C7FC94" w14:textId="4E9ABFF5"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95%</w:t>
            </w:r>
          </w:p>
        </w:tc>
        <w:tc>
          <w:tcPr>
            <w:tcW w:w="3056" w:type="dxa"/>
          </w:tcPr>
          <w:p w14:paraId="5A31B9BE" w14:textId="0E9381C8"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r>
      <w:tr w:rsidR="00686B00" w:rsidRPr="003E1382" w14:paraId="439D0EF7" w14:textId="77777777" w:rsidTr="0005165F">
        <w:trPr>
          <w:trHeight w:val="251"/>
        </w:trPr>
        <w:tc>
          <w:tcPr>
            <w:tcW w:w="8945" w:type="dxa"/>
            <w:gridSpan w:val="3"/>
            <w:shd w:val="clear" w:color="auto" w:fill="FFE599" w:themeFill="accent4" w:themeFillTint="66"/>
          </w:tcPr>
          <w:p w14:paraId="45F78458" w14:textId="44E68DF8" w:rsidR="00686B00" w:rsidRPr="00A178D1" w:rsidRDefault="00686B00" w:rsidP="008661A5">
            <w:pPr>
              <w:spacing w:after="0"/>
              <w:ind w:left="720"/>
              <w:rPr>
                <w:rFonts w:ascii="Arial" w:hAnsi="Arial" w:cs="Arial"/>
                <w:b/>
                <w:sz w:val="18"/>
                <w:szCs w:val="18"/>
              </w:rPr>
            </w:pPr>
            <w:r w:rsidRPr="00A178D1">
              <w:rPr>
                <w:rFonts w:ascii="Arial" w:hAnsi="Arial" w:cs="Arial"/>
                <w:b/>
                <w:sz w:val="18"/>
                <w:szCs w:val="18"/>
              </w:rPr>
              <w:t>Second 90: ART coverage (among PLHIV who are aware of their status)</w:t>
            </w:r>
          </w:p>
        </w:tc>
      </w:tr>
      <w:tr w:rsidR="000C1BC8" w:rsidRPr="003E1382" w14:paraId="05AC74B4" w14:textId="77777777" w:rsidTr="0005165F">
        <w:trPr>
          <w:trHeight w:val="251"/>
        </w:trPr>
        <w:tc>
          <w:tcPr>
            <w:tcW w:w="3269" w:type="dxa"/>
          </w:tcPr>
          <w:p w14:paraId="5BCF955D" w14:textId="1CD88FA4" w:rsidR="000C1BC8" w:rsidRPr="00A178D1" w:rsidRDefault="000C1BC8" w:rsidP="008661A5">
            <w:pPr>
              <w:spacing w:after="0"/>
              <w:ind w:left="1440"/>
              <w:rPr>
                <w:rFonts w:ascii="Arial" w:hAnsi="Arial" w:cs="Arial"/>
                <w:i/>
                <w:sz w:val="18"/>
                <w:szCs w:val="18"/>
              </w:rPr>
            </w:pPr>
            <w:r w:rsidRPr="00A178D1">
              <w:rPr>
                <w:rFonts w:ascii="Arial" w:hAnsi="Arial" w:cs="Arial"/>
                <w:i/>
                <w:sz w:val="18"/>
                <w:szCs w:val="18"/>
              </w:rPr>
              <w:t>2020</w:t>
            </w:r>
          </w:p>
        </w:tc>
        <w:tc>
          <w:tcPr>
            <w:tcW w:w="2620" w:type="dxa"/>
          </w:tcPr>
          <w:p w14:paraId="45A205E6" w14:textId="33FC50FD"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c>
          <w:tcPr>
            <w:tcW w:w="3056" w:type="dxa"/>
          </w:tcPr>
          <w:p w14:paraId="73C91EB8" w14:textId="2D0F4971"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r>
      <w:tr w:rsidR="000C1BC8" w:rsidRPr="003E1382" w14:paraId="75FB41DF" w14:textId="77777777" w:rsidTr="0005165F">
        <w:trPr>
          <w:trHeight w:val="251"/>
        </w:trPr>
        <w:tc>
          <w:tcPr>
            <w:tcW w:w="3269" w:type="dxa"/>
          </w:tcPr>
          <w:p w14:paraId="71327A4B" w14:textId="0C38FA6E" w:rsidR="000C1BC8" w:rsidRPr="00A178D1" w:rsidRDefault="000C1BC8" w:rsidP="008661A5">
            <w:pPr>
              <w:spacing w:after="0"/>
              <w:ind w:left="1440"/>
              <w:rPr>
                <w:rFonts w:ascii="Arial" w:hAnsi="Arial" w:cs="Arial"/>
                <w:i/>
                <w:sz w:val="18"/>
                <w:szCs w:val="18"/>
              </w:rPr>
            </w:pPr>
            <w:r w:rsidRPr="00A178D1">
              <w:rPr>
                <w:rFonts w:ascii="Arial" w:hAnsi="Arial" w:cs="Arial"/>
                <w:i/>
                <w:sz w:val="18"/>
                <w:szCs w:val="18"/>
              </w:rPr>
              <w:t>2023</w:t>
            </w:r>
          </w:p>
        </w:tc>
        <w:tc>
          <w:tcPr>
            <w:tcW w:w="2620" w:type="dxa"/>
          </w:tcPr>
          <w:p w14:paraId="388A83E9" w14:textId="48EF1C97"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95%</w:t>
            </w:r>
          </w:p>
        </w:tc>
        <w:tc>
          <w:tcPr>
            <w:tcW w:w="3056" w:type="dxa"/>
          </w:tcPr>
          <w:p w14:paraId="34F35471" w14:textId="170CC7D1"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r>
      <w:tr w:rsidR="00686B00" w:rsidRPr="003E1382" w14:paraId="74E434EF" w14:textId="77777777" w:rsidTr="0005165F">
        <w:trPr>
          <w:trHeight w:val="239"/>
        </w:trPr>
        <w:tc>
          <w:tcPr>
            <w:tcW w:w="8945" w:type="dxa"/>
            <w:gridSpan w:val="3"/>
            <w:shd w:val="clear" w:color="auto" w:fill="FFE599" w:themeFill="accent4" w:themeFillTint="66"/>
          </w:tcPr>
          <w:p w14:paraId="2768A73A" w14:textId="601E1FA0" w:rsidR="00686B00" w:rsidRPr="00A178D1" w:rsidRDefault="00686B00" w:rsidP="008661A5">
            <w:pPr>
              <w:spacing w:after="0"/>
              <w:ind w:left="720"/>
              <w:rPr>
                <w:rFonts w:ascii="Arial" w:hAnsi="Arial" w:cs="Arial"/>
                <w:b/>
                <w:sz w:val="18"/>
                <w:szCs w:val="18"/>
              </w:rPr>
            </w:pPr>
            <w:r w:rsidRPr="00A178D1">
              <w:rPr>
                <w:rFonts w:ascii="Arial" w:hAnsi="Arial" w:cs="Arial"/>
                <w:b/>
                <w:sz w:val="18"/>
                <w:szCs w:val="18"/>
              </w:rPr>
              <w:t>Third 90: Viral load suppression (among PLHIV on ART)</w:t>
            </w:r>
          </w:p>
        </w:tc>
      </w:tr>
      <w:tr w:rsidR="000C1BC8" w:rsidRPr="003E1382" w14:paraId="1EB923EA" w14:textId="77777777" w:rsidTr="0005165F">
        <w:trPr>
          <w:trHeight w:val="251"/>
        </w:trPr>
        <w:tc>
          <w:tcPr>
            <w:tcW w:w="3269" w:type="dxa"/>
          </w:tcPr>
          <w:p w14:paraId="57A1FCBA" w14:textId="30CB34D4" w:rsidR="000C1BC8" w:rsidRPr="00A178D1" w:rsidRDefault="000C1BC8" w:rsidP="008661A5">
            <w:pPr>
              <w:spacing w:after="0"/>
              <w:ind w:left="1440"/>
              <w:rPr>
                <w:rFonts w:ascii="Arial" w:hAnsi="Arial" w:cs="Arial"/>
                <w:i/>
                <w:sz w:val="18"/>
                <w:szCs w:val="18"/>
              </w:rPr>
            </w:pPr>
            <w:r w:rsidRPr="00A178D1">
              <w:rPr>
                <w:rFonts w:ascii="Arial" w:hAnsi="Arial" w:cs="Arial"/>
                <w:i/>
                <w:sz w:val="18"/>
                <w:szCs w:val="18"/>
              </w:rPr>
              <w:t>2020</w:t>
            </w:r>
          </w:p>
        </w:tc>
        <w:tc>
          <w:tcPr>
            <w:tcW w:w="2620" w:type="dxa"/>
          </w:tcPr>
          <w:p w14:paraId="7C694BDA" w14:textId="40750403"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c>
          <w:tcPr>
            <w:tcW w:w="3056" w:type="dxa"/>
          </w:tcPr>
          <w:p w14:paraId="6E8FD3B1" w14:textId="44AFD405"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r>
      <w:tr w:rsidR="000C1BC8" w:rsidRPr="003E1382" w14:paraId="37489505" w14:textId="77777777" w:rsidTr="0005165F">
        <w:trPr>
          <w:trHeight w:val="251"/>
        </w:trPr>
        <w:tc>
          <w:tcPr>
            <w:tcW w:w="3269" w:type="dxa"/>
          </w:tcPr>
          <w:p w14:paraId="7251FCFC" w14:textId="0B68F39D" w:rsidR="000C1BC8" w:rsidRPr="00A178D1" w:rsidRDefault="000C1BC8" w:rsidP="008661A5">
            <w:pPr>
              <w:spacing w:after="0"/>
              <w:ind w:left="1440"/>
              <w:rPr>
                <w:rFonts w:ascii="Arial" w:hAnsi="Arial" w:cs="Arial"/>
                <w:i/>
                <w:sz w:val="18"/>
                <w:szCs w:val="18"/>
              </w:rPr>
            </w:pPr>
            <w:r w:rsidRPr="00A178D1">
              <w:rPr>
                <w:rFonts w:ascii="Arial" w:hAnsi="Arial" w:cs="Arial"/>
                <w:i/>
                <w:sz w:val="18"/>
                <w:szCs w:val="18"/>
              </w:rPr>
              <w:t>2023</w:t>
            </w:r>
          </w:p>
        </w:tc>
        <w:tc>
          <w:tcPr>
            <w:tcW w:w="2620" w:type="dxa"/>
          </w:tcPr>
          <w:p w14:paraId="4E634050" w14:textId="5A5381CE"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95%</w:t>
            </w:r>
          </w:p>
        </w:tc>
        <w:tc>
          <w:tcPr>
            <w:tcW w:w="3056" w:type="dxa"/>
          </w:tcPr>
          <w:p w14:paraId="50A72523" w14:textId="5E376F49" w:rsidR="000C1BC8" w:rsidRPr="00A178D1" w:rsidRDefault="000C1BC8" w:rsidP="008661A5">
            <w:pPr>
              <w:spacing w:after="0"/>
              <w:jc w:val="center"/>
              <w:rPr>
                <w:rFonts w:ascii="Arial" w:hAnsi="Arial" w:cs="Arial"/>
                <w:sz w:val="18"/>
                <w:szCs w:val="18"/>
              </w:rPr>
            </w:pPr>
            <w:r w:rsidRPr="00A178D1">
              <w:rPr>
                <w:rFonts w:ascii="Arial" w:hAnsi="Arial" w:cs="Arial"/>
                <w:sz w:val="18"/>
                <w:szCs w:val="18"/>
              </w:rPr>
              <w:t>90%</w:t>
            </w:r>
          </w:p>
        </w:tc>
      </w:tr>
      <w:tr w:rsidR="00686B00" w:rsidRPr="003E1382" w14:paraId="02136AE4" w14:textId="77777777" w:rsidTr="0005165F">
        <w:trPr>
          <w:trHeight w:val="239"/>
        </w:trPr>
        <w:tc>
          <w:tcPr>
            <w:tcW w:w="8945" w:type="dxa"/>
            <w:gridSpan w:val="3"/>
            <w:shd w:val="clear" w:color="auto" w:fill="F4B083" w:themeFill="accent2" w:themeFillTint="99"/>
            <w:vAlign w:val="center"/>
          </w:tcPr>
          <w:p w14:paraId="18EE1E77" w14:textId="116B5CBB" w:rsidR="00686B00" w:rsidRPr="00A178D1" w:rsidRDefault="00686B00" w:rsidP="008661A5">
            <w:pPr>
              <w:spacing w:after="0"/>
              <w:rPr>
                <w:rFonts w:ascii="Arial" w:hAnsi="Arial" w:cs="Arial"/>
                <w:b/>
                <w:sz w:val="18"/>
                <w:szCs w:val="18"/>
              </w:rPr>
            </w:pPr>
            <w:r w:rsidRPr="00A178D1">
              <w:rPr>
                <w:rFonts w:ascii="Arial" w:hAnsi="Arial" w:cs="Arial"/>
                <w:b/>
                <w:sz w:val="18"/>
                <w:szCs w:val="18"/>
              </w:rPr>
              <w:t>Prevention</w:t>
            </w:r>
          </w:p>
        </w:tc>
      </w:tr>
      <w:tr w:rsidR="0005165F" w:rsidRPr="003E1382" w14:paraId="3DCA1134" w14:textId="77777777" w:rsidTr="0005165F">
        <w:trPr>
          <w:trHeight w:val="251"/>
        </w:trPr>
        <w:tc>
          <w:tcPr>
            <w:tcW w:w="8945" w:type="dxa"/>
            <w:gridSpan w:val="3"/>
            <w:vAlign w:val="center"/>
          </w:tcPr>
          <w:p w14:paraId="68CA8E82" w14:textId="4B745E4A" w:rsidR="0005165F" w:rsidRPr="00A178D1" w:rsidRDefault="0005165F" w:rsidP="008661A5">
            <w:pPr>
              <w:spacing w:after="0"/>
              <w:ind w:left="720"/>
              <w:rPr>
                <w:rFonts w:ascii="Arial" w:hAnsi="Arial" w:cs="Arial"/>
                <w:b/>
                <w:sz w:val="18"/>
                <w:szCs w:val="18"/>
              </w:rPr>
            </w:pPr>
            <w:r w:rsidRPr="00A178D1">
              <w:rPr>
                <w:rFonts w:ascii="Arial" w:hAnsi="Arial" w:cs="Arial"/>
                <w:b/>
                <w:sz w:val="18"/>
                <w:szCs w:val="18"/>
              </w:rPr>
              <w:t>PMTCT coverage</w:t>
            </w:r>
          </w:p>
        </w:tc>
      </w:tr>
      <w:tr w:rsidR="00A922AF" w:rsidRPr="003E1382" w14:paraId="51FD5150" w14:textId="77777777" w:rsidTr="0005165F">
        <w:trPr>
          <w:trHeight w:val="251"/>
        </w:trPr>
        <w:tc>
          <w:tcPr>
            <w:tcW w:w="3269" w:type="dxa"/>
          </w:tcPr>
          <w:p w14:paraId="5093B8A6" w14:textId="24ED0FC8" w:rsidR="00A922AF" w:rsidRPr="00A178D1" w:rsidRDefault="00A922AF" w:rsidP="008661A5">
            <w:pPr>
              <w:spacing w:after="0"/>
              <w:ind w:left="1440"/>
              <w:rPr>
                <w:rFonts w:ascii="Arial" w:hAnsi="Arial" w:cs="Arial"/>
                <w:i/>
                <w:sz w:val="18"/>
                <w:szCs w:val="18"/>
              </w:rPr>
            </w:pPr>
            <w:r w:rsidRPr="00A178D1">
              <w:rPr>
                <w:rFonts w:ascii="Arial" w:hAnsi="Arial" w:cs="Arial"/>
                <w:i/>
                <w:sz w:val="18"/>
                <w:szCs w:val="18"/>
              </w:rPr>
              <w:t>2020</w:t>
            </w:r>
          </w:p>
        </w:tc>
        <w:tc>
          <w:tcPr>
            <w:tcW w:w="2620" w:type="dxa"/>
          </w:tcPr>
          <w:p w14:paraId="4E1F8B06" w14:textId="74B17448" w:rsidR="00A922AF" w:rsidRPr="00A178D1" w:rsidRDefault="00A922AF" w:rsidP="008661A5">
            <w:pPr>
              <w:spacing w:after="0"/>
              <w:jc w:val="center"/>
              <w:rPr>
                <w:rFonts w:ascii="Arial" w:hAnsi="Arial" w:cs="Arial"/>
                <w:sz w:val="18"/>
                <w:szCs w:val="18"/>
              </w:rPr>
            </w:pPr>
            <w:r w:rsidRPr="00A178D1">
              <w:rPr>
                <w:rFonts w:ascii="Arial" w:hAnsi="Arial" w:cs="Arial"/>
                <w:sz w:val="18"/>
                <w:szCs w:val="18"/>
              </w:rPr>
              <w:t>100%</w:t>
            </w:r>
          </w:p>
        </w:tc>
        <w:tc>
          <w:tcPr>
            <w:tcW w:w="3056" w:type="dxa"/>
          </w:tcPr>
          <w:p w14:paraId="2B255367" w14:textId="4760FAFF" w:rsidR="00A922AF" w:rsidRPr="00A178D1" w:rsidRDefault="00A922AF" w:rsidP="008661A5">
            <w:pPr>
              <w:spacing w:after="0"/>
              <w:jc w:val="center"/>
              <w:rPr>
                <w:rFonts w:ascii="Arial" w:hAnsi="Arial" w:cs="Arial"/>
                <w:sz w:val="18"/>
                <w:szCs w:val="18"/>
              </w:rPr>
            </w:pPr>
            <w:r w:rsidRPr="00A178D1">
              <w:rPr>
                <w:rFonts w:ascii="Arial" w:hAnsi="Arial" w:cs="Arial"/>
                <w:sz w:val="18"/>
                <w:szCs w:val="18"/>
              </w:rPr>
              <w:t>99%</w:t>
            </w:r>
          </w:p>
        </w:tc>
      </w:tr>
      <w:tr w:rsidR="00A922AF" w:rsidRPr="003E1382" w14:paraId="676117C7" w14:textId="77777777" w:rsidTr="0005165F">
        <w:trPr>
          <w:trHeight w:val="239"/>
        </w:trPr>
        <w:tc>
          <w:tcPr>
            <w:tcW w:w="3269" w:type="dxa"/>
          </w:tcPr>
          <w:p w14:paraId="302C0F43" w14:textId="422BC898" w:rsidR="00A922AF" w:rsidRPr="00A178D1" w:rsidRDefault="00A922AF" w:rsidP="008661A5">
            <w:pPr>
              <w:spacing w:after="0"/>
              <w:ind w:left="1440"/>
              <w:rPr>
                <w:rFonts w:ascii="Arial" w:hAnsi="Arial" w:cs="Arial"/>
                <w:i/>
                <w:sz w:val="18"/>
                <w:szCs w:val="18"/>
              </w:rPr>
            </w:pPr>
            <w:r w:rsidRPr="00A178D1">
              <w:rPr>
                <w:rFonts w:ascii="Arial" w:hAnsi="Arial" w:cs="Arial"/>
                <w:i/>
                <w:sz w:val="18"/>
                <w:szCs w:val="18"/>
              </w:rPr>
              <w:t>2023</w:t>
            </w:r>
          </w:p>
        </w:tc>
        <w:tc>
          <w:tcPr>
            <w:tcW w:w="2620" w:type="dxa"/>
          </w:tcPr>
          <w:p w14:paraId="2552499E" w14:textId="4C9407C7" w:rsidR="00A922AF" w:rsidRPr="00A178D1" w:rsidRDefault="00A922AF" w:rsidP="008661A5">
            <w:pPr>
              <w:spacing w:after="0"/>
              <w:jc w:val="center"/>
              <w:rPr>
                <w:rFonts w:ascii="Arial" w:hAnsi="Arial" w:cs="Arial"/>
                <w:sz w:val="18"/>
                <w:szCs w:val="18"/>
              </w:rPr>
            </w:pPr>
            <w:r w:rsidRPr="00A178D1">
              <w:rPr>
                <w:rFonts w:ascii="Arial" w:hAnsi="Arial" w:cs="Arial"/>
                <w:sz w:val="18"/>
                <w:szCs w:val="18"/>
              </w:rPr>
              <w:t>100%</w:t>
            </w:r>
          </w:p>
        </w:tc>
        <w:tc>
          <w:tcPr>
            <w:tcW w:w="3056" w:type="dxa"/>
          </w:tcPr>
          <w:p w14:paraId="60DF08CA" w14:textId="7E07BFE1" w:rsidR="00A922AF" w:rsidRPr="00A178D1" w:rsidRDefault="00A922AF" w:rsidP="008661A5">
            <w:pPr>
              <w:spacing w:after="0"/>
              <w:jc w:val="center"/>
              <w:rPr>
                <w:rFonts w:ascii="Arial" w:hAnsi="Arial" w:cs="Arial"/>
                <w:sz w:val="18"/>
                <w:szCs w:val="18"/>
              </w:rPr>
            </w:pPr>
            <w:r w:rsidRPr="00A178D1">
              <w:rPr>
                <w:rFonts w:ascii="Arial" w:hAnsi="Arial" w:cs="Arial"/>
                <w:sz w:val="18"/>
                <w:szCs w:val="18"/>
              </w:rPr>
              <w:t>99%</w:t>
            </w:r>
          </w:p>
        </w:tc>
      </w:tr>
    </w:tbl>
    <w:p w14:paraId="26898A10" w14:textId="3F2059F4" w:rsidR="002C4085" w:rsidRDefault="00A922AF" w:rsidP="0005165F">
      <w:pPr>
        <w:spacing w:after="0" w:line="256" w:lineRule="auto"/>
        <w:rPr>
          <w:rFonts w:ascii="Arial" w:hAnsi="Arial" w:cs="Arial"/>
          <w:sz w:val="16"/>
          <w:szCs w:val="16"/>
        </w:rPr>
      </w:pPr>
      <w:r w:rsidRPr="00D505C4">
        <w:rPr>
          <w:rFonts w:ascii="Arial" w:hAnsi="Arial" w:cs="Arial"/>
          <w:sz w:val="16"/>
          <w:szCs w:val="16"/>
        </w:rPr>
        <w:t xml:space="preserve">Sources: National AIDS Control Program. Health Sector HIV and AIDS Strategic Plan (HSHSP IV) 2017-2022. 2017; The Government of the United Republic of Tanzania. Tanzania </w:t>
      </w:r>
      <w:r>
        <w:rPr>
          <w:rFonts w:ascii="Arial" w:hAnsi="Arial" w:cs="Arial"/>
          <w:sz w:val="16"/>
          <w:szCs w:val="16"/>
        </w:rPr>
        <w:t>Fourth</w:t>
      </w:r>
      <w:r w:rsidRPr="00D505C4">
        <w:rPr>
          <w:rFonts w:ascii="Arial" w:hAnsi="Arial" w:cs="Arial"/>
          <w:sz w:val="16"/>
          <w:szCs w:val="16"/>
        </w:rPr>
        <w:t xml:space="preserve"> National Multi-Sectoral Strategic Framework for HIV and AIDS (20</w:t>
      </w:r>
      <w:r>
        <w:rPr>
          <w:rFonts w:ascii="Arial" w:hAnsi="Arial" w:cs="Arial"/>
          <w:sz w:val="16"/>
          <w:szCs w:val="16"/>
        </w:rPr>
        <w:t>17</w:t>
      </w:r>
      <w:r w:rsidRPr="00D505C4">
        <w:rPr>
          <w:rFonts w:ascii="Arial" w:hAnsi="Arial" w:cs="Arial"/>
          <w:sz w:val="16"/>
          <w:szCs w:val="16"/>
        </w:rPr>
        <w:t>/1</w:t>
      </w:r>
      <w:r>
        <w:rPr>
          <w:rFonts w:ascii="Arial" w:hAnsi="Arial" w:cs="Arial"/>
          <w:sz w:val="16"/>
          <w:szCs w:val="16"/>
        </w:rPr>
        <w:t>8</w:t>
      </w:r>
      <w:r w:rsidRPr="00D505C4">
        <w:rPr>
          <w:rFonts w:ascii="Arial" w:hAnsi="Arial" w:cs="Arial"/>
          <w:sz w:val="16"/>
          <w:szCs w:val="16"/>
        </w:rPr>
        <w:t>-20</w:t>
      </w:r>
      <w:r>
        <w:rPr>
          <w:rFonts w:ascii="Arial" w:hAnsi="Arial" w:cs="Arial"/>
          <w:sz w:val="16"/>
          <w:szCs w:val="16"/>
        </w:rPr>
        <w:t>22</w:t>
      </w:r>
      <w:r w:rsidRPr="00D505C4">
        <w:rPr>
          <w:rFonts w:ascii="Arial" w:hAnsi="Arial" w:cs="Arial"/>
          <w:sz w:val="16"/>
          <w:szCs w:val="16"/>
        </w:rPr>
        <w:t>/</w:t>
      </w:r>
      <w:r>
        <w:rPr>
          <w:rFonts w:ascii="Arial" w:hAnsi="Arial" w:cs="Arial"/>
          <w:sz w:val="16"/>
          <w:szCs w:val="16"/>
        </w:rPr>
        <w:t>23</w:t>
      </w:r>
      <w:r w:rsidRPr="00D505C4">
        <w:rPr>
          <w:rFonts w:ascii="Arial" w:hAnsi="Arial" w:cs="Arial"/>
          <w:sz w:val="16"/>
          <w:szCs w:val="16"/>
        </w:rPr>
        <w:t>). 201</w:t>
      </w:r>
      <w:r>
        <w:rPr>
          <w:rFonts w:ascii="Arial" w:hAnsi="Arial" w:cs="Arial"/>
          <w:sz w:val="16"/>
          <w:szCs w:val="16"/>
        </w:rPr>
        <w:t>7</w:t>
      </w:r>
    </w:p>
    <w:p w14:paraId="298EADF5" w14:textId="55794CC2" w:rsidR="00456CEF" w:rsidRDefault="00456CEF" w:rsidP="0005165F">
      <w:pPr>
        <w:spacing w:after="0" w:line="256" w:lineRule="auto"/>
        <w:rPr>
          <w:rFonts w:ascii="Arial" w:hAnsi="Arial" w:cs="Arial"/>
          <w:sz w:val="16"/>
          <w:szCs w:val="16"/>
        </w:rPr>
      </w:pPr>
    </w:p>
    <w:p w14:paraId="5F148A87" w14:textId="6A85AE00" w:rsidR="00456CEF" w:rsidRDefault="00456CEF" w:rsidP="008544A5">
      <w:pPr>
        <w:pStyle w:val="Heading3"/>
        <w:rPr>
          <w:rFonts w:ascii="Arial" w:hAnsi="Arial" w:cs="Arial"/>
          <w:i/>
          <w:color w:val="000000" w:themeColor="text1"/>
        </w:rPr>
      </w:pPr>
      <w:bookmarkStart w:id="76" w:name="_Toc57035171"/>
      <w:r w:rsidRPr="00A922AF">
        <w:rPr>
          <w:rFonts w:ascii="Arial" w:hAnsi="Arial" w:cs="Arial"/>
          <w:i/>
          <w:color w:val="000000" w:themeColor="text1"/>
        </w:rPr>
        <w:t>Modeling assumptions</w:t>
      </w:r>
      <w:bookmarkEnd w:id="76"/>
    </w:p>
    <w:p w14:paraId="257135C1" w14:textId="0327FB58" w:rsidR="00D5288C" w:rsidRDefault="00D5288C" w:rsidP="008544A5">
      <w:pPr>
        <w:spacing w:after="0"/>
      </w:pPr>
    </w:p>
    <w:p w14:paraId="60FCD8C3" w14:textId="6E68CB9B" w:rsidR="00456CEF" w:rsidRDefault="00C86D0D" w:rsidP="00276364">
      <w:pPr>
        <w:spacing w:after="0"/>
        <w:rPr>
          <w:rFonts w:ascii="Arial" w:hAnsi="Arial" w:cs="Arial"/>
          <w:sz w:val="16"/>
          <w:szCs w:val="16"/>
        </w:rPr>
      </w:pPr>
      <w:r>
        <w:rPr>
          <w:rFonts w:ascii="Arial" w:hAnsi="Arial" w:cs="Arial"/>
          <w:i/>
          <w:sz w:val="18"/>
        </w:rPr>
        <w:t>Figure</w:t>
      </w:r>
      <w:r w:rsidR="00D5288C" w:rsidRPr="008544A5">
        <w:rPr>
          <w:rFonts w:ascii="Arial" w:hAnsi="Arial" w:cs="Arial"/>
          <w:i/>
          <w:sz w:val="18"/>
        </w:rPr>
        <w:t xml:space="preserve"> 4-</w:t>
      </w:r>
      <w:r w:rsidR="009E25B2">
        <w:rPr>
          <w:rFonts w:ascii="Arial" w:hAnsi="Arial" w:cs="Arial"/>
          <w:i/>
          <w:sz w:val="18"/>
        </w:rPr>
        <w:t>6</w:t>
      </w:r>
      <w:r w:rsidR="00812C85">
        <w:rPr>
          <w:rFonts w:ascii="Arial" w:hAnsi="Arial" w:cs="Arial"/>
          <w:i/>
          <w:sz w:val="18"/>
        </w:rPr>
        <w:t>.</w:t>
      </w:r>
      <w:r w:rsidR="00D5288C" w:rsidRPr="008544A5">
        <w:rPr>
          <w:rFonts w:ascii="Arial" w:hAnsi="Arial" w:cs="Arial"/>
          <w:i/>
          <w:sz w:val="18"/>
        </w:rPr>
        <w:t xml:space="preserve"> Modeling assumptions of National Strategy </w:t>
      </w:r>
      <w:r w:rsidR="00534FF7">
        <w:rPr>
          <w:rFonts w:ascii="Arial" w:hAnsi="Arial" w:cs="Arial"/>
          <w:i/>
          <w:sz w:val="18"/>
        </w:rPr>
        <w:t>S</w:t>
      </w:r>
      <w:r w:rsidR="00D5288C" w:rsidRPr="008544A5">
        <w:rPr>
          <w:rFonts w:ascii="Arial" w:hAnsi="Arial" w:cs="Arial"/>
          <w:i/>
          <w:sz w:val="18"/>
        </w:rPr>
        <w:t>cenario</w:t>
      </w:r>
    </w:p>
    <w:tbl>
      <w:tblPr>
        <w:tblpPr w:leftFromText="180" w:rightFromText="180" w:vertAnchor="text" w:horzAnchor="margin" w:tblpY="164"/>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21"/>
        <w:gridCol w:w="2758"/>
      </w:tblGrid>
      <w:tr w:rsidR="007C1806" w:rsidRPr="00303177" w14:paraId="03F8EB70" w14:textId="77777777" w:rsidTr="00303177">
        <w:trPr>
          <w:trHeight w:val="211"/>
        </w:trPr>
        <w:tc>
          <w:tcPr>
            <w:tcW w:w="3175" w:type="dxa"/>
            <w:shd w:val="clear" w:color="auto" w:fill="FFFFFF" w:themeFill="background1"/>
            <w:vAlign w:val="center"/>
          </w:tcPr>
          <w:p w14:paraId="79B7753C" w14:textId="5F7A3804" w:rsidR="007C1806" w:rsidRPr="00303177" w:rsidRDefault="007C1806" w:rsidP="00303177">
            <w:pPr>
              <w:spacing w:after="0"/>
              <w:rPr>
                <w:rFonts w:ascii="Arial" w:hAnsi="Arial" w:cs="Arial"/>
                <w:b/>
                <w:sz w:val="18"/>
              </w:rPr>
            </w:pPr>
            <w:r w:rsidRPr="00303177">
              <w:rPr>
                <w:rFonts w:ascii="Arial" w:hAnsi="Arial" w:cs="Arial"/>
                <w:b/>
                <w:sz w:val="18"/>
              </w:rPr>
              <w:t>Abbreviation</w:t>
            </w:r>
          </w:p>
        </w:tc>
        <w:tc>
          <w:tcPr>
            <w:tcW w:w="5879" w:type="dxa"/>
            <w:gridSpan w:val="2"/>
            <w:shd w:val="clear" w:color="auto" w:fill="FFFFFF" w:themeFill="background1"/>
            <w:vAlign w:val="center"/>
          </w:tcPr>
          <w:p w14:paraId="0E198466" w14:textId="6943A371" w:rsidR="007C1806" w:rsidRPr="00303177" w:rsidRDefault="007C1806" w:rsidP="00303177">
            <w:pPr>
              <w:spacing w:after="0"/>
              <w:rPr>
                <w:rFonts w:ascii="Arial" w:hAnsi="Arial" w:cs="Arial"/>
                <w:sz w:val="18"/>
              </w:rPr>
            </w:pPr>
            <w:r w:rsidRPr="00303177">
              <w:rPr>
                <w:rFonts w:ascii="Arial" w:hAnsi="Arial" w:cs="Arial"/>
                <w:sz w:val="18"/>
              </w:rPr>
              <w:t>NS</w:t>
            </w:r>
          </w:p>
        </w:tc>
      </w:tr>
      <w:tr w:rsidR="00A81BE0" w:rsidRPr="00303177" w14:paraId="6C6765C4" w14:textId="77777777" w:rsidTr="00303177">
        <w:trPr>
          <w:trHeight w:val="211"/>
        </w:trPr>
        <w:tc>
          <w:tcPr>
            <w:tcW w:w="3175" w:type="dxa"/>
            <w:shd w:val="clear" w:color="auto" w:fill="FFFFFF" w:themeFill="background1"/>
            <w:vAlign w:val="center"/>
          </w:tcPr>
          <w:p w14:paraId="1CB72A59" w14:textId="77777777" w:rsidR="00A81BE0" w:rsidRPr="00303177" w:rsidRDefault="00A81BE0" w:rsidP="00303177">
            <w:pPr>
              <w:spacing w:after="0"/>
              <w:rPr>
                <w:rFonts w:ascii="Arial" w:hAnsi="Arial" w:cs="Arial"/>
                <w:b/>
                <w:sz w:val="18"/>
              </w:rPr>
            </w:pPr>
            <w:r w:rsidRPr="00303177">
              <w:rPr>
                <w:rFonts w:ascii="Arial" w:hAnsi="Arial" w:cs="Arial"/>
                <w:b/>
                <w:sz w:val="18"/>
              </w:rPr>
              <w:t>Coverage of budget driven scenario</w:t>
            </w:r>
          </w:p>
        </w:tc>
        <w:tc>
          <w:tcPr>
            <w:tcW w:w="5879" w:type="dxa"/>
            <w:gridSpan w:val="2"/>
            <w:shd w:val="clear" w:color="auto" w:fill="FFFFFF" w:themeFill="background1"/>
            <w:vAlign w:val="center"/>
          </w:tcPr>
          <w:p w14:paraId="39E04943" w14:textId="0AEB5D7A" w:rsidR="00A81BE0" w:rsidRPr="00303177" w:rsidRDefault="00A81BE0" w:rsidP="00303177">
            <w:pPr>
              <w:spacing w:after="0"/>
              <w:rPr>
                <w:rFonts w:ascii="Arial" w:hAnsi="Arial" w:cs="Arial"/>
                <w:sz w:val="18"/>
              </w:rPr>
            </w:pPr>
            <w:r w:rsidRPr="00303177">
              <w:rPr>
                <w:rFonts w:ascii="Arial" w:hAnsi="Arial" w:cs="Arial"/>
                <w:sz w:val="18"/>
              </w:rPr>
              <w:t>Coverage-driven</w:t>
            </w:r>
          </w:p>
        </w:tc>
      </w:tr>
      <w:tr w:rsidR="00A81BE0" w:rsidRPr="00303177" w14:paraId="0A1A8313" w14:textId="77777777" w:rsidTr="00303177">
        <w:trPr>
          <w:trHeight w:val="118"/>
        </w:trPr>
        <w:tc>
          <w:tcPr>
            <w:tcW w:w="3175" w:type="dxa"/>
            <w:shd w:val="clear" w:color="auto" w:fill="FFFFFF" w:themeFill="background1"/>
            <w:vAlign w:val="center"/>
          </w:tcPr>
          <w:p w14:paraId="55B8113B" w14:textId="302F2990" w:rsidR="00A81BE0" w:rsidRPr="00303177" w:rsidRDefault="00A81BE0" w:rsidP="00303177">
            <w:pPr>
              <w:spacing w:after="0"/>
              <w:rPr>
                <w:rFonts w:ascii="Arial" w:hAnsi="Arial" w:cs="Arial"/>
                <w:b/>
                <w:sz w:val="18"/>
              </w:rPr>
            </w:pPr>
            <w:r w:rsidRPr="00303177">
              <w:rPr>
                <w:rFonts w:ascii="Arial" w:hAnsi="Arial" w:cs="Arial"/>
                <w:b/>
                <w:sz w:val="18"/>
              </w:rPr>
              <w:t>Coverage targets</w:t>
            </w:r>
          </w:p>
        </w:tc>
        <w:tc>
          <w:tcPr>
            <w:tcW w:w="5879" w:type="dxa"/>
            <w:gridSpan w:val="2"/>
            <w:shd w:val="clear" w:color="auto" w:fill="FFFFFF" w:themeFill="background1"/>
            <w:vAlign w:val="center"/>
          </w:tcPr>
          <w:p w14:paraId="1179D62F" w14:textId="08E502FE" w:rsidR="00A81BE0" w:rsidRPr="00303177" w:rsidRDefault="00A81BE0" w:rsidP="00303177">
            <w:pPr>
              <w:spacing w:after="0"/>
              <w:rPr>
                <w:rFonts w:ascii="Arial" w:hAnsi="Arial" w:cs="Arial"/>
                <w:sz w:val="18"/>
              </w:rPr>
            </w:pPr>
            <w:r w:rsidRPr="00303177">
              <w:rPr>
                <w:rFonts w:ascii="Arial" w:hAnsi="Arial" w:cs="Arial"/>
                <w:sz w:val="18"/>
              </w:rPr>
              <w:t>National stra</w:t>
            </w:r>
            <w:r w:rsidR="004B0065" w:rsidRPr="00303177">
              <w:rPr>
                <w:rFonts w:ascii="Arial" w:hAnsi="Arial" w:cs="Arial"/>
                <w:sz w:val="18"/>
              </w:rPr>
              <w:t>tegy</w:t>
            </w:r>
            <w:r w:rsidR="00AC1B5F" w:rsidRPr="00303177">
              <w:rPr>
                <w:rFonts w:ascii="Arial" w:hAnsi="Arial" w:cs="Arial"/>
                <w:sz w:val="18"/>
              </w:rPr>
              <w:t xml:space="preserve"> (See </w:t>
            </w:r>
            <w:r w:rsidR="00C86D0D" w:rsidRPr="00444084">
              <w:rPr>
                <w:rFonts w:ascii="Arial" w:hAnsi="Arial" w:cs="Arial"/>
                <w:i/>
                <w:sz w:val="18"/>
              </w:rPr>
              <w:t>Figure</w:t>
            </w:r>
            <w:r w:rsidR="00AC1B5F" w:rsidRPr="00444084">
              <w:rPr>
                <w:rFonts w:ascii="Arial" w:hAnsi="Arial" w:cs="Arial"/>
                <w:i/>
                <w:sz w:val="18"/>
              </w:rPr>
              <w:t xml:space="preserve"> </w:t>
            </w:r>
            <w:r w:rsidR="00ED5792" w:rsidRPr="00444084">
              <w:rPr>
                <w:rFonts w:ascii="Arial" w:hAnsi="Arial" w:cs="Arial"/>
                <w:i/>
                <w:sz w:val="18"/>
              </w:rPr>
              <w:t>4-4</w:t>
            </w:r>
            <w:r w:rsidR="00AC1B5F" w:rsidRPr="00303177">
              <w:rPr>
                <w:rFonts w:ascii="Arial" w:hAnsi="Arial" w:cs="Arial"/>
                <w:sz w:val="18"/>
              </w:rPr>
              <w:t>)</w:t>
            </w:r>
            <w:r w:rsidR="007D0D94">
              <w:rPr>
                <w:rFonts w:ascii="Arial" w:hAnsi="Arial" w:cs="Arial"/>
                <w:sz w:val="18"/>
              </w:rPr>
              <w:t>; When one target was higher than the other, then the higher target was used for this scenario</w:t>
            </w:r>
          </w:p>
        </w:tc>
      </w:tr>
      <w:tr w:rsidR="00A81BE0" w:rsidRPr="00303177" w14:paraId="58D9E9FD" w14:textId="77777777" w:rsidTr="00303177">
        <w:trPr>
          <w:trHeight w:val="158"/>
        </w:trPr>
        <w:tc>
          <w:tcPr>
            <w:tcW w:w="3175" w:type="dxa"/>
            <w:vMerge w:val="restart"/>
            <w:shd w:val="clear" w:color="auto" w:fill="FFFFFF" w:themeFill="background1"/>
            <w:vAlign w:val="center"/>
          </w:tcPr>
          <w:p w14:paraId="362313A5" w14:textId="58381E7A" w:rsidR="00A81BE0" w:rsidRPr="00303177" w:rsidRDefault="003B2713" w:rsidP="00303177">
            <w:pPr>
              <w:spacing w:after="0"/>
              <w:rPr>
                <w:rFonts w:ascii="Arial" w:hAnsi="Arial" w:cs="Arial"/>
                <w:b/>
                <w:sz w:val="18"/>
              </w:rPr>
            </w:pPr>
            <w:r w:rsidRPr="00303177">
              <w:rPr>
                <w:rFonts w:ascii="Arial" w:hAnsi="Arial" w:cs="Arial"/>
                <w:b/>
                <w:sz w:val="18"/>
              </w:rPr>
              <w:t xml:space="preserve">Funding </w:t>
            </w:r>
            <w:r w:rsidR="00A81BE0" w:rsidRPr="00303177">
              <w:rPr>
                <w:rFonts w:ascii="Arial" w:hAnsi="Arial" w:cs="Arial"/>
                <w:b/>
                <w:sz w:val="18"/>
              </w:rPr>
              <w:t>constraint</w:t>
            </w:r>
          </w:p>
        </w:tc>
        <w:tc>
          <w:tcPr>
            <w:tcW w:w="3121" w:type="dxa"/>
            <w:shd w:val="clear" w:color="auto" w:fill="FFFFFF" w:themeFill="background1"/>
            <w:vAlign w:val="center"/>
          </w:tcPr>
          <w:p w14:paraId="7AB56D11" w14:textId="77777777" w:rsidR="00A81BE0" w:rsidRPr="00303177" w:rsidRDefault="00A81BE0" w:rsidP="00303177">
            <w:pPr>
              <w:spacing w:after="0"/>
              <w:rPr>
                <w:rFonts w:ascii="Arial" w:hAnsi="Arial" w:cs="Arial"/>
                <w:i/>
                <w:sz w:val="18"/>
              </w:rPr>
            </w:pPr>
            <w:r w:rsidRPr="00303177">
              <w:rPr>
                <w:rFonts w:ascii="Arial" w:hAnsi="Arial" w:cs="Arial"/>
                <w:i/>
                <w:sz w:val="18"/>
              </w:rPr>
              <w:t>PEPFAR</w:t>
            </w:r>
          </w:p>
        </w:tc>
        <w:tc>
          <w:tcPr>
            <w:tcW w:w="2758" w:type="dxa"/>
            <w:shd w:val="clear" w:color="auto" w:fill="FFFFFF" w:themeFill="background1"/>
            <w:vAlign w:val="center"/>
          </w:tcPr>
          <w:p w14:paraId="1D2613FF" w14:textId="1A4AF83C" w:rsidR="00A81BE0" w:rsidRPr="00303177" w:rsidRDefault="004B0065" w:rsidP="00303177">
            <w:pPr>
              <w:spacing w:after="0"/>
              <w:rPr>
                <w:rFonts w:ascii="Arial" w:hAnsi="Arial" w:cs="Arial"/>
                <w:sz w:val="18"/>
              </w:rPr>
            </w:pPr>
            <w:r w:rsidRPr="00303177">
              <w:rPr>
                <w:rFonts w:ascii="Arial" w:hAnsi="Arial" w:cs="Arial"/>
                <w:sz w:val="18"/>
              </w:rPr>
              <w:t>NA</w:t>
            </w:r>
          </w:p>
        </w:tc>
      </w:tr>
      <w:tr w:rsidR="00A81BE0" w:rsidRPr="00303177" w14:paraId="500200E1" w14:textId="77777777" w:rsidTr="00303177">
        <w:trPr>
          <w:trHeight w:val="163"/>
        </w:trPr>
        <w:tc>
          <w:tcPr>
            <w:tcW w:w="3175" w:type="dxa"/>
            <w:vMerge/>
            <w:shd w:val="clear" w:color="auto" w:fill="FFFFFF" w:themeFill="background1"/>
            <w:vAlign w:val="center"/>
          </w:tcPr>
          <w:p w14:paraId="3AF26C45" w14:textId="77777777" w:rsidR="00A81BE0" w:rsidRPr="00303177" w:rsidRDefault="00A81BE0" w:rsidP="00303177">
            <w:pPr>
              <w:spacing w:after="0"/>
              <w:rPr>
                <w:rFonts w:ascii="Arial" w:hAnsi="Arial" w:cs="Arial"/>
                <w:b/>
                <w:sz w:val="18"/>
              </w:rPr>
            </w:pPr>
          </w:p>
        </w:tc>
        <w:tc>
          <w:tcPr>
            <w:tcW w:w="3121" w:type="dxa"/>
            <w:shd w:val="clear" w:color="auto" w:fill="FFFFFF" w:themeFill="background1"/>
            <w:vAlign w:val="center"/>
          </w:tcPr>
          <w:p w14:paraId="01307959" w14:textId="77777777" w:rsidR="00A81BE0" w:rsidRPr="00303177" w:rsidRDefault="00A81BE0" w:rsidP="00303177">
            <w:pPr>
              <w:spacing w:after="0"/>
              <w:rPr>
                <w:rFonts w:ascii="Arial" w:hAnsi="Arial" w:cs="Arial"/>
                <w:i/>
                <w:sz w:val="18"/>
              </w:rPr>
            </w:pPr>
            <w:r w:rsidRPr="00303177">
              <w:rPr>
                <w:rFonts w:ascii="Arial" w:hAnsi="Arial" w:cs="Arial"/>
                <w:i/>
                <w:sz w:val="18"/>
              </w:rPr>
              <w:t>Global Fund</w:t>
            </w:r>
          </w:p>
        </w:tc>
        <w:tc>
          <w:tcPr>
            <w:tcW w:w="2758" w:type="dxa"/>
            <w:shd w:val="clear" w:color="auto" w:fill="FFFFFF" w:themeFill="background1"/>
            <w:vAlign w:val="center"/>
          </w:tcPr>
          <w:p w14:paraId="3BABFC7C" w14:textId="282F3542" w:rsidR="00A81BE0" w:rsidRPr="00303177" w:rsidRDefault="004B0065" w:rsidP="00303177">
            <w:pPr>
              <w:spacing w:after="0"/>
              <w:rPr>
                <w:rFonts w:ascii="Arial" w:hAnsi="Arial" w:cs="Arial"/>
                <w:sz w:val="18"/>
              </w:rPr>
            </w:pPr>
            <w:r w:rsidRPr="00303177">
              <w:rPr>
                <w:rFonts w:ascii="Arial" w:hAnsi="Arial" w:cs="Arial"/>
                <w:sz w:val="18"/>
              </w:rPr>
              <w:t>NA</w:t>
            </w:r>
          </w:p>
        </w:tc>
      </w:tr>
      <w:tr w:rsidR="00A81BE0" w:rsidRPr="00303177" w14:paraId="5EA8734E" w14:textId="77777777" w:rsidTr="00303177">
        <w:trPr>
          <w:trHeight w:val="111"/>
        </w:trPr>
        <w:tc>
          <w:tcPr>
            <w:tcW w:w="3175" w:type="dxa"/>
            <w:vMerge/>
            <w:shd w:val="clear" w:color="auto" w:fill="FFFFFF" w:themeFill="background1"/>
            <w:vAlign w:val="center"/>
          </w:tcPr>
          <w:p w14:paraId="77E8A940" w14:textId="77777777" w:rsidR="00A81BE0" w:rsidRPr="00303177" w:rsidRDefault="00A81BE0" w:rsidP="00303177">
            <w:pPr>
              <w:spacing w:after="0"/>
              <w:rPr>
                <w:rFonts w:ascii="Arial" w:hAnsi="Arial" w:cs="Arial"/>
                <w:b/>
                <w:sz w:val="18"/>
              </w:rPr>
            </w:pPr>
          </w:p>
        </w:tc>
        <w:tc>
          <w:tcPr>
            <w:tcW w:w="3121" w:type="dxa"/>
            <w:shd w:val="clear" w:color="auto" w:fill="FFFFFF" w:themeFill="background1"/>
            <w:vAlign w:val="center"/>
          </w:tcPr>
          <w:p w14:paraId="33B20392" w14:textId="77777777" w:rsidR="00A81BE0" w:rsidRPr="00303177" w:rsidRDefault="00A81BE0" w:rsidP="00303177">
            <w:pPr>
              <w:spacing w:after="0"/>
              <w:rPr>
                <w:rFonts w:ascii="Arial" w:hAnsi="Arial" w:cs="Arial"/>
                <w:i/>
                <w:sz w:val="18"/>
              </w:rPr>
            </w:pPr>
            <w:r w:rsidRPr="00303177">
              <w:rPr>
                <w:rFonts w:ascii="Arial" w:hAnsi="Arial" w:cs="Arial"/>
                <w:i/>
                <w:sz w:val="18"/>
              </w:rPr>
              <w:t>Domestic</w:t>
            </w:r>
          </w:p>
        </w:tc>
        <w:tc>
          <w:tcPr>
            <w:tcW w:w="2758" w:type="dxa"/>
            <w:shd w:val="clear" w:color="auto" w:fill="FFFFFF" w:themeFill="background1"/>
            <w:vAlign w:val="center"/>
          </w:tcPr>
          <w:p w14:paraId="4F3FD3AD" w14:textId="636AB1A5" w:rsidR="00A81BE0" w:rsidRPr="00303177" w:rsidRDefault="004B0065" w:rsidP="00303177">
            <w:pPr>
              <w:spacing w:after="0"/>
              <w:rPr>
                <w:rFonts w:ascii="Arial" w:hAnsi="Arial" w:cs="Arial"/>
                <w:sz w:val="18"/>
              </w:rPr>
            </w:pPr>
            <w:r w:rsidRPr="00303177">
              <w:rPr>
                <w:rFonts w:ascii="Arial" w:hAnsi="Arial" w:cs="Arial"/>
                <w:sz w:val="18"/>
              </w:rPr>
              <w:t>NA</w:t>
            </w:r>
          </w:p>
        </w:tc>
      </w:tr>
      <w:tr w:rsidR="00E559A1" w:rsidRPr="00303177" w14:paraId="0E305407" w14:textId="77777777" w:rsidTr="00093605">
        <w:trPr>
          <w:trHeight w:val="236"/>
        </w:trPr>
        <w:tc>
          <w:tcPr>
            <w:tcW w:w="3175" w:type="dxa"/>
            <w:vMerge w:val="restart"/>
            <w:shd w:val="clear" w:color="auto" w:fill="FFFFFF" w:themeFill="background1"/>
            <w:vAlign w:val="center"/>
          </w:tcPr>
          <w:p w14:paraId="15F0AED7" w14:textId="77777777" w:rsidR="00E559A1" w:rsidRDefault="00E559A1" w:rsidP="00E559A1">
            <w:pPr>
              <w:spacing w:after="0"/>
              <w:rPr>
                <w:rFonts w:ascii="Arial" w:hAnsi="Arial" w:cs="Arial"/>
                <w:b/>
                <w:sz w:val="18"/>
              </w:rPr>
            </w:pPr>
            <w:r>
              <w:rPr>
                <w:rFonts w:ascii="Arial" w:hAnsi="Arial" w:cs="Arial"/>
                <w:b/>
                <w:sz w:val="18"/>
              </w:rPr>
              <w:t xml:space="preserve">Resources required </w:t>
            </w:r>
          </w:p>
          <w:p w14:paraId="52E21388" w14:textId="125D0760" w:rsidR="00E559A1" w:rsidRDefault="00E559A1" w:rsidP="00E559A1">
            <w:pPr>
              <w:spacing w:after="0"/>
              <w:rPr>
                <w:rFonts w:ascii="Arial" w:hAnsi="Arial" w:cs="Arial"/>
                <w:b/>
                <w:sz w:val="18"/>
              </w:rPr>
            </w:pPr>
            <w:r>
              <w:rPr>
                <w:rFonts w:ascii="Arial" w:hAnsi="Arial" w:cs="Arial"/>
                <w:b/>
                <w:sz w:val="18"/>
              </w:rPr>
              <w:t>(preview to results)</w:t>
            </w:r>
          </w:p>
        </w:tc>
        <w:tc>
          <w:tcPr>
            <w:tcW w:w="3121" w:type="dxa"/>
            <w:shd w:val="clear" w:color="auto" w:fill="auto"/>
            <w:vAlign w:val="center"/>
          </w:tcPr>
          <w:p w14:paraId="17BBB13E" w14:textId="5FA279E9" w:rsidR="00E559A1" w:rsidRPr="00303177" w:rsidRDefault="00E559A1" w:rsidP="00303177">
            <w:pPr>
              <w:spacing w:after="0"/>
              <w:rPr>
                <w:rFonts w:ascii="Arial" w:hAnsi="Arial" w:cs="Arial"/>
                <w:sz w:val="18"/>
              </w:rPr>
            </w:pPr>
            <w:r>
              <w:rPr>
                <w:rFonts w:ascii="Arial" w:hAnsi="Arial" w:cs="Arial"/>
                <w:sz w:val="18"/>
              </w:rPr>
              <w:t>Resources required in 2019</w:t>
            </w:r>
          </w:p>
        </w:tc>
        <w:tc>
          <w:tcPr>
            <w:tcW w:w="2758" w:type="dxa"/>
            <w:shd w:val="clear" w:color="auto" w:fill="auto"/>
            <w:vAlign w:val="center"/>
          </w:tcPr>
          <w:p w14:paraId="46142731" w14:textId="56977FC3" w:rsidR="00E559A1" w:rsidRPr="00303177" w:rsidRDefault="000E325B" w:rsidP="00303177">
            <w:pPr>
              <w:spacing w:after="0"/>
              <w:rPr>
                <w:rFonts w:ascii="Arial" w:hAnsi="Arial" w:cs="Arial"/>
                <w:sz w:val="18"/>
              </w:rPr>
            </w:pPr>
            <w:r>
              <w:rPr>
                <w:rFonts w:ascii="Arial" w:hAnsi="Arial" w:cs="Arial"/>
                <w:sz w:val="18"/>
              </w:rPr>
              <w:t>USD 510 M</w:t>
            </w:r>
          </w:p>
        </w:tc>
      </w:tr>
      <w:tr w:rsidR="00E559A1" w:rsidRPr="00303177" w14:paraId="7182F5AB" w14:textId="77777777" w:rsidTr="00093605">
        <w:trPr>
          <w:trHeight w:val="236"/>
        </w:trPr>
        <w:tc>
          <w:tcPr>
            <w:tcW w:w="3175" w:type="dxa"/>
            <w:vMerge/>
            <w:shd w:val="clear" w:color="auto" w:fill="FFFFFF" w:themeFill="background1"/>
            <w:vAlign w:val="center"/>
          </w:tcPr>
          <w:p w14:paraId="64527281" w14:textId="77777777" w:rsidR="00E559A1" w:rsidRDefault="00E559A1" w:rsidP="00E559A1">
            <w:pPr>
              <w:spacing w:after="0"/>
              <w:rPr>
                <w:rFonts w:ascii="Arial" w:hAnsi="Arial" w:cs="Arial"/>
                <w:b/>
                <w:sz w:val="18"/>
              </w:rPr>
            </w:pPr>
          </w:p>
        </w:tc>
        <w:tc>
          <w:tcPr>
            <w:tcW w:w="3121" w:type="dxa"/>
            <w:shd w:val="clear" w:color="auto" w:fill="auto"/>
            <w:vAlign w:val="center"/>
          </w:tcPr>
          <w:p w14:paraId="529AB9CE" w14:textId="17FF333E" w:rsidR="00E559A1" w:rsidRPr="00303177" w:rsidRDefault="00E559A1" w:rsidP="00303177">
            <w:pPr>
              <w:spacing w:after="0"/>
              <w:rPr>
                <w:rFonts w:ascii="Arial" w:hAnsi="Arial" w:cs="Arial"/>
                <w:sz w:val="18"/>
              </w:rPr>
            </w:pPr>
            <w:r>
              <w:rPr>
                <w:rFonts w:ascii="Arial" w:hAnsi="Arial" w:cs="Arial"/>
                <w:sz w:val="18"/>
              </w:rPr>
              <w:t>Resource required in 2030</w:t>
            </w:r>
          </w:p>
        </w:tc>
        <w:tc>
          <w:tcPr>
            <w:tcW w:w="2758" w:type="dxa"/>
            <w:shd w:val="clear" w:color="auto" w:fill="auto"/>
            <w:vAlign w:val="center"/>
          </w:tcPr>
          <w:p w14:paraId="49FFB300" w14:textId="052FC05B" w:rsidR="00E559A1" w:rsidRPr="00303177" w:rsidRDefault="000E325B" w:rsidP="00303177">
            <w:pPr>
              <w:spacing w:after="0"/>
              <w:rPr>
                <w:rFonts w:ascii="Arial" w:hAnsi="Arial" w:cs="Arial"/>
                <w:sz w:val="18"/>
              </w:rPr>
            </w:pPr>
            <w:r>
              <w:rPr>
                <w:rFonts w:ascii="Arial" w:hAnsi="Arial" w:cs="Arial"/>
                <w:sz w:val="18"/>
              </w:rPr>
              <w:t>USD 839 M</w:t>
            </w:r>
          </w:p>
        </w:tc>
      </w:tr>
      <w:tr w:rsidR="00E559A1" w:rsidRPr="00303177" w14:paraId="4777B02B" w14:textId="77777777" w:rsidTr="00093605">
        <w:trPr>
          <w:trHeight w:val="236"/>
        </w:trPr>
        <w:tc>
          <w:tcPr>
            <w:tcW w:w="3175" w:type="dxa"/>
            <w:vMerge/>
            <w:shd w:val="clear" w:color="auto" w:fill="FFFFFF" w:themeFill="background1"/>
            <w:vAlign w:val="center"/>
          </w:tcPr>
          <w:p w14:paraId="481785D3" w14:textId="77777777" w:rsidR="00E559A1" w:rsidRDefault="00E559A1" w:rsidP="00E559A1">
            <w:pPr>
              <w:spacing w:after="0"/>
              <w:rPr>
                <w:rFonts w:ascii="Arial" w:hAnsi="Arial" w:cs="Arial"/>
                <w:b/>
                <w:sz w:val="18"/>
              </w:rPr>
            </w:pPr>
          </w:p>
        </w:tc>
        <w:tc>
          <w:tcPr>
            <w:tcW w:w="3121" w:type="dxa"/>
            <w:shd w:val="clear" w:color="auto" w:fill="auto"/>
            <w:vAlign w:val="center"/>
          </w:tcPr>
          <w:p w14:paraId="3F0C6E92" w14:textId="77777777" w:rsidR="00E559A1" w:rsidRDefault="00E559A1" w:rsidP="00303177">
            <w:pPr>
              <w:spacing w:after="0"/>
              <w:rPr>
                <w:rFonts w:ascii="Arial" w:hAnsi="Arial" w:cs="Arial"/>
                <w:sz w:val="18"/>
              </w:rPr>
            </w:pPr>
            <w:r>
              <w:rPr>
                <w:rFonts w:ascii="Arial" w:hAnsi="Arial" w:cs="Arial"/>
                <w:sz w:val="18"/>
              </w:rPr>
              <w:t xml:space="preserve">Cumulative resources required </w:t>
            </w:r>
          </w:p>
          <w:p w14:paraId="03DDC0DF" w14:textId="65A221FF" w:rsidR="00E559A1" w:rsidRPr="00303177" w:rsidRDefault="00E559A1" w:rsidP="00303177">
            <w:pPr>
              <w:spacing w:after="0"/>
              <w:rPr>
                <w:rFonts w:ascii="Arial" w:hAnsi="Arial" w:cs="Arial"/>
                <w:sz w:val="18"/>
              </w:rPr>
            </w:pPr>
            <w:r>
              <w:rPr>
                <w:rFonts w:ascii="Arial" w:hAnsi="Arial" w:cs="Arial"/>
                <w:sz w:val="18"/>
              </w:rPr>
              <w:t>(2019-2030)</w:t>
            </w:r>
          </w:p>
        </w:tc>
        <w:tc>
          <w:tcPr>
            <w:tcW w:w="2758" w:type="dxa"/>
            <w:shd w:val="clear" w:color="auto" w:fill="auto"/>
            <w:vAlign w:val="center"/>
          </w:tcPr>
          <w:p w14:paraId="4975CE49" w14:textId="44B1E1BA" w:rsidR="00E559A1" w:rsidRPr="00303177" w:rsidRDefault="000E325B" w:rsidP="00303177">
            <w:pPr>
              <w:spacing w:after="0"/>
              <w:rPr>
                <w:rFonts w:ascii="Arial" w:hAnsi="Arial" w:cs="Arial"/>
                <w:sz w:val="18"/>
              </w:rPr>
            </w:pPr>
            <w:r>
              <w:rPr>
                <w:rFonts w:ascii="Arial" w:hAnsi="Arial" w:cs="Arial"/>
                <w:sz w:val="18"/>
              </w:rPr>
              <w:t>USD 8.1 B</w:t>
            </w:r>
          </w:p>
        </w:tc>
      </w:tr>
      <w:tr w:rsidR="00A81BE0" w:rsidRPr="00303177" w14:paraId="64945F3E" w14:textId="77777777" w:rsidTr="00303177">
        <w:trPr>
          <w:trHeight w:val="111"/>
        </w:trPr>
        <w:tc>
          <w:tcPr>
            <w:tcW w:w="3175" w:type="dxa"/>
            <w:shd w:val="clear" w:color="auto" w:fill="FFFFFF" w:themeFill="background1"/>
            <w:vAlign w:val="center"/>
          </w:tcPr>
          <w:p w14:paraId="7F5C60E8" w14:textId="748968BB" w:rsidR="00A81BE0" w:rsidRPr="00303177" w:rsidRDefault="00512414" w:rsidP="00303177">
            <w:pPr>
              <w:spacing w:after="0"/>
              <w:rPr>
                <w:rFonts w:ascii="Arial" w:hAnsi="Arial" w:cs="Arial"/>
                <w:b/>
                <w:sz w:val="18"/>
              </w:rPr>
            </w:pPr>
            <w:r>
              <w:rPr>
                <w:rFonts w:ascii="Arial" w:hAnsi="Arial" w:cs="Arial"/>
                <w:b/>
                <w:sz w:val="18"/>
              </w:rPr>
              <w:t>Optimization</w:t>
            </w:r>
            <w:r w:rsidR="00A81BE0" w:rsidRPr="00303177">
              <w:rPr>
                <w:rFonts w:ascii="Arial" w:hAnsi="Arial" w:cs="Arial"/>
                <w:b/>
                <w:sz w:val="18"/>
              </w:rPr>
              <w:t xml:space="preserve"> </w:t>
            </w:r>
          </w:p>
        </w:tc>
        <w:tc>
          <w:tcPr>
            <w:tcW w:w="5879" w:type="dxa"/>
            <w:gridSpan w:val="2"/>
            <w:shd w:val="clear" w:color="auto" w:fill="FFFFFF" w:themeFill="background1"/>
            <w:vAlign w:val="center"/>
          </w:tcPr>
          <w:p w14:paraId="15FEA1DD" w14:textId="57DF9EEE" w:rsidR="00A81BE0" w:rsidRPr="00303177" w:rsidRDefault="004B0065" w:rsidP="00303177">
            <w:pPr>
              <w:spacing w:after="0"/>
              <w:rPr>
                <w:rFonts w:ascii="Arial" w:hAnsi="Arial" w:cs="Arial"/>
                <w:sz w:val="18"/>
              </w:rPr>
            </w:pPr>
            <w:r w:rsidRPr="00303177">
              <w:rPr>
                <w:rFonts w:ascii="Arial" w:hAnsi="Arial" w:cs="Arial"/>
                <w:sz w:val="18"/>
              </w:rPr>
              <w:t>No</w:t>
            </w:r>
            <w:r w:rsidR="00512414">
              <w:rPr>
                <w:rFonts w:ascii="Arial" w:hAnsi="Arial" w:cs="Arial"/>
                <w:sz w:val="18"/>
              </w:rPr>
              <w:t xml:space="preserve"> optimization approaches scaled beyond their baseline described in National Strategies</w:t>
            </w:r>
          </w:p>
        </w:tc>
      </w:tr>
    </w:tbl>
    <w:p w14:paraId="009A523D" w14:textId="77777777" w:rsidR="00BD2E89" w:rsidRDefault="00BD2E89" w:rsidP="008544A5">
      <w:pPr>
        <w:pStyle w:val="Heading3"/>
        <w:spacing w:before="0"/>
        <w:rPr>
          <w:rFonts w:ascii="Arial" w:hAnsi="Arial" w:cs="Arial"/>
          <w:i/>
          <w:color w:val="000000" w:themeColor="text1"/>
        </w:rPr>
      </w:pPr>
    </w:p>
    <w:p w14:paraId="173247C6" w14:textId="43A08851" w:rsidR="00A922AF" w:rsidRDefault="00A922AF" w:rsidP="008544A5">
      <w:pPr>
        <w:pStyle w:val="Heading3"/>
        <w:spacing w:before="0"/>
        <w:rPr>
          <w:rFonts w:ascii="Arial" w:hAnsi="Arial" w:cs="Arial"/>
          <w:i/>
          <w:color w:val="000000" w:themeColor="text1"/>
        </w:rPr>
      </w:pPr>
      <w:bookmarkStart w:id="77" w:name="_Toc57035172"/>
      <w:r w:rsidRPr="00A922AF">
        <w:rPr>
          <w:rFonts w:ascii="Arial" w:hAnsi="Arial" w:cs="Arial"/>
          <w:i/>
          <w:color w:val="000000" w:themeColor="text1"/>
        </w:rPr>
        <w:t>Impact of National Strategy</w:t>
      </w:r>
      <w:bookmarkEnd w:id="77"/>
    </w:p>
    <w:p w14:paraId="03D9438B" w14:textId="4100DB87" w:rsidR="00BC6B11" w:rsidRDefault="00BC6B11" w:rsidP="008544A5">
      <w:pPr>
        <w:spacing w:after="0"/>
      </w:pPr>
    </w:p>
    <w:p w14:paraId="387974C9" w14:textId="4921CE38" w:rsidR="00CE35FC" w:rsidRDefault="009409CD" w:rsidP="00E46497">
      <w:pPr>
        <w:spacing w:after="0"/>
        <w:rPr>
          <w:rFonts w:ascii="Arial" w:hAnsi="Arial" w:cs="Arial"/>
        </w:rPr>
      </w:pPr>
      <w:r w:rsidRPr="009409CD">
        <w:rPr>
          <w:rFonts w:ascii="Arial" w:hAnsi="Arial" w:cs="Arial"/>
          <w:b/>
        </w:rPr>
        <w:t>ART coverage.</w:t>
      </w:r>
      <w:r>
        <w:rPr>
          <w:rFonts w:ascii="Arial" w:hAnsi="Arial" w:cs="Arial"/>
          <w:b/>
        </w:rPr>
        <w:t xml:space="preserve"> </w:t>
      </w:r>
      <w:r>
        <w:rPr>
          <w:rFonts w:ascii="Arial" w:hAnsi="Arial" w:cs="Arial"/>
        </w:rPr>
        <w:t>Implementing the NS w</w:t>
      </w:r>
      <w:r w:rsidR="00C70433">
        <w:rPr>
          <w:rFonts w:ascii="Arial" w:hAnsi="Arial" w:cs="Arial"/>
        </w:rPr>
        <w:t xml:space="preserve">ould </w:t>
      </w:r>
      <w:r>
        <w:rPr>
          <w:rFonts w:ascii="Arial" w:hAnsi="Arial" w:cs="Arial"/>
        </w:rPr>
        <w:t xml:space="preserve">require quickly increasing the numbers on ART from </w:t>
      </w:r>
      <w:r w:rsidR="00A46CD4">
        <w:rPr>
          <w:rFonts w:ascii="Arial" w:hAnsi="Arial" w:cs="Arial"/>
        </w:rPr>
        <w:t>current coverage levels</w:t>
      </w:r>
      <w:r>
        <w:rPr>
          <w:rFonts w:ascii="Arial" w:hAnsi="Arial" w:cs="Arial"/>
        </w:rPr>
        <w:t xml:space="preserve">. </w:t>
      </w:r>
      <w:r w:rsidR="00101574">
        <w:rPr>
          <w:rFonts w:ascii="Arial" w:hAnsi="Arial" w:cs="Arial"/>
        </w:rPr>
        <w:t xml:space="preserve">In 2020, </w:t>
      </w:r>
      <w:r w:rsidR="00C70433">
        <w:rPr>
          <w:rFonts w:ascii="Arial" w:hAnsi="Arial" w:cs="Arial"/>
        </w:rPr>
        <w:t xml:space="preserve">under </w:t>
      </w:r>
      <w:r w:rsidR="00101574">
        <w:rPr>
          <w:rFonts w:ascii="Arial" w:hAnsi="Arial" w:cs="Arial"/>
        </w:rPr>
        <w:t>the Nation</w:t>
      </w:r>
      <w:r w:rsidR="00674233">
        <w:rPr>
          <w:rFonts w:ascii="Arial" w:hAnsi="Arial" w:cs="Arial"/>
        </w:rPr>
        <w:t>a</w:t>
      </w:r>
      <w:r w:rsidR="00101574">
        <w:rPr>
          <w:rFonts w:ascii="Arial" w:hAnsi="Arial" w:cs="Arial"/>
        </w:rPr>
        <w:t xml:space="preserve">l Strategy 1.22 M PLHIV </w:t>
      </w:r>
      <w:r w:rsidR="0072618D">
        <w:rPr>
          <w:rFonts w:ascii="Arial" w:hAnsi="Arial" w:cs="Arial"/>
        </w:rPr>
        <w:t xml:space="preserve">would be </w:t>
      </w:r>
      <w:r w:rsidR="00101574">
        <w:rPr>
          <w:rFonts w:ascii="Arial" w:hAnsi="Arial" w:cs="Arial"/>
        </w:rPr>
        <w:t xml:space="preserve">on ART, </w:t>
      </w:r>
      <w:r w:rsidR="00C70433">
        <w:rPr>
          <w:rFonts w:ascii="Arial" w:hAnsi="Arial" w:cs="Arial"/>
        </w:rPr>
        <w:t>rising to</w:t>
      </w:r>
      <w:r w:rsidR="00101574">
        <w:rPr>
          <w:rFonts w:ascii="Arial" w:hAnsi="Arial" w:cs="Arial"/>
        </w:rPr>
        <w:t xml:space="preserve"> 1.27 M</w:t>
      </w:r>
      <w:r w:rsidR="00C70433">
        <w:rPr>
          <w:rFonts w:ascii="Arial" w:hAnsi="Arial" w:cs="Arial"/>
        </w:rPr>
        <w:t xml:space="preserve"> by 20</w:t>
      </w:r>
      <w:r w:rsidR="00ED5792">
        <w:rPr>
          <w:rFonts w:ascii="Arial" w:hAnsi="Arial" w:cs="Arial"/>
        </w:rPr>
        <w:t>25</w:t>
      </w:r>
      <w:r w:rsidR="00101574">
        <w:rPr>
          <w:rFonts w:ascii="Arial" w:hAnsi="Arial" w:cs="Arial"/>
        </w:rPr>
        <w:t>, and1.34 M</w:t>
      </w:r>
      <w:r w:rsidR="00C70433">
        <w:rPr>
          <w:rFonts w:ascii="Arial" w:hAnsi="Arial" w:cs="Arial"/>
        </w:rPr>
        <w:t xml:space="preserve"> by 2030, an increase of</w:t>
      </w:r>
      <w:r w:rsidR="0072618D">
        <w:rPr>
          <w:rFonts w:ascii="Arial" w:hAnsi="Arial" w:cs="Arial"/>
        </w:rPr>
        <w:t xml:space="preserve"> </w:t>
      </w:r>
      <w:r w:rsidR="00101574">
        <w:rPr>
          <w:rFonts w:ascii="Arial" w:hAnsi="Arial" w:cs="Arial"/>
        </w:rPr>
        <w:t xml:space="preserve">20% </w:t>
      </w:r>
      <w:r w:rsidR="00A46CD4">
        <w:rPr>
          <w:rFonts w:ascii="Arial" w:hAnsi="Arial" w:cs="Arial"/>
        </w:rPr>
        <w:t>compared to Constant Coverage</w:t>
      </w:r>
      <w:r w:rsidR="00101574">
        <w:rPr>
          <w:rFonts w:ascii="Arial" w:hAnsi="Arial" w:cs="Arial"/>
        </w:rPr>
        <w:t xml:space="preserve">. </w:t>
      </w:r>
    </w:p>
    <w:p w14:paraId="30F10B91" w14:textId="77777777" w:rsidR="00311475" w:rsidRDefault="00311475" w:rsidP="00E46497">
      <w:pPr>
        <w:spacing w:after="0"/>
        <w:rPr>
          <w:rFonts w:ascii="Arial" w:hAnsi="Arial" w:cs="Arial"/>
        </w:rPr>
      </w:pPr>
    </w:p>
    <w:p w14:paraId="606AF25D" w14:textId="77777777" w:rsidR="00CC2044" w:rsidRDefault="00CC2044">
      <w:pPr>
        <w:rPr>
          <w:rFonts w:ascii="Arial" w:hAnsi="Arial" w:cs="Arial"/>
          <w:i/>
          <w:sz w:val="18"/>
        </w:rPr>
      </w:pPr>
      <w:r>
        <w:rPr>
          <w:rFonts w:ascii="Arial" w:hAnsi="Arial" w:cs="Arial"/>
          <w:i/>
          <w:sz w:val="18"/>
        </w:rPr>
        <w:br w:type="page"/>
      </w:r>
    </w:p>
    <w:p w14:paraId="04D9ED38" w14:textId="049843BA" w:rsidR="009409CD" w:rsidRDefault="00CE35FC" w:rsidP="00276364">
      <w:pPr>
        <w:spacing w:after="0"/>
        <w:rPr>
          <w:rFonts w:ascii="Arial" w:hAnsi="Arial" w:cs="Arial"/>
          <w:b/>
        </w:rPr>
      </w:pPr>
      <w:r w:rsidRPr="008544A5">
        <w:rPr>
          <w:rFonts w:ascii="Arial" w:hAnsi="Arial" w:cs="Arial"/>
          <w:i/>
          <w:sz w:val="18"/>
        </w:rPr>
        <w:t>Figure 4-</w:t>
      </w:r>
      <w:r w:rsidR="009E25B2">
        <w:rPr>
          <w:rFonts w:ascii="Arial" w:hAnsi="Arial" w:cs="Arial"/>
          <w:i/>
          <w:sz w:val="18"/>
        </w:rPr>
        <w:t>7</w:t>
      </w:r>
      <w:r w:rsidRPr="008544A5">
        <w:rPr>
          <w:rFonts w:ascii="Arial" w:hAnsi="Arial" w:cs="Arial"/>
          <w:i/>
          <w:sz w:val="18"/>
        </w:rPr>
        <w:t>. Number on ART</w:t>
      </w:r>
      <w:r>
        <w:rPr>
          <w:rFonts w:ascii="Arial" w:hAnsi="Arial" w:cs="Arial"/>
          <w:i/>
          <w:sz w:val="18"/>
        </w:rPr>
        <w:t xml:space="preserve"> 2019-2030</w:t>
      </w:r>
    </w:p>
    <w:p w14:paraId="1676BAF1" w14:textId="758A9BA2" w:rsidR="009409CD" w:rsidRDefault="00311475" w:rsidP="009409CD">
      <w:pPr>
        <w:ind w:left="720"/>
        <w:rPr>
          <w:rFonts w:ascii="Arial" w:hAnsi="Arial" w:cs="Arial"/>
          <w:b/>
        </w:rPr>
      </w:pPr>
      <w:r w:rsidRPr="009D6684">
        <w:rPr>
          <w:rFonts w:ascii="Arial" w:hAnsi="Arial" w:cs="Arial"/>
          <w:noProof/>
        </w:rPr>
        <w:drawing>
          <wp:anchor distT="0" distB="0" distL="114300" distR="114300" simplePos="0" relativeHeight="251793408" behindDoc="0" locked="0" layoutInCell="1" allowOverlap="1" wp14:anchorId="1F63F2A3" wp14:editId="5E8D2366">
            <wp:simplePos x="0" y="0"/>
            <wp:positionH relativeFrom="column">
              <wp:posOffset>342900</wp:posOffset>
            </wp:positionH>
            <wp:positionV relativeFrom="paragraph">
              <wp:posOffset>206375</wp:posOffset>
            </wp:positionV>
            <wp:extent cx="4472940" cy="2080260"/>
            <wp:effectExtent l="0" t="0" r="3810" b="15240"/>
            <wp:wrapTopAndBottom/>
            <wp:docPr id="67" name="Chart 67">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F73875A" w14:textId="58FA9540" w:rsidR="00311475" w:rsidRPr="009409CD" w:rsidRDefault="00311475" w:rsidP="009409CD">
      <w:pPr>
        <w:ind w:left="720"/>
        <w:rPr>
          <w:rFonts w:ascii="Arial" w:hAnsi="Arial" w:cs="Arial"/>
          <w:b/>
        </w:rPr>
      </w:pPr>
    </w:p>
    <w:p w14:paraId="6D1B1AA9" w14:textId="4BC35CA3" w:rsidR="00CE35FC" w:rsidRDefault="009409CD" w:rsidP="00A922AF">
      <w:pPr>
        <w:rPr>
          <w:rFonts w:ascii="Arial" w:hAnsi="Arial" w:cs="Arial"/>
        </w:rPr>
      </w:pPr>
      <w:r w:rsidRPr="009409CD">
        <w:rPr>
          <w:rFonts w:ascii="Arial" w:hAnsi="Arial" w:cs="Arial"/>
          <w:b/>
        </w:rPr>
        <w:t>New infections.</w:t>
      </w:r>
      <w:r w:rsidR="00101574">
        <w:rPr>
          <w:rFonts w:ascii="Arial" w:hAnsi="Arial" w:cs="Arial"/>
          <w:b/>
        </w:rPr>
        <w:t xml:space="preserve"> </w:t>
      </w:r>
      <w:r w:rsidR="005F0BC9">
        <w:rPr>
          <w:rFonts w:ascii="Arial" w:hAnsi="Arial" w:cs="Arial"/>
        </w:rPr>
        <w:t>Achieving the NS would significantly alter the trajectory of the epidemic</w:t>
      </w:r>
      <w:r w:rsidR="001255DF">
        <w:rPr>
          <w:rFonts w:ascii="Arial" w:hAnsi="Arial" w:cs="Arial"/>
        </w:rPr>
        <w:t xml:space="preserve"> in terms of new infections. </w:t>
      </w:r>
      <w:r w:rsidR="00A63451">
        <w:rPr>
          <w:rFonts w:ascii="Arial" w:hAnsi="Arial" w:cs="Arial"/>
        </w:rPr>
        <w:t>The</w:t>
      </w:r>
      <w:r w:rsidR="001255DF">
        <w:rPr>
          <w:rFonts w:ascii="Arial" w:hAnsi="Arial" w:cs="Arial"/>
        </w:rPr>
        <w:t xml:space="preserve"> National Strategy w</w:t>
      </w:r>
      <w:r w:rsidR="00C70433">
        <w:rPr>
          <w:rFonts w:ascii="Arial" w:hAnsi="Arial" w:cs="Arial"/>
        </w:rPr>
        <w:t>ould</w:t>
      </w:r>
      <w:r w:rsidR="001255DF">
        <w:rPr>
          <w:rFonts w:ascii="Arial" w:hAnsi="Arial" w:cs="Arial"/>
        </w:rPr>
        <w:t xml:space="preserve"> avert</w:t>
      </w:r>
      <w:r w:rsidR="00C70433">
        <w:rPr>
          <w:rFonts w:ascii="Arial" w:hAnsi="Arial" w:cs="Arial"/>
        </w:rPr>
        <w:t xml:space="preserve"> an extra</w:t>
      </w:r>
      <w:r w:rsidR="001255DF">
        <w:rPr>
          <w:rFonts w:ascii="Arial" w:hAnsi="Arial" w:cs="Arial"/>
        </w:rPr>
        <w:t xml:space="preserve"> 255,</w:t>
      </w:r>
      <w:r w:rsidR="000F5E56">
        <w:rPr>
          <w:rFonts w:ascii="Arial" w:hAnsi="Arial" w:cs="Arial"/>
        </w:rPr>
        <w:t>000</w:t>
      </w:r>
      <w:r w:rsidR="001255DF">
        <w:rPr>
          <w:rFonts w:ascii="Arial" w:hAnsi="Arial" w:cs="Arial"/>
        </w:rPr>
        <w:t xml:space="preserve"> infections</w:t>
      </w:r>
      <w:r w:rsidR="00A63451">
        <w:rPr>
          <w:rFonts w:ascii="Arial" w:hAnsi="Arial" w:cs="Arial"/>
        </w:rPr>
        <w:t xml:space="preserve"> compared to </w:t>
      </w:r>
      <w:r w:rsidR="00C527FE">
        <w:rPr>
          <w:rFonts w:ascii="Arial" w:hAnsi="Arial" w:cs="Arial"/>
        </w:rPr>
        <w:t>CC</w:t>
      </w:r>
      <w:r w:rsidR="001255DF">
        <w:rPr>
          <w:rFonts w:ascii="Arial" w:hAnsi="Arial" w:cs="Arial"/>
        </w:rPr>
        <w:t>, reducing the cumulative number of new infections by about 50%. From 2019</w:t>
      </w:r>
      <w:r w:rsidR="00C70433">
        <w:rPr>
          <w:rFonts w:ascii="Arial" w:hAnsi="Arial" w:cs="Arial"/>
        </w:rPr>
        <w:t xml:space="preserve"> to</w:t>
      </w:r>
      <w:r w:rsidR="00451347">
        <w:rPr>
          <w:rFonts w:ascii="Arial" w:hAnsi="Arial" w:cs="Arial"/>
        </w:rPr>
        <w:t xml:space="preserve"> </w:t>
      </w:r>
      <w:r w:rsidR="001255DF">
        <w:rPr>
          <w:rFonts w:ascii="Arial" w:hAnsi="Arial" w:cs="Arial"/>
        </w:rPr>
        <w:t>2030, the number of new infections annually w</w:t>
      </w:r>
      <w:r w:rsidR="00C70433">
        <w:rPr>
          <w:rFonts w:ascii="Arial" w:hAnsi="Arial" w:cs="Arial"/>
        </w:rPr>
        <w:t>ould</w:t>
      </w:r>
      <w:r w:rsidR="001255DF">
        <w:rPr>
          <w:rFonts w:ascii="Arial" w:hAnsi="Arial" w:cs="Arial"/>
        </w:rPr>
        <w:t xml:space="preserve"> decrease by 72% under the NS, from over 44,000 annually in 2019 to 14,</w:t>
      </w:r>
      <w:r w:rsidR="000F5E56">
        <w:rPr>
          <w:rFonts w:ascii="Arial" w:hAnsi="Arial" w:cs="Arial"/>
        </w:rPr>
        <w:t>000</w:t>
      </w:r>
      <w:r w:rsidR="001255DF">
        <w:rPr>
          <w:rFonts w:ascii="Arial" w:hAnsi="Arial" w:cs="Arial"/>
        </w:rPr>
        <w:t xml:space="preserve"> in 2030. This continued decline would </w:t>
      </w:r>
      <w:r w:rsidR="00C70433">
        <w:rPr>
          <w:rFonts w:ascii="Arial" w:hAnsi="Arial" w:cs="Arial"/>
        </w:rPr>
        <w:t>get</w:t>
      </w:r>
      <w:r w:rsidR="001255DF">
        <w:rPr>
          <w:rFonts w:ascii="Arial" w:hAnsi="Arial" w:cs="Arial"/>
        </w:rPr>
        <w:t xml:space="preserve"> Tanzania </w:t>
      </w:r>
      <w:r w:rsidR="00C70433">
        <w:rPr>
          <w:rFonts w:ascii="Arial" w:hAnsi="Arial" w:cs="Arial"/>
        </w:rPr>
        <w:t>close to</w:t>
      </w:r>
      <w:r w:rsidR="001255DF">
        <w:rPr>
          <w:rFonts w:ascii="Arial" w:hAnsi="Arial" w:cs="Arial"/>
        </w:rPr>
        <w:t xml:space="preserve"> meet</w:t>
      </w:r>
      <w:r w:rsidR="00C70433">
        <w:rPr>
          <w:rFonts w:ascii="Arial" w:hAnsi="Arial" w:cs="Arial"/>
        </w:rPr>
        <w:t>ing</w:t>
      </w:r>
      <w:r w:rsidR="001255DF">
        <w:rPr>
          <w:rFonts w:ascii="Arial" w:hAnsi="Arial" w:cs="Arial"/>
        </w:rPr>
        <w:t xml:space="preserve"> Fast Track targets (85% reduction from 2010 to 2030). </w:t>
      </w:r>
    </w:p>
    <w:p w14:paraId="6770B545" w14:textId="4749CEAD" w:rsidR="00DF764D" w:rsidRDefault="000F5E56" w:rsidP="00A922AF">
      <w:pPr>
        <w:rPr>
          <w:rFonts w:ascii="Arial" w:hAnsi="Arial" w:cs="Arial"/>
          <w:b/>
        </w:rPr>
      </w:pPr>
      <w:r w:rsidRPr="00A9563C">
        <w:rPr>
          <w:rFonts w:ascii="Arial" w:hAnsi="Arial" w:cs="Arial"/>
          <w:b/>
          <w:noProof/>
        </w:rPr>
        <w:drawing>
          <wp:anchor distT="0" distB="0" distL="114300" distR="114300" simplePos="0" relativeHeight="251668480" behindDoc="0" locked="0" layoutInCell="1" allowOverlap="1" wp14:anchorId="4980AD55" wp14:editId="24E78425">
            <wp:simplePos x="0" y="0"/>
            <wp:positionH relativeFrom="margin">
              <wp:posOffset>373380</wp:posOffset>
            </wp:positionH>
            <wp:positionV relativeFrom="paragraph">
              <wp:posOffset>280035</wp:posOffset>
            </wp:positionV>
            <wp:extent cx="4489450" cy="2484120"/>
            <wp:effectExtent l="0" t="0" r="6350" b="11430"/>
            <wp:wrapTopAndBottom/>
            <wp:docPr id="71" name="Chart 71">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CE35FC" w:rsidRPr="008544A5">
        <w:rPr>
          <w:rFonts w:ascii="Arial" w:hAnsi="Arial" w:cs="Arial"/>
          <w:i/>
          <w:sz w:val="18"/>
        </w:rPr>
        <w:t>Figure 4-</w:t>
      </w:r>
      <w:r w:rsidR="009E25B2">
        <w:rPr>
          <w:rFonts w:ascii="Arial" w:hAnsi="Arial" w:cs="Arial"/>
          <w:i/>
          <w:sz w:val="18"/>
        </w:rPr>
        <w:t>8</w:t>
      </w:r>
      <w:r w:rsidR="00CE35FC" w:rsidRPr="008544A5">
        <w:rPr>
          <w:rFonts w:ascii="Arial" w:hAnsi="Arial" w:cs="Arial"/>
          <w:i/>
          <w:sz w:val="18"/>
        </w:rPr>
        <w:t>. New infections 2019-2030</w:t>
      </w:r>
    </w:p>
    <w:p w14:paraId="3B16B943" w14:textId="057FF412" w:rsidR="007C2BF4" w:rsidRDefault="001255DF" w:rsidP="00534FF7">
      <w:pPr>
        <w:spacing w:after="0"/>
        <w:rPr>
          <w:rFonts w:ascii="Arial" w:hAnsi="Arial" w:cs="Arial"/>
          <w:b/>
        </w:rPr>
      </w:pPr>
      <w:r>
        <w:rPr>
          <w:rFonts w:ascii="Arial" w:hAnsi="Arial" w:cs="Arial"/>
        </w:rPr>
        <w:t xml:space="preserve">NS would also reverse the trend of new infections among adolescents </w:t>
      </w:r>
      <w:r w:rsidR="00A46CD4">
        <w:rPr>
          <w:rFonts w:ascii="Arial" w:hAnsi="Arial" w:cs="Arial"/>
        </w:rPr>
        <w:t>compared to Constant Coverage</w:t>
      </w:r>
      <w:r>
        <w:rPr>
          <w:rFonts w:ascii="Arial" w:hAnsi="Arial" w:cs="Arial"/>
        </w:rPr>
        <w:t>. The number of new annual infections among adolescents would decline by 67%</w:t>
      </w:r>
      <w:r w:rsidR="00A46CD4">
        <w:rPr>
          <w:rFonts w:ascii="Arial" w:hAnsi="Arial" w:cs="Arial"/>
        </w:rPr>
        <w:t xml:space="preserve"> under the NS, </w:t>
      </w:r>
      <w:r>
        <w:rPr>
          <w:rFonts w:ascii="Arial" w:hAnsi="Arial" w:cs="Arial"/>
        </w:rPr>
        <w:t>from</w:t>
      </w:r>
      <w:r w:rsidR="00C70433">
        <w:rPr>
          <w:rFonts w:ascii="Arial" w:hAnsi="Arial" w:cs="Arial"/>
        </w:rPr>
        <w:t xml:space="preserve"> about</w:t>
      </w:r>
      <w:r>
        <w:rPr>
          <w:rFonts w:ascii="Arial" w:hAnsi="Arial" w:cs="Arial"/>
        </w:rPr>
        <w:t xml:space="preserve"> </w:t>
      </w:r>
      <w:r w:rsidR="00C70433">
        <w:rPr>
          <w:rFonts w:ascii="Arial" w:hAnsi="Arial" w:cs="Arial"/>
        </w:rPr>
        <w:t>12</w:t>
      </w:r>
      <w:r>
        <w:rPr>
          <w:rFonts w:ascii="Arial" w:hAnsi="Arial" w:cs="Arial"/>
        </w:rPr>
        <w:t>,</w:t>
      </w:r>
      <w:r w:rsidR="00C70433">
        <w:rPr>
          <w:rFonts w:ascii="Arial" w:hAnsi="Arial" w:cs="Arial"/>
        </w:rPr>
        <w:t>000</w:t>
      </w:r>
      <w:r>
        <w:rPr>
          <w:rFonts w:ascii="Arial" w:hAnsi="Arial" w:cs="Arial"/>
        </w:rPr>
        <w:t xml:space="preserve"> in 2019 to under 4,000 in 2030. </w:t>
      </w:r>
    </w:p>
    <w:p w14:paraId="7497119E" w14:textId="77777777" w:rsidR="00534FF7" w:rsidRPr="00534FF7" w:rsidRDefault="00534FF7" w:rsidP="00534FF7">
      <w:pPr>
        <w:spacing w:after="0"/>
        <w:rPr>
          <w:rFonts w:ascii="Arial" w:hAnsi="Arial" w:cs="Arial"/>
          <w:b/>
        </w:rPr>
      </w:pPr>
    </w:p>
    <w:p w14:paraId="513FE874" w14:textId="72A24038" w:rsidR="00CE35FC" w:rsidRPr="00534FF7" w:rsidRDefault="009409CD" w:rsidP="008544A5">
      <w:pPr>
        <w:rPr>
          <w:rFonts w:ascii="Arial" w:hAnsi="Arial" w:cs="Arial"/>
        </w:rPr>
      </w:pPr>
      <w:r w:rsidRPr="00534FF7">
        <w:rPr>
          <w:rFonts w:ascii="Arial" w:hAnsi="Arial" w:cs="Arial"/>
          <w:b/>
        </w:rPr>
        <w:t xml:space="preserve">AIDS-related mortality. </w:t>
      </w:r>
      <w:r w:rsidR="001255DF" w:rsidRPr="00534FF7">
        <w:rPr>
          <w:rFonts w:ascii="Arial" w:hAnsi="Arial" w:cs="Arial"/>
        </w:rPr>
        <w:t xml:space="preserve">The National Strategy would also </w:t>
      </w:r>
      <w:r w:rsidR="002B2A5B" w:rsidRPr="00534FF7">
        <w:rPr>
          <w:rFonts w:ascii="Arial" w:hAnsi="Arial" w:cs="Arial"/>
        </w:rPr>
        <w:t xml:space="preserve">alter the course of AIDS-related deaths. While </w:t>
      </w:r>
      <w:r w:rsidR="00C408C6">
        <w:rPr>
          <w:rFonts w:ascii="Arial" w:hAnsi="Arial" w:cs="Arial"/>
        </w:rPr>
        <w:t>AIDS-related</w:t>
      </w:r>
      <w:r w:rsidR="00451347" w:rsidRPr="00534FF7">
        <w:rPr>
          <w:rFonts w:ascii="Arial" w:hAnsi="Arial" w:cs="Arial"/>
        </w:rPr>
        <w:t xml:space="preserve"> </w:t>
      </w:r>
      <w:r w:rsidR="002B2A5B" w:rsidRPr="00534FF7">
        <w:rPr>
          <w:rFonts w:ascii="Arial" w:hAnsi="Arial" w:cs="Arial"/>
        </w:rPr>
        <w:t xml:space="preserve">deaths would increase under </w:t>
      </w:r>
      <w:r w:rsidR="00C408C6">
        <w:rPr>
          <w:rFonts w:ascii="Arial" w:hAnsi="Arial" w:cs="Arial"/>
        </w:rPr>
        <w:t>Constant Coverage</w:t>
      </w:r>
      <w:r w:rsidR="002B2A5B" w:rsidRPr="00534FF7">
        <w:rPr>
          <w:rFonts w:ascii="Arial" w:hAnsi="Arial" w:cs="Arial"/>
        </w:rPr>
        <w:t xml:space="preserve">, annual AIDS-related deaths would fall 56% from 2019 to 2030 under the </w:t>
      </w:r>
      <w:r w:rsidR="00881CB8" w:rsidRPr="00534FF7">
        <w:rPr>
          <w:rFonts w:ascii="Arial" w:hAnsi="Arial" w:cs="Arial"/>
        </w:rPr>
        <w:t>NS</w:t>
      </w:r>
      <w:r w:rsidR="002B2A5B" w:rsidRPr="00534FF7">
        <w:rPr>
          <w:rFonts w:ascii="Arial" w:hAnsi="Arial" w:cs="Arial"/>
        </w:rPr>
        <w:t xml:space="preserve">.  The NS still would not reach the Fast Track target </w:t>
      </w:r>
      <w:r w:rsidR="00422204">
        <w:rPr>
          <w:rFonts w:ascii="Arial" w:hAnsi="Arial" w:cs="Arial"/>
        </w:rPr>
        <w:t>of</w:t>
      </w:r>
      <w:r w:rsidR="002B2A5B" w:rsidRPr="00534FF7">
        <w:rPr>
          <w:rFonts w:ascii="Arial" w:hAnsi="Arial" w:cs="Arial"/>
        </w:rPr>
        <w:t xml:space="preserve"> a 90% reduction in mortality from 2010</w:t>
      </w:r>
      <w:r w:rsidR="00451347" w:rsidRPr="00534FF7">
        <w:rPr>
          <w:rFonts w:ascii="Arial" w:hAnsi="Arial" w:cs="Arial"/>
        </w:rPr>
        <w:t>-</w:t>
      </w:r>
      <w:r w:rsidR="002B2A5B" w:rsidRPr="00534FF7">
        <w:rPr>
          <w:rFonts w:ascii="Arial" w:hAnsi="Arial" w:cs="Arial"/>
        </w:rPr>
        <w:t>2030, but would get much closer at</w:t>
      </w:r>
      <w:r w:rsidR="00422204">
        <w:rPr>
          <w:rFonts w:ascii="Arial" w:hAnsi="Arial" w:cs="Arial"/>
        </w:rPr>
        <w:t xml:space="preserve"> a reduction of</w:t>
      </w:r>
      <w:r w:rsidR="002B2A5B" w:rsidRPr="00534FF7">
        <w:rPr>
          <w:rFonts w:ascii="Arial" w:hAnsi="Arial" w:cs="Arial"/>
        </w:rPr>
        <w:t xml:space="preserve"> 83% </w:t>
      </w:r>
      <w:r w:rsidR="00C70433" w:rsidRPr="00534FF7">
        <w:rPr>
          <w:rFonts w:ascii="Arial" w:hAnsi="Arial" w:cs="Arial"/>
        </w:rPr>
        <w:t>by 2030</w:t>
      </w:r>
      <w:r w:rsidR="002B2A5B" w:rsidRPr="00534FF7">
        <w:rPr>
          <w:rFonts w:ascii="Arial" w:hAnsi="Arial" w:cs="Arial"/>
        </w:rPr>
        <w:t>.</w:t>
      </w:r>
      <w:r w:rsidR="00C70433" w:rsidRPr="00534FF7">
        <w:rPr>
          <w:rFonts w:ascii="Arial" w:hAnsi="Arial" w:cs="Arial"/>
        </w:rPr>
        <w:t xml:space="preserve"> </w:t>
      </w:r>
    </w:p>
    <w:p w14:paraId="0BF3E0ED" w14:textId="113D90E9" w:rsidR="000F5E56" w:rsidRPr="00444084" w:rsidRDefault="00C00118" w:rsidP="00A922AF">
      <w:pPr>
        <w:rPr>
          <w:rFonts w:ascii="Arial" w:hAnsi="Arial" w:cs="Arial"/>
          <w:i/>
          <w:sz w:val="18"/>
        </w:rPr>
      </w:pPr>
      <w:r w:rsidRPr="00F827F6">
        <w:rPr>
          <w:rFonts w:ascii="Arial" w:hAnsi="Arial" w:cs="Arial"/>
          <w:b/>
          <w:noProof/>
        </w:rPr>
        <w:drawing>
          <wp:anchor distT="0" distB="0" distL="114300" distR="114300" simplePos="0" relativeHeight="251770880" behindDoc="0" locked="0" layoutInCell="1" allowOverlap="1" wp14:anchorId="33EDA597" wp14:editId="4E0B9290">
            <wp:simplePos x="0" y="0"/>
            <wp:positionH relativeFrom="column">
              <wp:posOffset>477751</wp:posOffset>
            </wp:positionH>
            <wp:positionV relativeFrom="paragraph">
              <wp:posOffset>180513</wp:posOffset>
            </wp:positionV>
            <wp:extent cx="4579620" cy="2369820"/>
            <wp:effectExtent l="0" t="0" r="11430" b="11430"/>
            <wp:wrapTopAndBottom/>
            <wp:docPr id="2" name="Chart 2">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CE35FC" w:rsidRPr="008544A5">
        <w:rPr>
          <w:rFonts w:ascii="Arial" w:hAnsi="Arial" w:cs="Arial"/>
          <w:i/>
          <w:sz w:val="18"/>
        </w:rPr>
        <w:t xml:space="preserve">Figure </w:t>
      </w:r>
      <w:r w:rsidR="00CE35FC">
        <w:rPr>
          <w:rFonts w:ascii="Arial" w:hAnsi="Arial" w:cs="Arial"/>
          <w:i/>
          <w:sz w:val="18"/>
        </w:rPr>
        <w:t>4-</w:t>
      </w:r>
      <w:r w:rsidR="009E25B2">
        <w:rPr>
          <w:rFonts w:ascii="Arial" w:hAnsi="Arial" w:cs="Arial"/>
          <w:i/>
          <w:sz w:val="18"/>
        </w:rPr>
        <w:t>9</w:t>
      </w:r>
      <w:r w:rsidR="00CE35FC" w:rsidRPr="008544A5">
        <w:rPr>
          <w:rFonts w:ascii="Arial" w:hAnsi="Arial" w:cs="Arial"/>
          <w:i/>
          <w:sz w:val="18"/>
        </w:rPr>
        <w:t>. AIDS-related deaths 2019-2030</w:t>
      </w:r>
    </w:p>
    <w:p w14:paraId="124250BD" w14:textId="77777777" w:rsidR="00D36B04" w:rsidRDefault="00D36B04" w:rsidP="00534FF7">
      <w:pPr>
        <w:spacing w:after="0"/>
        <w:rPr>
          <w:rFonts w:ascii="Arial" w:hAnsi="Arial" w:cs="Arial"/>
          <w:b/>
        </w:rPr>
      </w:pPr>
    </w:p>
    <w:p w14:paraId="6A6894EE" w14:textId="7FA3C740" w:rsidR="003E1382" w:rsidRPr="00714721" w:rsidRDefault="00D36B04" w:rsidP="00714721">
      <w:pPr>
        <w:spacing w:after="0"/>
        <w:rPr>
          <w:rFonts w:ascii="Arial" w:hAnsi="Arial" w:cs="Arial"/>
          <w:bCs/>
        </w:rPr>
      </w:pPr>
      <w:r>
        <w:rPr>
          <w:rFonts w:ascii="Arial" w:hAnsi="Arial" w:cs="Arial"/>
          <w:b/>
        </w:rPr>
        <w:t xml:space="preserve">Life expectancy. </w:t>
      </w:r>
      <w:r>
        <w:rPr>
          <w:rFonts w:ascii="Arial" w:hAnsi="Arial" w:cs="Arial"/>
          <w:bCs/>
        </w:rPr>
        <w:t xml:space="preserve">The National Strategy’s impact on AIDS-mortality would lead to </w:t>
      </w:r>
      <w:r w:rsidR="00F86844">
        <w:rPr>
          <w:rFonts w:ascii="Arial" w:hAnsi="Arial" w:cs="Arial"/>
          <w:bCs/>
        </w:rPr>
        <w:t xml:space="preserve">on </w:t>
      </w:r>
      <w:r>
        <w:rPr>
          <w:rFonts w:ascii="Arial" w:hAnsi="Arial" w:cs="Arial"/>
          <w:bCs/>
        </w:rPr>
        <w:t>a</w:t>
      </w:r>
      <w:r w:rsidR="00F86844">
        <w:rPr>
          <w:rFonts w:ascii="Arial" w:hAnsi="Arial" w:cs="Arial"/>
          <w:bCs/>
        </w:rPr>
        <w:t xml:space="preserve">verage one additional year of life for Tanzanians by </w:t>
      </w:r>
      <w:r>
        <w:rPr>
          <w:rFonts w:ascii="Arial" w:hAnsi="Arial" w:cs="Arial"/>
          <w:bCs/>
        </w:rPr>
        <w:t xml:space="preserve">2025 and 2030, compared to </w:t>
      </w:r>
      <w:r w:rsidR="00EC31E6">
        <w:rPr>
          <w:rFonts w:ascii="Arial" w:hAnsi="Arial" w:cs="Arial"/>
          <w:bCs/>
        </w:rPr>
        <w:t>CC</w:t>
      </w:r>
      <w:r>
        <w:rPr>
          <w:rFonts w:ascii="Arial" w:hAnsi="Arial" w:cs="Arial"/>
          <w:bCs/>
        </w:rPr>
        <w:t xml:space="preserve">. In 2025 under the NS, the average life expectancy would be 68.52 years (67.7 years under </w:t>
      </w:r>
      <w:r w:rsidR="00EC31E6">
        <w:rPr>
          <w:rFonts w:ascii="Arial" w:hAnsi="Arial" w:cs="Arial"/>
          <w:bCs/>
        </w:rPr>
        <w:t>CC</w:t>
      </w:r>
      <w:r>
        <w:rPr>
          <w:rFonts w:ascii="Arial" w:hAnsi="Arial" w:cs="Arial"/>
          <w:bCs/>
        </w:rPr>
        <w:t xml:space="preserve">) and 69.82 years in 2030 (68.88 years under </w:t>
      </w:r>
      <w:r w:rsidR="00EC31E6">
        <w:rPr>
          <w:rFonts w:ascii="Arial" w:hAnsi="Arial" w:cs="Arial"/>
          <w:bCs/>
        </w:rPr>
        <w:t>CC</w:t>
      </w:r>
      <w:r>
        <w:rPr>
          <w:rFonts w:ascii="Arial" w:hAnsi="Arial" w:cs="Arial"/>
          <w:bCs/>
        </w:rPr>
        <w:t xml:space="preserve">). This increase in life expectancy demonstrates the broad benefits that investing in HIV can have on the well-being and productivity of a society. </w:t>
      </w:r>
    </w:p>
    <w:p w14:paraId="61FD469A" w14:textId="77777777" w:rsidR="003E1382" w:rsidRDefault="003E1382" w:rsidP="00714721">
      <w:pPr>
        <w:pStyle w:val="Heading3"/>
        <w:spacing w:before="0"/>
        <w:rPr>
          <w:rFonts w:ascii="Arial" w:hAnsi="Arial" w:cs="Arial"/>
          <w:i/>
          <w:color w:val="000000" w:themeColor="text1"/>
        </w:rPr>
      </w:pPr>
    </w:p>
    <w:p w14:paraId="6486C66B" w14:textId="49266BAA" w:rsidR="00881CB8" w:rsidRDefault="00881CB8" w:rsidP="00142CB4">
      <w:pPr>
        <w:pStyle w:val="Heading3"/>
        <w:rPr>
          <w:rFonts w:ascii="Arial" w:hAnsi="Arial" w:cs="Arial"/>
          <w:i/>
          <w:color w:val="000000" w:themeColor="text1"/>
        </w:rPr>
      </w:pPr>
      <w:bookmarkStart w:id="78" w:name="_Toc57035173"/>
      <w:r w:rsidRPr="00881CB8">
        <w:rPr>
          <w:rFonts w:ascii="Arial" w:hAnsi="Arial" w:cs="Arial"/>
          <w:i/>
          <w:color w:val="000000" w:themeColor="text1"/>
        </w:rPr>
        <w:t>Costs</w:t>
      </w:r>
      <w:r>
        <w:rPr>
          <w:rFonts w:ascii="Arial" w:hAnsi="Arial" w:cs="Arial"/>
          <w:i/>
          <w:color w:val="000000" w:themeColor="text1"/>
        </w:rPr>
        <w:t xml:space="preserve"> of National Strategy</w:t>
      </w:r>
      <w:r w:rsidR="00C70433">
        <w:rPr>
          <w:rFonts w:ascii="Arial" w:hAnsi="Arial" w:cs="Arial"/>
          <w:i/>
          <w:color w:val="000000" w:themeColor="text1"/>
        </w:rPr>
        <w:t xml:space="preserve"> Scenario</w:t>
      </w:r>
      <w:bookmarkEnd w:id="78"/>
    </w:p>
    <w:p w14:paraId="692A2418" w14:textId="77777777" w:rsidR="00142CB4" w:rsidRPr="00142CB4" w:rsidRDefault="00142CB4" w:rsidP="00534FF7">
      <w:pPr>
        <w:spacing w:after="0"/>
      </w:pPr>
    </w:p>
    <w:p w14:paraId="6A36B97D" w14:textId="312B97CC" w:rsidR="00881CB8" w:rsidRDefault="00881CB8" w:rsidP="00881CB8">
      <w:pPr>
        <w:rPr>
          <w:rFonts w:ascii="Arial" w:hAnsi="Arial" w:cs="Arial"/>
        </w:rPr>
      </w:pPr>
      <w:r w:rsidRPr="00881CB8">
        <w:rPr>
          <w:rFonts w:ascii="Arial" w:hAnsi="Arial" w:cs="Arial"/>
        </w:rPr>
        <w:t>The</w:t>
      </w:r>
      <w:r>
        <w:rPr>
          <w:rFonts w:ascii="Arial" w:hAnsi="Arial" w:cs="Arial"/>
        </w:rPr>
        <w:t xml:space="preserve"> impacts of the National Strategy </w:t>
      </w:r>
      <w:r w:rsidR="00451347">
        <w:rPr>
          <w:rFonts w:ascii="Arial" w:hAnsi="Arial" w:cs="Arial"/>
        </w:rPr>
        <w:t xml:space="preserve">are significant but </w:t>
      </w:r>
      <w:r>
        <w:rPr>
          <w:rFonts w:ascii="Arial" w:hAnsi="Arial" w:cs="Arial"/>
        </w:rPr>
        <w:t>come at a high price tag. The cumulative cost of the NS is USD 8.1 billion from 2019 to 2030</w:t>
      </w:r>
      <w:r w:rsidR="00ED5792">
        <w:rPr>
          <w:rFonts w:ascii="Arial" w:hAnsi="Arial" w:cs="Arial"/>
        </w:rPr>
        <w:t xml:space="preserve">, an increase of USD 2.3 B relative to the </w:t>
      </w:r>
      <w:r w:rsidR="00C527FE">
        <w:rPr>
          <w:rFonts w:ascii="Arial" w:hAnsi="Arial" w:cs="Arial"/>
        </w:rPr>
        <w:t>CC</w:t>
      </w:r>
      <w:r w:rsidR="00ED5792">
        <w:rPr>
          <w:rFonts w:ascii="Arial" w:hAnsi="Arial" w:cs="Arial"/>
        </w:rPr>
        <w:t xml:space="preserve"> scenario</w:t>
      </w:r>
      <w:r>
        <w:rPr>
          <w:rFonts w:ascii="Arial" w:hAnsi="Arial" w:cs="Arial"/>
        </w:rPr>
        <w:t>. By 2030, the resource needs of the HIV program would reach USD 839 million</w:t>
      </w:r>
      <w:r w:rsidR="00ED5792">
        <w:rPr>
          <w:rFonts w:ascii="Arial" w:hAnsi="Arial" w:cs="Arial"/>
        </w:rPr>
        <w:t xml:space="preserve">, as compared to USD 500 M in the </w:t>
      </w:r>
      <w:r w:rsidR="00C527FE">
        <w:rPr>
          <w:rFonts w:ascii="Arial" w:hAnsi="Arial" w:cs="Arial"/>
        </w:rPr>
        <w:t>CC</w:t>
      </w:r>
      <w:r w:rsidR="00ED5792">
        <w:rPr>
          <w:rFonts w:ascii="Arial" w:hAnsi="Arial" w:cs="Arial"/>
        </w:rPr>
        <w:t xml:space="preserve"> scenario (</w:t>
      </w:r>
      <w:r w:rsidR="00ED5792" w:rsidRPr="00444084">
        <w:rPr>
          <w:rFonts w:ascii="Arial" w:hAnsi="Arial" w:cs="Arial"/>
          <w:i/>
        </w:rPr>
        <w:t>Figure 4-</w:t>
      </w:r>
      <w:r w:rsidR="009E25B2">
        <w:rPr>
          <w:rFonts w:ascii="Arial" w:hAnsi="Arial" w:cs="Arial"/>
          <w:i/>
        </w:rPr>
        <w:t>10</w:t>
      </w:r>
      <w:r w:rsidR="00ED5792">
        <w:rPr>
          <w:rFonts w:ascii="Arial" w:hAnsi="Arial" w:cs="Arial"/>
        </w:rPr>
        <w:t>)</w:t>
      </w:r>
      <w:r w:rsidR="00B61AA0">
        <w:rPr>
          <w:rFonts w:ascii="Arial" w:hAnsi="Arial" w:cs="Arial"/>
        </w:rPr>
        <w:t>.</w:t>
      </w:r>
    </w:p>
    <w:p w14:paraId="1E7DBF4F" w14:textId="767D95E3" w:rsidR="00881CB8" w:rsidRDefault="00ED5792" w:rsidP="00881CB8">
      <w:pPr>
        <w:rPr>
          <w:rFonts w:ascii="Arial" w:hAnsi="Arial" w:cs="Arial"/>
        </w:rPr>
      </w:pPr>
      <w:r w:rsidRPr="00E41D5E">
        <w:rPr>
          <w:noProof/>
        </w:rPr>
        <w:drawing>
          <wp:anchor distT="0" distB="0" distL="114300" distR="114300" simplePos="0" relativeHeight="251673600" behindDoc="0" locked="0" layoutInCell="1" allowOverlap="1" wp14:anchorId="1C2EE68A" wp14:editId="13EA5CDE">
            <wp:simplePos x="0" y="0"/>
            <wp:positionH relativeFrom="column">
              <wp:posOffset>0</wp:posOffset>
            </wp:positionH>
            <wp:positionV relativeFrom="paragraph">
              <wp:posOffset>253365</wp:posOffset>
            </wp:positionV>
            <wp:extent cx="4732020" cy="2316480"/>
            <wp:effectExtent l="0" t="0" r="11430" b="7620"/>
            <wp:wrapTopAndBottom/>
            <wp:docPr id="76" name="Chart 76">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CE35FC" w:rsidRPr="008544A5">
        <w:rPr>
          <w:rFonts w:ascii="Arial" w:hAnsi="Arial" w:cs="Arial"/>
          <w:i/>
          <w:sz w:val="18"/>
        </w:rPr>
        <w:t xml:space="preserve">Figure </w:t>
      </w:r>
      <w:r w:rsidR="00CE35FC">
        <w:rPr>
          <w:rFonts w:ascii="Arial" w:hAnsi="Arial" w:cs="Arial"/>
          <w:i/>
          <w:sz w:val="18"/>
        </w:rPr>
        <w:t>4-</w:t>
      </w:r>
      <w:r w:rsidR="009E25B2">
        <w:rPr>
          <w:rFonts w:ascii="Arial" w:hAnsi="Arial" w:cs="Arial"/>
          <w:i/>
          <w:sz w:val="18"/>
        </w:rPr>
        <w:t>10</w:t>
      </w:r>
      <w:r w:rsidR="00CE35FC" w:rsidRPr="008544A5">
        <w:rPr>
          <w:rFonts w:ascii="Arial" w:hAnsi="Arial" w:cs="Arial"/>
          <w:i/>
          <w:sz w:val="18"/>
        </w:rPr>
        <w:t xml:space="preserve">. Resource needs for National Strategy vs </w:t>
      </w:r>
      <w:r w:rsidR="00C408C6">
        <w:rPr>
          <w:rFonts w:ascii="Arial" w:hAnsi="Arial" w:cs="Arial"/>
          <w:i/>
          <w:sz w:val="18"/>
        </w:rPr>
        <w:t>Constant Coverage</w:t>
      </w:r>
      <w:r w:rsidR="00C86D0D">
        <w:rPr>
          <w:rFonts w:ascii="Arial" w:hAnsi="Arial" w:cs="Arial"/>
          <w:i/>
          <w:sz w:val="18"/>
        </w:rPr>
        <w:t xml:space="preserve"> </w:t>
      </w:r>
      <w:r w:rsidR="00CE35FC" w:rsidRPr="008544A5">
        <w:rPr>
          <w:rFonts w:ascii="Arial" w:hAnsi="Arial" w:cs="Arial"/>
          <w:i/>
          <w:sz w:val="18"/>
        </w:rPr>
        <w:t>2019-2030</w:t>
      </w:r>
    </w:p>
    <w:p w14:paraId="43B0330A" w14:textId="77777777" w:rsidR="00BD2E89" w:rsidRDefault="00BD2E89" w:rsidP="00303177">
      <w:pPr>
        <w:rPr>
          <w:rFonts w:ascii="Arial" w:hAnsi="Arial" w:cs="Arial"/>
          <w:i/>
          <w:sz w:val="18"/>
        </w:rPr>
      </w:pPr>
    </w:p>
    <w:p w14:paraId="21566E73" w14:textId="40F48780" w:rsidR="002A7482" w:rsidRPr="00303177" w:rsidRDefault="00303177" w:rsidP="00303177">
      <w:pPr>
        <w:rPr>
          <w:rFonts w:ascii="Arial" w:hAnsi="Arial" w:cs="Arial"/>
          <w:i/>
          <w:sz w:val="18"/>
        </w:rPr>
      </w:pPr>
      <w:r w:rsidRPr="0028213B">
        <w:rPr>
          <w:rFonts w:ascii="Arial" w:hAnsi="Arial" w:cs="Arial"/>
          <w:i/>
          <w:sz w:val="18"/>
        </w:rPr>
        <w:t xml:space="preserve">Figure </w:t>
      </w:r>
      <w:r w:rsidR="00B61AA0">
        <w:rPr>
          <w:rFonts w:ascii="Arial" w:hAnsi="Arial" w:cs="Arial"/>
          <w:i/>
          <w:sz w:val="18"/>
        </w:rPr>
        <w:t>4-1</w:t>
      </w:r>
      <w:r w:rsidR="009E25B2">
        <w:rPr>
          <w:rFonts w:ascii="Arial" w:hAnsi="Arial" w:cs="Arial"/>
          <w:i/>
          <w:sz w:val="18"/>
        </w:rPr>
        <w:t>1</w:t>
      </w:r>
      <w:r w:rsidRPr="0028213B">
        <w:rPr>
          <w:rFonts w:ascii="Arial" w:hAnsi="Arial" w:cs="Arial"/>
          <w:i/>
          <w:sz w:val="18"/>
        </w:rPr>
        <w:t xml:space="preserve">. </w:t>
      </w:r>
      <w:r w:rsidRPr="00303177">
        <w:rPr>
          <w:rFonts w:ascii="Arial" w:hAnsi="Arial" w:cs="Arial"/>
          <w:i/>
          <w:sz w:val="18"/>
        </w:rPr>
        <w:t xml:space="preserve">Cumulative and 2030 resource needs of </w:t>
      </w:r>
      <w:r w:rsidR="00F57EFE">
        <w:rPr>
          <w:rFonts w:ascii="Arial" w:hAnsi="Arial" w:cs="Arial"/>
          <w:i/>
          <w:sz w:val="18"/>
        </w:rPr>
        <w:t>CC</w:t>
      </w:r>
      <w:r w:rsidRPr="00303177">
        <w:rPr>
          <w:rFonts w:ascii="Arial" w:hAnsi="Arial" w:cs="Arial"/>
          <w:i/>
          <w:sz w:val="18"/>
        </w:rPr>
        <w:t xml:space="preserve"> and NS</w:t>
      </w:r>
    </w:p>
    <w:tbl>
      <w:tblPr>
        <w:tblStyle w:val="TableGrid"/>
        <w:tblW w:w="0" w:type="auto"/>
        <w:tblLook w:val="04A0" w:firstRow="1" w:lastRow="0" w:firstColumn="1" w:lastColumn="0" w:noHBand="0" w:noVBand="1"/>
      </w:tblPr>
      <w:tblGrid>
        <w:gridCol w:w="4585"/>
        <w:gridCol w:w="2160"/>
        <w:gridCol w:w="1817"/>
      </w:tblGrid>
      <w:tr w:rsidR="002A7482" w:rsidRPr="00303177" w14:paraId="6124F08F" w14:textId="77777777" w:rsidTr="00303177">
        <w:trPr>
          <w:trHeight w:val="205"/>
        </w:trPr>
        <w:tc>
          <w:tcPr>
            <w:tcW w:w="4585" w:type="dxa"/>
            <w:shd w:val="clear" w:color="auto" w:fill="C00000"/>
            <w:vAlign w:val="center"/>
          </w:tcPr>
          <w:p w14:paraId="78AB2383" w14:textId="77777777" w:rsidR="002A7482" w:rsidRPr="00303177" w:rsidRDefault="002A7482" w:rsidP="00303177">
            <w:pPr>
              <w:rPr>
                <w:rFonts w:ascii="Arial" w:hAnsi="Arial" w:cs="Arial"/>
                <w:b/>
                <w:i/>
                <w:sz w:val="18"/>
              </w:rPr>
            </w:pPr>
          </w:p>
        </w:tc>
        <w:tc>
          <w:tcPr>
            <w:tcW w:w="2160" w:type="dxa"/>
            <w:shd w:val="clear" w:color="auto" w:fill="C00000"/>
            <w:vAlign w:val="center"/>
          </w:tcPr>
          <w:p w14:paraId="587E4A1B" w14:textId="5C866A78" w:rsidR="002A7482" w:rsidRPr="00444084" w:rsidRDefault="002A7482" w:rsidP="00303177">
            <w:pPr>
              <w:tabs>
                <w:tab w:val="left" w:pos="696"/>
              </w:tabs>
              <w:rPr>
                <w:rFonts w:ascii="Arial" w:hAnsi="Arial" w:cs="Arial"/>
                <w:b/>
                <w:sz w:val="18"/>
              </w:rPr>
            </w:pPr>
            <w:r w:rsidRPr="00444084">
              <w:rPr>
                <w:rFonts w:ascii="Arial" w:hAnsi="Arial" w:cs="Arial"/>
                <w:b/>
                <w:sz w:val="18"/>
              </w:rPr>
              <w:tab/>
            </w:r>
            <w:r w:rsidR="00F57EFE">
              <w:rPr>
                <w:rFonts w:ascii="Arial" w:hAnsi="Arial" w:cs="Arial"/>
                <w:b/>
                <w:sz w:val="18"/>
              </w:rPr>
              <w:t>CC</w:t>
            </w:r>
          </w:p>
        </w:tc>
        <w:tc>
          <w:tcPr>
            <w:tcW w:w="1817" w:type="dxa"/>
            <w:shd w:val="clear" w:color="auto" w:fill="C00000"/>
            <w:vAlign w:val="center"/>
          </w:tcPr>
          <w:p w14:paraId="7FEDCED6" w14:textId="2CDFB1D2" w:rsidR="002A7482" w:rsidRPr="00444084" w:rsidRDefault="00303177" w:rsidP="00303177">
            <w:pPr>
              <w:rPr>
                <w:rFonts w:ascii="Arial" w:hAnsi="Arial" w:cs="Arial"/>
                <w:b/>
                <w:sz w:val="18"/>
              </w:rPr>
            </w:pPr>
            <w:r w:rsidRPr="00444084">
              <w:rPr>
                <w:rFonts w:ascii="Arial" w:hAnsi="Arial" w:cs="Arial"/>
                <w:b/>
                <w:sz w:val="18"/>
              </w:rPr>
              <w:t>NS</w:t>
            </w:r>
          </w:p>
        </w:tc>
      </w:tr>
      <w:tr w:rsidR="00303177" w:rsidRPr="00303177" w14:paraId="70E1691B" w14:textId="77777777" w:rsidTr="00303177">
        <w:trPr>
          <w:trHeight w:val="205"/>
        </w:trPr>
        <w:tc>
          <w:tcPr>
            <w:tcW w:w="4585" w:type="dxa"/>
            <w:vAlign w:val="center"/>
          </w:tcPr>
          <w:p w14:paraId="612D91DD" w14:textId="33502939" w:rsidR="00303177" w:rsidRPr="00303177" w:rsidRDefault="00303177" w:rsidP="00303177">
            <w:pPr>
              <w:rPr>
                <w:rFonts w:ascii="Arial" w:hAnsi="Arial" w:cs="Arial"/>
                <w:sz w:val="18"/>
              </w:rPr>
            </w:pPr>
            <w:r w:rsidRPr="00303177">
              <w:rPr>
                <w:rFonts w:ascii="Arial" w:hAnsi="Arial" w:cs="Arial"/>
                <w:sz w:val="18"/>
              </w:rPr>
              <w:t xml:space="preserve">Cumulative </w:t>
            </w:r>
            <w:r>
              <w:rPr>
                <w:rFonts w:ascii="Arial" w:hAnsi="Arial" w:cs="Arial"/>
                <w:sz w:val="18"/>
              </w:rPr>
              <w:t xml:space="preserve">resource needs </w:t>
            </w:r>
            <w:r w:rsidRPr="00303177">
              <w:rPr>
                <w:rFonts w:ascii="Arial" w:hAnsi="Arial" w:cs="Arial"/>
                <w:sz w:val="18"/>
              </w:rPr>
              <w:t>2019-2030</w:t>
            </w:r>
            <w:r>
              <w:rPr>
                <w:rFonts w:ascii="Arial" w:hAnsi="Arial" w:cs="Arial"/>
                <w:sz w:val="18"/>
              </w:rPr>
              <w:t xml:space="preserve"> (USD M)</w:t>
            </w:r>
          </w:p>
        </w:tc>
        <w:tc>
          <w:tcPr>
            <w:tcW w:w="2160" w:type="dxa"/>
            <w:vAlign w:val="center"/>
          </w:tcPr>
          <w:p w14:paraId="2C41A50D" w14:textId="5483D422" w:rsidR="00303177" w:rsidRPr="00303177" w:rsidRDefault="00303177" w:rsidP="00303177">
            <w:pPr>
              <w:rPr>
                <w:rFonts w:ascii="Arial" w:hAnsi="Arial" w:cs="Arial"/>
                <w:sz w:val="18"/>
              </w:rPr>
            </w:pPr>
            <w:r w:rsidRPr="00303177">
              <w:rPr>
                <w:rFonts w:ascii="Arial" w:hAnsi="Arial" w:cs="Arial"/>
                <w:sz w:val="18"/>
              </w:rPr>
              <w:t>5,783</w:t>
            </w:r>
          </w:p>
        </w:tc>
        <w:tc>
          <w:tcPr>
            <w:tcW w:w="1817" w:type="dxa"/>
            <w:vAlign w:val="center"/>
          </w:tcPr>
          <w:p w14:paraId="6D65AE6C" w14:textId="606E01E1" w:rsidR="00303177" w:rsidRPr="00303177" w:rsidRDefault="00303177" w:rsidP="00303177">
            <w:pPr>
              <w:rPr>
                <w:rFonts w:ascii="Arial" w:hAnsi="Arial" w:cs="Arial"/>
                <w:sz w:val="18"/>
              </w:rPr>
            </w:pPr>
            <w:r w:rsidRPr="00303177">
              <w:rPr>
                <w:rFonts w:ascii="Arial" w:hAnsi="Arial" w:cs="Arial"/>
                <w:sz w:val="18"/>
              </w:rPr>
              <w:t>8,097</w:t>
            </w:r>
          </w:p>
        </w:tc>
      </w:tr>
      <w:tr w:rsidR="00303177" w:rsidRPr="00303177" w14:paraId="1137D21C" w14:textId="77777777" w:rsidTr="00303177">
        <w:trPr>
          <w:trHeight w:val="205"/>
        </w:trPr>
        <w:tc>
          <w:tcPr>
            <w:tcW w:w="4585" w:type="dxa"/>
            <w:vAlign w:val="center"/>
          </w:tcPr>
          <w:p w14:paraId="128A2507" w14:textId="53A6E1E0" w:rsidR="00303177" w:rsidRPr="00303177" w:rsidRDefault="00303177" w:rsidP="00303177">
            <w:pPr>
              <w:rPr>
                <w:rFonts w:ascii="Arial" w:hAnsi="Arial" w:cs="Arial"/>
                <w:sz w:val="18"/>
              </w:rPr>
            </w:pPr>
            <w:r>
              <w:rPr>
                <w:rFonts w:ascii="Arial" w:hAnsi="Arial" w:cs="Arial"/>
                <w:sz w:val="18"/>
              </w:rPr>
              <w:t>Resource needs</w:t>
            </w:r>
            <w:r w:rsidRPr="00303177">
              <w:rPr>
                <w:rFonts w:ascii="Arial" w:hAnsi="Arial" w:cs="Arial"/>
                <w:sz w:val="18"/>
              </w:rPr>
              <w:t xml:space="preserve"> in 2030</w:t>
            </w:r>
            <w:r>
              <w:rPr>
                <w:rFonts w:ascii="Arial" w:hAnsi="Arial" w:cs="Arial"/>
                <w:sz w:val="18"/>
              </w:rPr>
              <w:t xml:space="preserve"> (USD M)</w:t>
            </w:r>
          </w:p>
        </w:tc>
        <w:tc>
          <w:tcPr>
            <w:tcW w:w="2160" w:type="dxa"/>
            <w:vAlign w:val="center"/>
          </w:tcPr>
          <w:p w14:paraId="58BB2687" w14:textId="598D3243" w:rsidR="00303177" w:rsidRPr="00303177" w:rsidRDefault="00303177" w:rsidP="00303177">
            <w:pPr>
              <w:rPr>
                <w:rFonts w:ascii="Arial" w:hAnsi="Arial" w:cs="Arial"/>
                <w:sz w:val="18"/>
              </w:rPr>
            </w:pPr>
            <w:r w:rsidRPr="00303177">
              <w:rPr>
                <w:rFonts w:ascii="Arial" w:hAnsi="Arial" w:cs="Arial"/>
                <w:sz w:val="18"/>
              </w:rPr>
              <w:t>500</w:t>
            </w:r>
          </w:p>
        </w:tc>
        <w:tc>
          <w:tcPr>
            <w:tcW w:w="1817" w:type="dxa"/>
            <w:vAlign w:val="center"/>
          </w:tcPr>
          <w:p w14:paraId="1EC1F099" w14:textId="18CE2123" w:rsidR="00303177" w:rsidRPr="00303177" w:rsidRDefault="00303177" w:rsidP="00303177">
            <w:pPr>
              <w:rPr>
                <w:rFonts w:ascii="Arial" w:hAnsi="Arial" w:cs="Arial"/>
                <w:sz w:val="18"/>
              </w:rPr>
            </w:pPr>
            <w:r w:rsidRPr="00303177">
              <w:rPr>
                <w:rFonts w:ascii="Arial" w:hAnsi="Arial" w:cs="Arial"/>
                <w:sz w:val="18"/>
              </w:rPr>
              <w:t>839</w:t>
            </w:r>
          </w:p>
        </w:tc>
      </w:tr>
    </w:tbl>
    <w:p w14:paraId="74B0BE37" w14:textId="77777777" w:rsidR="002A7482" w:rsidRDefault="002A7482" w:rsidP="002A7482">
      <w:pPr>
        <w:jc w:val="right"/>
        <w:rPr>
          <w:rFonts w:ascii="Arial" w:hAnsi="Arial" w:cs="Arial"/>
        </w:rPr>
      </w:pPr>
    </w:p>
    <w:p w14:paraId="268681CC" w14:textId="6F6D4365" w:rsidR="00451347" w:rsidRPr="00585A95" w:rsidRDefault="00F57EFE" w:rsidP="00881CB8">
      <w:pPr>
        <w:rPr>
          <w:rFonts w:ascii="Arial" w:hAnsi="Arial" w:cs="Arial"/>
        </w:rPr>
      </w:pPr>
      <w:r>
        <w:rPr>
          <w:rFonts w:ascii="Arial" w:hAnsi="Arial" w:cs="Arial"/>
        </w:rPr>
        <w:t xml:space="preserve">Compared to the Constant Coverage scenario, </w:t>
      </w:r>
      <w:r w:rsidR="004920F1">
        <w:rPr>
          <w:rFonts w:ascii="Arial" w:hAnsi="Arial" w:cs="Arial"/>
        </w:rPr>
        <w:t xml:space="preserve">the National Strategy would </w:t>
      </w:r>
      <w:r>
        <w:rPr>
          <w:rFonts w:ascii="Arial" w:hAnsi="Arial" w:cs="Arial"/>
        </w:rPr>
        <w:t>require an</w:t>
      </w:r>
      <w:r w:rsidR="004920F1">
        <w:rPr>
          <w:rFonts w:ascii="Arial" w:hAnsi="Arial" w:cs="Arial"/>
        </w:rPr>
        <w:t xml:space="preserve"> </w:t>
      </w:r>
      <w:r>
        <w:rPr>
          <w:rFonts w:ascii="Arial" w:hAnsi="Arial" w:cs="Arial"/>
        </w:rPr>
        <w:t xml:space="preserve">additional </w:t>
      </w:r>
      <w:r w:rsidR="004920F1">
        <w:rPr>
          <w:rFonts w:ascii="Arial" w:hAnsi="Arial" w:cs="Arial"/>
        </w:rPr>
        <w:t>USD 48 M in 2019</w:t>
      </w:r>
      <w:r>
        <w:rPr>
          <w:rFonts w:ascii="Arial" w:hAnsi="Arial" w:cs="Arial"/>
        </w:rPr>
        <w:t>, and these additional requirements would rise to</w:t>
      </w:r>
      <w:r w:rsidR="004920F1">
        <w:rPr>
          <w:rFonts w:ascii="Arial" w:hAnsi="Arial" w:cs="Arial"/>
        </w:rPr>
        <w:t xml:space="preserve"> USD 339 M in 2030 (</w:t>
      </w:r>
      <w:r w:rsidR="004920F1" w:rsidRPr="00585A95">
        <w:rPr>
          <w:rFonts w:ascii="Arial" w:hAnsi="Arial" w:cs="Arial"/>
          <w:i/>
        </w:rPr>
        <w:t xml:space="preserve">Figure </w:t>
      </w:r>
      <w:r w:rsidR="00585A95" w:rsidRPr="00585A95">
        <w:rPr>
          <w:rFonts w:ascii="Arial" w:hAnsi="Arial" w:cs="Arial"/>
          <w:i/>
        </w:rPr>
        <w:t>4-1</w:t>
      </w:r>
      <w:r w:rsidR="009E25B2">
        <w:rPr>
          <w:rFonts w:ascii="Arial" w:hAnsi="Arial" w:cs="Arial"/>
          <w:i/>
        </w:rPr>
        <w:t>2</w:t>
      </w:r>
      <w:r w:rsidR="004920F1">
        <w:rPr>
          <w:rFonts w:ascii="Arial" w:hAnsi="Arial" w:cs="Arial"/>
        </w:rPr>
        <w:t xml:space="preserve">). </w:t>
      </w:r>
      <w:r w:rsidR="00D14B65">
        <w:rPr>
          <w:rFonts w:ascii="Arial" w:hAnsi="Arial" w:cs="Arial"/>
        </w:rPr>
        <w:t xml:space="preserve">Given the </w:t>
      </w:r>
      <w:r w:rsidR="00451347">
        <w:rPr>
          <w:rFonts w:ascii="Arial" w:hAnsi="Arial" w:cs="Arial"/>
        </w:rPr>
        <w:t xml:space="preserve">current </w:t>
      </w:r>
      <w:r w:rsidR="00D14B65">
        <w:rPr>
          <w:rFonts w:ascii="Arial" w:hAnsi="Arial" w:cs="Arial"/>
        </w:rPr>
        <w:t xml:space="preserve">context where </w:t>
      </w:r>
      <w:r w:rsidR="00A63451">
        <w:rPr>
          <w:rFonts w:ascii="Arial" w:hAnsi="Arial" w:cs="Arial"/>
        </w:rPr>
        <w:t xml:space="preserve">the prospects for </w:t>
      </w:r>
      <w:r w:rsidR="00D14B65">
        <w:rPr>
          <w:rFonts w:ascii="Arial" w:hAnsi="Arial" w:cs="Arial"/>
        </w:rPr>
        <w:t xml:space="preserve">additional funds </w:t>
      </w:r>
      <w:r w:rsidR="00451347">
        <w:rPr>
          <w:rFonts w:ascii="Arial" w:hAnsi="Arial" w:cs="Arial"/>
        </w:rPr>
        <w:t xml:space="preserve">are unfavorable, it seems questionable whether </w:t>
      </w:r>
      <w:r w:rsidR="00D14B65">
        <w:rPr>
          <w:rFonts w:ascii="Arial" w:hAnsi="Arial" w:cs="Arial"/>
        </w:rPr>
        <w:t xml:space="preserve">this gap </w:t>
      </w:r>
      <w:r w:rsidR="00451347">
        <w:rPr>
          <w:rFonts w:ascii="Arial" w:hAnsi="Arial" w:cs="Arial"/>
        </w:rPr>
        <w:t xml:space="preserve">can </w:t>
      </w:r>
      <w:r w:rsidR="00D14B65">
        <w:rPr>
          <w:rFonts w:ascii="Arial" w:hAnsi="Arial" w:cs="Arial"/>
        </w:rPr>
        <w:t>be filled.</w:t>
      </w:r>
    </w:p>
    <w:p w14:paraId="3407F2ED" w14:textId="41F75CF7" w:rsidR="00881CB8" w:rsidRDefault="00CE35FC" w:rsidP="00881CB8">
      <w:r w:rsidRPr="008544A5">
        <w:rPr>
          <w:rFonts w:ascii="Arial" w:hAnsi="Arial" w:cs="Arial"/>
          <w:i/>
          <w:sz w:val="18"/>
        </w:rPr>
        <w:t>Figure 4-1</w:t>
      </w:r>
      <w:r w:rsidR="009E25B2">
        <w:rPr>
          <w:rFonts w:ascii="Arial" w:hAnsi="Arial" w:cs="Arial"/>
          <w:i/>
          <w:sz w:val="18"/>
        </w:rPr>
        <w:t>2</w:t>
      </w:r>
      <w:r w:rsidR="00B61AA0">
        <w:rPr>
          <w:rFonts w:ascii="Arial" w:hAnsi="Arial" w:cs="Arial"/>
          <w:i/>
          <w:sz w:val="18"/>
        </w:rPr>
        <w:t>.</w:t>
      </w:r>
      <w:r w:rsidRPr="008544A5">
        <w:rPr>
          <w:rFonts w:ascii="Arial" w:hAnsi="Arial" w:cs="Arial"/>
          <w:i/>
          <w:sz w:val="18"/>
        </w:rPr>
        <w:t xml:space="preserve"> </w:t>
      </w:r>
      <w:r w:rsidR="00F57EFE">
        <w:rPr>
          <w:rFonts w:ascii="Arial" w:hAnsi="Arial" w:cs="Arial"/>
          <w:i/>
          <w:sz w:val="18"/>
        </w:rPr>
        <w:t>Additional resources required by</w:t>
      </w:r>
      <w:r w:rsidRPr="008544A5">
        <w:rPr>
          <w:rFonts w:ascii="Arial" w:hAnsi="Arial" w:cs="Arial"/>
          <w:i/>
          <w:sz w:val="18"/>
        </w:rPr>
        <w:t xml:space="preserve"> National Strategy</w:t>
      </w:r>
      <w:r w:rsidR="00F57EFE">
        <w:rPr>
          <w:rFonts w:ascii="Arial" w:hAnsi="Arial" w:cs="Arial"/>
          <w:i/>
          <w:sz w:val="18"/>
        </w:rPr>
        <w:t xml:space="preserve"> compared to</w:t>
      </w:r>
      <w:r w:rsidRPr="008544A5">
        <w:rPr>
          <w:rFonts w:ascii="Arial" w:hAnsi="Arial" w:cs="Arial"/>
          <w:i/>
          <w:sz w:val="18"/>
        </w:rPr>
        <w:t xml:space="preserve"> </w:t>
      </w:r>
      <w:r w:rsidR="00F57EFE">
        <w:rPr>
          <w:rFonts w:ascii="Arial" w:hAnsi="Arial" w:cs="Arial"/>
          <w:i/>
          <w:sz w:val="18"/>
        </w:rPr>
        <w:t>Constant Coverage</w:t>
      </w:r>
      <w:r w:rsidRPr="008544A5">
        <w:rPr>
          <w:rFonts w:ascii="Arial" w:hAnsi="Arial" w:cs="Arial"/>
          <w:i/>
          <w:sz w:val="18"/>
        </w:rPr>
        <w:t xml:space="preserve"> 2019-2030</w:t>
      </w:r>
    </w:p>
    <w:p w14:paraId="1F9F4519" w14:textId="312B7D7B" w:rsidR="002C4085" w:rsidRPr="00D14B65" w:rsidRDefault="00D14B65" w:rsidP="00444084">
      <w:pPr>
        <w:jc w:val="center"/>
        <w:rPr>
          <w:color w:val="000000" w:themeColor="text1"/>
        </w:rPr>
      </w:pPr>
      <w:r>
        <w:rPr>
          <w:noProof/>
        </w:rPr>
        <w:drawing>
          <wp:inline distT="0" distB="0" distL="0" distR="0" wp14:anchorId="5D4220F2" wp14:editId="3859FFCE">
            <wp:extent cx="4709160" cy="2232660"/>
            <wp:effectExtent l="0" t="0" r="15240" b="1524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C4BC6F" w14:textId="6F7EDB89" w:rsidR="003B3CCE" w:rsidRDefault="003B3CCE" w:rsidP="00D14B65">
      <w:pPr>
        <w:pStyle w:val="Heading3"/>
        <w:rPr>
          <w:rFonts w:ascii="Arial" w:hAnsi="Arial" w:cs="Arial"/>
          <w:i/>
          <w:color w:val="000000" w:themeColor="text1"/>
        </w:rPr>
      </w:pPr>
      <w:bookmarkStart w:id="79" w:name="_Toc57035174"/>
      <w:r>
        <w:rPr>
          <w:rFonts w:ascii="Arial" w:hAnsi="Arial" w:cs="Arial"/>
          <w:i/>
          <w:color w:val="000000" w:themeColor="text1"/>
        </w:rPr>
        <w:t>Cost</w:t>
      </w:r>
      <w:r w:rsidR="001C64C0">
        <w:rPr>
          <w:rFonts w:ascii="Arial" w:hAnsi="Arial" w:cs="Arial"/>
          <w:i/>
          <w:color w:val="000000" w:themeColor="text1"/>
        </w:rPr>
        <w:t>-effectiveness</w:t>
      </w:r>
      <w:r>
        <w:rPr>
          <w:rFonts w:ascii="Arial" w:hAnsi="Arial" w:cs="Arial"/>
          <w:i/>
          <w:color w:val="000000" w:themeColor="text1"/>
        </w:rPr>
        <w:t xml:space="preserve"> of National Strategy</w:t>
      </w:r>
      <w:bookmarkEnd w:id="79"/>
    </w:p>
    <w:p w14:paraId="502875DC" w14:textId="170385C8" w:rsidR="003730D5" w:rsidRDefault="003730D5" w:rsidP="00585A95">
      <w:pPr>
        <w:spacing w:after="0"/>
      </w:pPr>
    </w:p>
    <w:p w14:paraId="69757007" w14:textId="0C8B8F59" w:rsidR="003730D5" w:rsidRDefault="003730D5" w:rsidP="00585A95">
      <w:pPr>
        <w:spacing w:after="0"/>
        <w:rPr>
          <w:rFonts w:ascii="Arial" w:hAnsi="Arial" w:cs="Arial"/>
        </w:rPr>
      </w:pPr>
      <w:r>
        <w:rPr>
          <w:rFonts w:ascii="Arial" w:hAnsi="Arial" w:cs="Arial"/>
        </w:rPr>
        <w:t xml:space="preserve">Compared to </w:t>
      </w:r>
      <w:r w:rsidR="00F57EFE">
        <w:rPr>
          <w:rFonts w:ascii="Arial" w:hAnsi="Arial" w:cs="Arial"/>
        </w:rPr>
        <w:t>Constant Coverage</w:t>
      </w:r>
      <w:r>
        <w:rPr>
          <w:rFonts w:ascii="Arial" w:hAnsi="Arial" w:cs="Arial"/>
        </w:rPr>
        <w:t xml:space="preserve">, the National Strategy </w:t>
      </w:r>
      <w:r w:rsidR="001C64C0">
        <w:rPr>
          <w:rFonts w:ascii="Arial" w:hAnsi="Arial" w:cs="Arial"/>
        </w:rPr>
        <w:t>i</w:t>
      </w:r>
      <w:r w:rsidR="00C70433">
        <w:rPr>
          <w:rFonts w:ascii="Arial" w:hAnsi="Arial" w:cs="Arial"/>
        </w:rPr>
        <w:t>s</w:t>
      </w:r>
      <w:r>
        <w:rPr>
          <w:rFonts w:ascii="Arial" w:hAnsi="Arial" w:cs="Arial"/>
        </w:rPr>
        <w:t xml:space="preserve"> associated with an incremental cost-effectiveness ratio (ICER) of USD 9,07</w:t>
      </w:r>
      <w:r w:rsidR="00BC2FC5">
        <w:rPr>
          <w:rFonts w:ascii="Arial" w:hAnsi="Arial" w:cs="Arial"/>
        </w:rPr>
        <w:t>5</w:t>
      </w:r>
      <w:r>
        <w:rPr>
          <w:rFonts w:ascii="Arial" w:hAnsi="Arial" w:cs="Arial"/>
        </w:rPr>
        <w:t xml:space="preserve"> per additional infection averted. </w:t>
      </w:r>
    </w:p>
    <w:p w14:paraId="6853D262" w14:textId="77777777" w:rsidR="00C00118" w:rsidRDefault="00C00118" w:rsidP="003B3CCE">
      <w:pPr>
        <w:rPr>
          <w:rFonts w:ascii="Arial" w:hAnsi="Arial" w:cs="Arial"/>
          <w:i/>
          <w:sz w:val="18"/>
        </w:rPr>
      </w:pPr>
    </w:p>
    <w:p w14:paraId="74C4DFA1" w14:textId="215CEAAF" w:rsidR="003B3CCE" w:rsidRPr="008544A5" w:rsidRDefault="00CE35FC" w:rsidP="003B3CCE">
      <w:pPr>
        <w:rPr>
          <w:rFonts w:ascii="Arial" w:hAnsi="Arial" w:cs="Arial"/>
          <w:i/>
          <w:sz w:val="18"/>
        </w:rPr>
      </w:pPr>
      <w:r w:rsidRPr="008544A5">
        <w:rPr>
          <w:rFonts w:ascii="Arial" w:hAnsi="Arial" w:cs="Arial"/>
          <w:i/>
          <w:sz w:val="18"/>
        </w:rPr>
        <w:t>Figure 4-1</w:t>
      </w:r>
      <w:r w:rsidR="009E25B2">
        <w:rPr>
          <w:rFonts w:ascii="Arial" w:hAnsi="Arial" w:cs="Arial"/>
          <w:i/>
          <w:sz w:val="18"/>
        </w:rPr>
        <w:t>3</w:t>
      </w:r>
      <w:r w:rsidR="00812C85">
        <w:rPr>
          <w:rFonts w:ascii="Arial" w:hAnsi="Arial" w:cs="Arial"/>
          <w:i/>
          <w:sz w:val="18"/>
        </w:rPr>
        <w:t xml:space="preserve">. </w:t>
      </w:r>
      <w:r w:rsidR="003730D5" w:rsidRPr="008544A5">
        <w:rPr>
          <w:rFonts w:ascii="Arial" w:hAnsi="Arial" w:cs="Arial"/>
          <w:i/>
          <w:sz w:val="18"/>
        </w:rPr>
        <w:t>Cost-effectiveness of National Strategy</w:t>
      </w:r>
      <w:r w:rsidR="00C86D0D">
        <w:rPr>
          <w:rFonts w:ascii="Arial" w:hAnsi="Arial" w:cs="Arial"/>
          <w:i/>
          <w:sz w:val="18"/>
        </w:rPr>
        <w:t xml:space="preserve"> vs </w:t>
      </w:r>
      <w:r w:rsidR="00116101">
        <w:rPr>
          <w:rFonts w:ascii="Arial" w:hAnsi="Arial" w:cs="Arial"/>
          <w:i/>
          <w:sz w:val="18"/>
        </w:rPr>
        <w:t>Constant Coverage</w:t>
      </w:r>
      <w:r w:rsidR="00C86D0D">
        <w:rPr>
          <w:rFonts w:ascii="Arial" w:hAnsi="Arial" w:cs="Arial"/>
          <w:i/>
          <w:sz w:val="18"/>
        </w:rPr>
        <w:t xml:space="preserve"> </w:t>
      </w:r>
      <w:r w:rsidR="00534FF7">
        <w:rPr>
          <w:rFonts w:ascii="Arial" w:hAnsi="Arial" w:cs="Arial"/>
          <w:i/>
          <w:sz w:val="18"/>
        </w:rPr>
        <w:t>S</w:t>
      </w:r>
      <w:r w:rsidR="00C86D0D">
        <w:rPr>
          <w:rFonts w:ascii="Arial" w:hAnsi="Arial" w:cs="Arial"/>
          <w:i/>
          <w:sz w:val="18"/>
        </w:rPr>
        <w:t>cenario</w:t>
      </w: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705"/>
        <w:gridCol w:w="1605"/>
        <w:gridCol w:w="1469"/>
        <w:gridCol w:w="1329"/>
        <w:gridCol w:w="2209"/>
      </w:tblGrid>
      <w:tr w:rsidR="003B3CCE" w:rsidRPr="008544A5" w14:paraId="698DC1BD" w14:textId="77777777" w:rsidTr="00444084">
        <w:trPr>
          <w:trHeight w:val="172"/>
        </w:trPr>
        <w:tc>
          <w:tcPr>
            <w:tcW w:w="997" w:type="dxa"/>
            <w:shd w:val="clear" w:color="auto" w:fill="C00000"/>
            <w:noWrap/>
            <w:vAlign w:val="bottom"/>
            <w:hideMark/>
          </w:tcPr>
          <w:p w14:paraId="470F2E4E" w14:textId="77777777" w:rsidR="003B3CCE" w:rsidRPr="004920F1" w:rsidRDefault="003B3CCE" w:rsidP="003B3CCE">
            <w:pPr>
              <w:spacing w:after="0" w:line="240" w:lineRule="auto"/>
              <w:rPr>
                <w:rFonts w:ascii="Arial" w:eastAsia="Times New Roman" w:hAnsi="Arial" w:cs="Arial"/>
                <w:color w:val="FFFFFF" w:themeColor="background1"/>
                <w:sz w:val="18"/>
                <w:szCs w:val="24"/>
              </w:rPr>
            </w:pPr>
          </w:p>
        </w:tc>
        <w:tc>
          <w:tcPr>
            <w:tcW w:w="1705" w:type="dxa"/>
            <w:shd w:val="clear" w:color="auto" w:fill="C00000"/>
            <w:noWrap/>
            <w:vAlign w:val="center"/>
            <w:hideMark/>
          </w:tcPr>
          <w:p w14:paraId="6E8FC014" w14:textId="77777777" w:rsidR="00BC2FC5" w:rsidRDefault="003B3CCE" w:rsidP="00C77447">
            <w:pPr>
              <w:spacing w:after="0" w:line="240" w:lineRule="auto"/>
              <w:jc w:val="center"/>
              <w:rPr>
                <w:rFonts w:ascii="Arial" w:eastAsia="Times New Roman" w:hAnsi="Arial" w:cs="Arial"/>
                <w:b/>
                <w:color w:val="FFFFFF" w:themeColor="background1"/>
                <w:sz w:val="18"/>
                <w:szCs w:val="22"/>
              </w:rPr>
            </w:pPr>
            <w:r w:rsidRPr="004920F1">
              <w:rPr>
                <w:rFonts w:ascii="Arial" w:eastAsia="Times New Roman" w:hAnsi="Arial" w:cs="Arial"/>
                <w:b/>
                <w:color w:val="FFFFFF" w:themeColor="background1"/>
                <w:sz w:val="18"/>
                <w:szCs w:val="22"/>
              </w:rPr>
              <w:t>Total cost</w:t>
            </w:r>
            <w:r w:rsidR="00C77447" w:rsidRPr="004920F1">
              <w:rPr>
                <w:rFonts w:ascii="Arial" w:eastAsia="Times New Roman" w:hAnsi="Arial" w:cs="Arial"/>
                <w:b/>
                <w:color w:val="FFFFFF" w:themeColor="background1"/>
                <w:sz w:val="18"/>
                <w:szCs w:val="22"/>
              </w:rPr>
              <w:t xml:space="preserve"> </w:t>
            </w:r>
          </w:p>
          <w:p w14:paraId="2C7045B9" w14:textId="5E0485D9" w:rsidR="003B3CCE" w:rsidRPr="004920F1" w:rsidRDefault="00C77447" w:rsidP="00C77447">
            <w:pPr>
              <w:spacing w:after="0" w:line="240" w:lineRule="auto"/>
              <w:jc w:val="center"/>
              <w:rPr>
                <w:rFonts w:ascii="Arial" w:eastAsia="Times New Roman" w:hAnsi="Arial" w:cs="Arial"/>
                <w:b/>
                <w:color w:val="FFFFFF" w:themeColor="background1"/>
                <w:sz w:val="18"/>
                <w:szCs w:val="22"/>
              </w:rPr>
            </w:pPr>
            <w:r w:rsidRPr="004920F1">
              <w:rPr>
                <w:rFonts w:ascii="Arial" w:eastAsia="Times New Roman" w:hAnsi="Arial" w:cs="Arial"/>
                <w:b/>
                <w:color w:val="FFFFFF" w:themeColor="background1"/>
                <w:sz w:val="18"/>
                <w:szCs w:val="22"/>
              </w:rPr>
              <w:t>(USD M)</w:t>
            </w:r>
          </w:p>
        </w:tc>
        <w:tc>
          <w:tcPr>
            <w:tcW w:w="1605" w:type="dxa"/>
            <w:shd w:val="clear" w:color="auto" w:fill="C00000"/>
            <w:noWrap/>
            <w:vAlign w:val="center"/>
            <w:hideMark/>
          </w:tcPr>
          <w:p w14:paraId="7CE80D0C" w14:textId="77777777" w:rsidR="003B3CCE" w:rsidRDefault="003B3CCE" w:rsidP="00C77447">
            <w:pPr>
              <w:spacing w:after="0" w:line="240" w:lineRule="auto"/>
              <w:jc w:val="center"/>
              <w:rPr>
                <w:rFonts w:ascii="Arial" w:eastAsia="Times New Roman" w:hAnsi="Arial" w:cs="Arial"/>
                <w:b/>
                <w:color w:val="FFFFFF" w:themeColor="background1"/>
                <w:sz w:val="18"/>
                <w:szCs w:val="22"/>
              </w:rPr>
            </w:pPr>
            <w:r w:rsidRPr="004920F1">
              <w:rPr>
                <w:rFonts w:ascii="Arial" w:eastAsia="Times New Roman" w:hAnsi="Arial" w:cs="Arial"/>
                <w:b/>
                <w:color w:val="FFFFFF" w:themeColor="background1"/>
                <w:sz w:val="18"/>
                <w:szCs w:val="22"/>
              </w:rPr>
              <w:t>Incremental cost</w:t>
            </w:r>
          </w:p>
          <w:p w14:paraId="6A2F8672" w14:textId="6764F831" w:rsidR="00BC2FC5" w:rsidRPr="004920F1" w:rsidRDefault="00BC2FC5" w:rsidP="00C77447">
            <w:pPr>
              <w:spacing w:after="0" w:line="240" w:lineRule="auto"/>
              <w:jc w:val="center"/>
              <w:rPr>
                <w:rFonts w:ascii="Arial" w:eastAsia="Times New Roman" w:hAnsi="Arial" w:cs="Arial"/>
                <w:b/>
                <w:color w:val="FFFFFF" w:themeColor="background1"/>
                <w:sz w:val="18"/>
                <w:szCs w:val="22"/>
              </w:rPr>
            </w:pPr>
            <w:r>
              <w:rPr>
                <w:rFonts w:ascii="Arial" w:eastAsia="Times New Roman" w:hAnsi="Arial" w:cs="Arial"/>
                <w:b/>
                <w:color w:val="FFFFFF" w:themeColor="background1"/>
                <w:sz w:val="18"/>
                <w:szCs w:val="22"/>
              </w:rPr>
              <w:t>(USD M)</w:t>
            </w:r>
          </w:p>
        </w:tc>
        <w:tc>
          <w:tcPr>
            <w:tcW w:w="1469" w:type="dxa"/>
            <w:shd w:val="clear" w:color="auto" w:fill="C00000"/>
            <w:noWrap/>
            <w:vAlign w:val="center"/>
            <w:hideMark/>
          </w:tcPr>
          <w:p w14:paraId="3C45C51E" w14:textId="77777777" w:rsidR="003B3CCE" w:rsidRPr="004920F1" w:rsidRDefault="003B3CCE" w:rsidP="00C77447">
            <w:pPr>
              <w:spacing w:after="0" w:line="240" w:lineRule="auto"/>
              <w:jc w:val="center"/>
              <w:rPr>
                <w:rFonts w:ascii="Arial" w:eastAsia="Times New Roman" w:hAnsi="Arial" w:cs="Arial"/>
                <w:b/>
                <w:color w:val="FFFFFF" w:themeColor="background1"/>
                <w:sz w:val="18"/>
                <w:szCs w:val="22"/>
              </w:rPr>
            </w:pPr>
            <w:r w:rsidRPr="004920F1">
              <w:rPr>
                <w:rFonts w:ascii="Arial" w:eastAsia="Times New Roman" w:hAnsi="Arial" w:cs="Arial"/>
                <w:b/>
                <w:color w:val="FFFFFF" w:themeColor="background1"/>
                <w:sz w:val="18"/>
                <w:szCs w:val="22"/>
              </w:rPr>
              <w:t>Infections 2019-2030</w:t>
            </w:r>
          </w:p>
        </w:tc>
        <w:tc>
          <w:tcPr>
            <w:tcW w:w="1329" w:type="dxa"/>
            <w:shd w:val="clear" w:color="auto" w:fill="C00000"/>
            <w:noWrap/>
            <w:vAlign w:val="center"/>
            <w:hideMark/>
          </w:tcPr>
          <w:p w14:paraId="5BA7D37B" w14:textId="77777777" w:rsidR="003B3CCE" w:rsidRPr="004920F1" w:rsidRDefault="003B3CCE" w:rsidP="00C77447">
            <w:pPr>
              <w:spacing w:after="0" w:line="240" w:lineRule="auto"/>
              <w:jc w:val="center"/>
              <w:rPr>
                <w:rFonts w:ascii="Arial" w:eastAsia="Times New Roman" w:hAnsi="Arial" w:cs="Arial"/>
                <w:b/>
                <w:color w:val="FFFFFF" w:themeColor="background1"/>
                <w:sz w:val="18"/>
                <w:szCs w:val="22"/>
              </w:rPr>
            </w:pPr>
            <w:r w:rsidRPr="004920F1">
              <w:rPr>
                <w:rFonts w:ascii="Arial" w:eastAsia="Times New Roman" w:hAnsi="Arial" w:cs="Arial"/>
                <w:b/>
                <w:color w:val="FFFFFF" w:themeColor="background1"/>
                <w:sz w:val="18"/>
                <w:szCs w:val="22"/>
              </w:rPr>
              <w:t>New infections averted</w:t>
            </w:r>
          </w:p>
        </w:tc>
        <w:tc>
          <w:tcPr>
            <w:tcW w:w="2209" w:type="dxa"/>
            <w:shd w:val="clear" w:color="auto" w:fill="C00000"/>
            <w:noWrap/>
            <w:vAlign w:val="center"/>
            <w:hideMark/>
          </w:tcPr>
          <w:p w14:paraId="48040A1B" w14:textId="77777777" w:rsidR="00BC2FC5" w:rsidRDefault="003B3CCE" w:rsidP="00C77447">
            <w:pPr>
              <w:spacing w:after="0" w:line="240" w:lineRule="auto"/>
              <w:jc w:val="center"/>
              <w:rPr>
                <w:rFonts w:ascii="Arial" w:eastAsia="Times New Roman" w:hAnsi="Arial" w:cs="Arial"/>
                <w:b/>
                <w:color w:val="FFFFFF" w:themeColor="background1"/>
                <w:sz w:val="18"/>
                <w:szCs w:val="22"/>
              </w:rPr>
            </w:pPr>
            <w:r w:rsidRPr="004920F1">
              <w:rPr>
                <w:rFonts w:ascii="Arial" w:eastAsia="Times New Roman" w:hAnsi="Arial" w:cs="Arial"/>
                <w:b/>
                <w:color w:val="FFFFFF" w:themeColor="background1"/>
                <w:sz w:val="18"/>
                <w:szCs w:val="22"/>
              </w:rPr>
              <w:t>ICER</w:t>
            </w:r>
            <w:r w:rsidR="00BC2FC5">
              <w:rPr>
                <w:rFonts w:ascii="Arial" w:eastAsia="Times New Roman" w:hAnsi="Arial" w:cs="Arial"/>
                <w:b/>
                <w:color w:val="FFFFFF" w:themeColor="background1"/>
                <w:sz w:val="18"/>
                <w:szCs w:val="22"/>
              </w:rPr>
              <w:t xml:space="preserve"> </w:t>
            </w:r>
          </w:p>
          <w:p w14:paraId="50690FBE" w14:textId="6EC2F37E" w:rsidR="003B3CCE" w:rsidRPr="004920F1" w:rsidRDefault="00BC2FC5" w:rsidP="00C77447">
            <w:pPr>
              <w:spacing w:after="0" w:line="240" w:lineRule="auto"/>
              <w:jc w:val="center"/>
              <w:rPr>
                <w:rFonts w:ascii="Arial" w:eastAsia="Times New Roman" w:hAnsi="Arial" w:cs="Arial"/>
                <w:b/>
                <w:color w:val="FFFFFF" w:themeColor="background1"/>
                <w:sz w:val="18"/>
                <w:szCs w:val="22"/>
              </w:rPr>
            </w:pPr>
            <w:r>
              <w:rPr>
                <w:rFonts w:ascii="Arial" w:eastAsia="Times New Roman" w:hAnsi="Arial" w:cs="Arial"/>
                <w:b/>
                <w:color w:val="FFFFFF" w:themeColor="background1"/>
                <w:sz w:val="18"/>
                <w:szCs w:val="22"/>
              </w:rPr>
              <w:t>(USD per additional infection averted)</w:t>
            </w:r>
          </w:p>
        </w:tc>
      </w:tr>
      <w:tr w:rsidR="003B3CCE" w:rsidRPr="008544A5" w14:paraId="03042382" w14:textId="77777777" w:rsidTr="00444084">
        <w:trPr>
          <w:trHeight w:val="172"/>
        </w:trPr>
        <w:tc>
          <w:tcPr>
            <w:tcW w:w="997" w:type="dxa"/>
            <w:shd w:val="clear" w:color="auto" w:fill="auto"/>
            <w:noWrap/>
            <w:vAlign w:val="center"/>
            <w:hideMark/>
          </w:tcPr>
          <w:p w14:paraId="7E4E6811" w14:textId="40229371" w:rsidR="003B3CCE" w:rsidRPr="008544A5" w:rsidRDefault="00F57EFE" w:rsidP="00C77447">
            <w:pPr>
              <w:spacing w:after="0" w:line="240" w:lineRule="auto"/>
              <w:rPr>
                <w:rFonts w:ascii="Arial" w:eastAsia="Times New Roman" w:hAnsi="Arial" w:cs="Arial"/>
                <w:b/>
                <w:color w:val="000000"/>
                <w:sz w:val="18"/>
                <w:szCs w:val="22"/>
              </w:rPr>
            </w:pPr>
            <w:r>
              <w:rPr>
                <w:rFonts w:ascii="Arial" w:eastAsia="Times New Roman" w:hAnsi="Arial" w:cs="Arial"/>
                <w:b/>
                <w:color w:val="000000"/>
                <w:sz w:val="18"/>
                <w:szCs w:val="22"/>
              </w:rPr>
              <w:t>CC</w:t>
            </w:r>
          </w:p>
        </w:tc>
        <w:tc>
          <w:tcPr>
            <w:tcW w:w="1705" w:type="dxa"/>
            <w:shd w:val="clear" w:color="auto" w:fill="auto"/>
            <w:noWrap/>
            <w:vAlign w:val="center"/>
            <w:hideMark/>
          </w:tcPr>
          <w:p w14:paraId="20FB5069" w14:textId="1AF0ECE2" w:rsidR="003B3CCE" w:rsidRPr="008544A5" w:rsidRDefault="003B3CCE"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5</w:t>
            </w:r>
            <w:r w:rsidR="00C77447" w:rsidRPr="008544A5">
              <w:rPr>
                <w:rFonts w:ascii="Arial" w:eastAsia="Times New Roman" w:hAnsi="Arial" w:cs="Arial"/>
                <w:color w:val="000000"/>
                <w:sz w:val="18"/>
                <w:szCs w:val="22"/>
              </w:rPr>
              <w:t>,</w:t>
            </w:r>
            <w:r w:rsidRPr="008544A5">
              <w:rPr>
                <w:rFonts w:ascii="Arial" w:eastAsia="Times New Roman" w:hAnsi="Arial" w:cs="Arial"/>
                <w:color w:val="000000"/>
                <w:sz w:val="18"/>
                <w:szCs w:val="22"/>
              </w:rPr>
              <w:t>78</w:t>
            </w:r>
            <w:r w:rsidR="00C77447" w:rsidRPr="008544A5">
              <w:rPr>
                <w:rFonts w:ascii="Arial" w:eastAsia="Times New Roman" w:hAnsi="Arial" w:cs="Arial"/>
                <w:color w:val="000000"/>
                <w:sz w:val="18"/>
                <w:szCs w:val="22"/>
              </w:rPr>
              <w:t>3</w:t>
            </w:r>
          </w:p>
        </w:tc>
        <w:tc>
          <w:tcPr>
            <w:tcW w:w="1605" w:type="dxa"/>
            <w:shd w:val="clear" w:color="auto" w:fill="auto"/>
            <w:noWrap/>
            <w:vAlign w:val="center"/>
            <w:hideMark/>
          </w:tcPr>
          <w:p w14:paraId="644885EA" w14:textId="2F206292" w:rsidR="003B3CCE" w:rsidRPr="008544A5" w:rsidRDefault="00C77447"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w:t>
            </w:r>
          </w:p>
        </w:tc>
        <w:tc>
          <w:tcPr>
            <w:tcW w:w="1469" w:type="dxa"/>
            <w:shd w:val="clear" w:color="auto" w:fill="auto"/>
            <w:noWrap/>
            <w:vAlign w:val="center"/>
            <w:hideMark/>
          </w:tcPr>
          <w:p w14:paraId="4D463D92" w14:textId="273AB0A7" w:rsidR="003B3CCE" w:rsidRPr="008544A5" w:rsidRDefault="003B3CCE"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53</w:t>
            </w:r>
            <w:r w:rsidR="000336EB">
              <w:rPr>
                <w:rFonts w:ascii="Arial" w:eastAsia="Times New Roman" w:hAnsi="Arial" w:cs="Arial"/>
                <w:color w:val="000000"/>
                <w:sz w:val="18"/>
                <w:szCs w:val="22"/>
              </w:rPr>
              <w:t>3,000</w:t>
            </w:r>
          </w:p>
        </w:tc>
        <w:tc>
          <w:tcPr>
            <w:tcW w:w="1329" w:type="dxa"/>
            <w:shd w:val="clear" w:color="auto" w:fill="auto"/>
            <w:noWrap/>
            <w:vAlign w:val="center"/>
            <w:hideMark/>
          </w:tcPr>
          <w:p w14:paraId="1AB4E288" w14:textId="2E6CA8D7" w:rsidR="003B3CCE" w:rsidRPr="008544A5" w:rsidRDefault="00C77447"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w:t>
            </w:r>
          </w:p>
        </w:tc>
        <w:tc>
          <w:tcPr>
            <w:tcW w:w="2209" w:type="dxa"/>
            <w:shd w:val="clear" w:color="auto" w:fill="auto"/>
            <w:noWrap/>
            <w:vAlign w:val="center"/>
            <w:hideMark/>
          </w:tcPr>
          <w:p w14:paraId="286342BD" w14:textId="045E5264" w:rsidR="003B3CCE" w:rsidRPr="008544A5" w:rsidRDefault="003730D5" w:rsidP="00C77447">
            <w:pPr>
              <w:spacing w:after="0" w:line="240" w:lineRule="auto"/>
              <w:jc w:val="center"/>
              <w:rPr>
                <w:rFonts w:ascii="Arial" w:eastAsia="Times New Roman" w:hAnsi="Arial" w:cs="Arial"/>
                <w:sz w:val="18"/>
              </w:rPr>
            </w:pPr>
            <w:r w:rsidRPr="008544A5">
              <w:rPr>
                <w:rFonts w:ascii="Arial" w:eastAsia="Times New Roman" w:hAnsi="Arial" w:cs="Arial"/>
                <w:sz w:val="18"/>
              </w:rPr>
              <w:t>--</w:t>
            </w:r>
          </w:p>
        </w:tc>
      </w:tr>
      <w:tr w:rsidR="003B3CCE" w:rsidRPr="008544A5" w14:paraId="59981743" w14:textId="77777777" w:rsidTr="00444084">
        <w:trPr>
          <w:trHeight w:val="172"/>
        </w:trPr>
        <w:tc>
          <w:tcPr>
            <w:tcW w:w="997" w:type="dxa"/>
            <w:shd w:val="clear" w:color="auto" w:fill="auto"/>
            <w:noWrap/>
            <w:vAlign w:val="center"/>
            <w:hideMark/>
          </w:tcPr>
          <w:p w14:paraId="50D2D358" w14:textId="2C425DB4" w:rsidR="003B3CCE" w:rsidRPr="008544A5" w:rsidRDefault="00E46497" w:rsidP="00C77447">
            <w:pPr>
              <w:spacing w:after="0" w:line="240" w:lineRule="auto"/>
              <w:rPr>
                <w:rFonts w:ascii="Arial" w:eastAsia="Times New Roman" w:hAnsi="Arial" w:cs="Arial"/>
                <w:b/>
                <w:color w:val="000000"/>
                <w:sz w:val="18"/>
                <w:szCs w:val="22"/>
              </w:rPr>
            </w:pPr>
            <w:r>
              <w:rPr>
                <w:rFonts w:ascii="Arial" w:eastAsia="Times New Roman" w:hAnsi="Arial" w:cs="Arial"/>
                <w:b/>
                <w:color w:val="000000"/>
                <w:sz w:val="18"/>
                <w:szCs w:val="22"/>
              </w:rPr>
              <w:t>NS</w:t>
            </w:r>
          </w:p>
        </w:tc>
        <w:tc>
          <w:tcPr>
            <w:tcW w:w="1705" w:type="dxa"/>
            <w:shd w:val="clear" w:color="auto" w:fill="auto"/>
            <w:noWrap/>
            <w:vAlign w:val="center"/>
            <w:hideMark/>
          </w:tcPr>
          <w:p w14:paraId="4302BBC0" w14:textId="307540E9" w:rsidR="003B3CCE" w:rsidRPr="008544A5" w:rsidRDefault="003B3CCE"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8</w:t>
            </w:r>
            <w:r w:rsidR="00C77447" w:rsidRPr="008544A5">
              <w:rPr>
                <w:rFonts w:ascii="Arial" w:eastAsia="Times New Roman" w:hAnsi="Arial" w:cs="Arial"/>
                <w:color w:val="000000"/>
                <w:sz w:val="18"/>
                <w:szCs w:val="22"/>
              </w:rPr>
              <w:t>,</w:t>
            </w:r>
            <w:r w:rsidRPr="008544A5">
              <w:rPr>
                <w:rFonts w:ascii="Arial" w:eastAsia="Times New Roman" w:hAnsi="Arial" w:cs="Arial"/>
                <w:color w:val="000000"/>
                <w:sz w:val="18"/>
                <w:szCs w:val="22"/>
              </w:rPr>
              <w:t>097</w:t>
            </w:r>
          </w:p>
        </w:tc>
        <w:tc>
          <w:tcPr>
            <w:tcW w:w="1605" w:type="dxa"/>
            <w:shd w:val="clear" w:color="auto" w:fill="auto"/>
            <w:noWrap/>
            <w:vAlign w:val="center"/>
            <w:hideMark/>
          </w:tcPr>
          <w:p w14:paraId="5AE98AFE" w14:textId="1E25D4F9" w:rsidR="003B3CCE" w:rsidRPr="008544A5" w:rsidRDefault="003B3CCE"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2</w:t>
            </w:r>
            <w:r w:rsidR="00C77447" w:rsidRPr="008544A5">
              <w:rPr>
                <w:rFonts w:ascii="Arial" w:eastAsia="Times New Roman" w:hAnsi="Arial" w:cs="Arial"/>
                <w:color w:val="000000"/>
                <w:sz w:val="18"/>
                <w:szCs w:val="22"/>
              </w:rPr>
              <w:t>,</w:t>
            </w:r>
            <w:r w:rsidRPr="008544A5">
              <w:rPr>
                <w:rFonts w:ascii="Arial" w:eastAsia="Times New Roman" w:hAnsi="Arial" w:cs="Arial"/>
                <w:color w:val="000000"/>
                <w:sz w:val="18"/>
                <w:szCs w:val="22"/>
              </w:rPr>
              <w:t>314</w:t>
            </w:r>
          </w:p>
        </w:tc>
        <w:tc>
          <w:tcPr>
            <w:tcW w:w="1469" w:type="dxa"/>
            <w:shd w:val="clear" w:color="auto" w:fill="auto"/>
            <w:noWrap/>
            <w:vAlign w:val="center"/>
            <w:hideMark/>
          </w:tcPr>
          <w:p w14:paraId="4C860EBC" w14:textId="1197CAE4" w:rsidR="003B3CCE" w:rsidRPr="008544A5" w:rsidRDefault="003B3CCE"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27</w:t>
            </w:r>
            <w:r w:rsidR="000336EB">
              <w:rPr>
                <w:rFonts w:ascii="Arial" w:eastAsia="Times New Roman" w:hAnsi="Arial" w:cs="Arial"/>
                <w:color w:val="000000"/>
                <w:sz w:val="18"/>
                <w:szCs w:val="22"/>
              </w:rPr>
              <w:t>8,000</w:t>
            </w:r>
          </w:p>
        </w:tc>
        <w:tc>
          <w:tcPr>
            <w:tcW w:w="1329" w:type="dxa"/>
            <w:shd w:val="clear" w:color="auto" w:fill="auto"/>
            <w:noWrap/>
            <w:vAlign w:val="center"/>
            <w:hideMark/>
          </w:tcPr>
          <w:p w14:paraId="4DF021AE" w14:textId="074F469A" w:rsidR="003B3CCE" w:rsidRPr="008544A5" w:rsidRDefault="003B3CCE" w:rsidP="00C77447">
            <w:pPr>
              <w:spacing w:after="0" w:line="240" w:lineRule="auto"/>
              <w:jc w:val="center"/>
              <w:rPr>
                <w:rFonts w:ascii="Arial" w:eastAsia="Times New Roman" w:hAnsi="Arial" w:cs="Arial"/>
                <w:color w:val="000000"/>
                <w:sz w:val="18"/>
                <w:szCs w:val="22"/>
              </w:rPr>
            </w:pPr>
            <w:r w:rsidRPr="008544A5">
              <w:rPr>
                <w:rFonts w:ascii="Arial" w:eastAsia="Times New Roman" w:hAnsi="Arial" w:cs="Arial"/>
                <w:color w:val="000000"/>
                <w:sz w:val="18"/>
                <w:szCs w:val="22"/>
              </w:rPr>
              <w:t>255,</w:t>
            </w:r>
            <w:r w:rsidR="000336EB">
              <w:rPr>
                <w:rFonts w:ascii="Arial" w:eastAsia="Times New Roman" w:hAnsi="Arial" w:cs="Arial"/>
                <w:color w:val="000000"/>
                <w:sz w:val="18"/>
                <w:szCs w:val="22"/>
              </w:rPr>
              <w:t>000</w:t>
            </w:r>
          </w:p>
        </w:tc>
        <w:tc>
          <w:tcPr>
            <w:tcW w:w="2209" w:type="dxa"/>
            <w:shd w:val="clear" w:color="auto" w:fill="auto"/>
            <w:noWrap/>
            <w:vAlign w:val="center"/>
            <w:hideMark/>
          </w:tcPr>
          <w:p w14:paraId="1048F2D2" w14:textId="44D45EEF" w:rsidR="003B3CCE" w:rsidRPr="008544A5" w:rsidRDefault="00BC2FC5" w:rsidP="00C77447">
            <w:pPr>
              <w:spacing w:after="0" w:line="240" w:lineRule="auto"/>
              <w:jc w:val="center"/>
              <w:rPr>
                <w:rFonts w:ascii="Arial" w:eastAsia="Times New Roman" w:hAnsi="Arial" w:cs="Arial"/>
                <w:color w:val="000000"/>
                <w:sz w:val="18"/>
                <w:szCs w:val="22"/>
              </w:rPr>
            </w:pPr>
            <w:r>
              <w:rPr>
                <w:rFonts w:ascii="Arial" w:eastAsia="Times New Roman" w:hAnsi="Arial" w:cs="Arial"/>
                <w:color w:val="000000"/>
                <w:sz w:val="18"/>
                <w:szCs w:val="22"/>
              </w:rPr>
              <w:t>9,075</w:t>
            </w:r>
          </w:p>
        </w:tc>
      </w:tr>
    </w:tbl>
    <w:p w14:paraId="208D9B4D" w14:textId="77777777" w:rsidR="00BD2E89" w:rsidRDefault="00BD2E89" w:rsidP="00BD2E89">
      <w:pPr>
        <w:pStyle w:val="Heading3"/>
        <w:spacing w:before="0"/>
        <w:rPr>
          <w:rFonts w:ascii="Arial" w:hAnsi="Arial" w:cs="Arial"/>
          <w:i/>
          <w:color w:val="000000" w:themeColor="text1"/>
        </w:rPr>
      </w:pPr>
    </w:p>
    <w:p w14:paraId="5151E822" w14:textId="54DC3FEF" w:rsidR="002C4085" w:rsidRDefault="00D14B65" w:rsidP="00444084">
      <w:pPr>
        <w:pStyle w:val="Heading3"/>
        <w:spacing w:before="0"/>
        <w:rPr>
          <w:rFonts w:ascii="Arial" w:hAnsi="Arial" w:cs="Arial"/>
          <w:i/>
          <w:color w:val="000000" w:themeColor="text1"/>
        </w:rPr>
      </w:pPr>
      <w:bookmarkStart w:id="80" w:name="_Toc57035175"/>
      <w:r w:rsidRPr="00D14B65">
        <w:rPr>
          <w:rFonts w:ascii="Arial" w:hAnsi="Arial" w:cs="Arial"/>
          <w:i/>
          <w:color w:val="000000" w:themeColor="text1"/>
        </w:rPr>
        <w:t>Takeaways of National Strategy</w:t>
      </w:r>
      <w:bookmarkEnd w:id="80"/>
      <w:r w:rsidRPr="00D14B65">
        <w:rPr>
          <w:rFonts w:ascii="Arial" w:hAnsi="Arial" w:cs="Arial"/>
          <w:i/>
          <w:color w:val="000000" w:themeColor="text1"/>
        </w:rPr>
        <w:t xml:space="preserve"> </w:t>
      </w:r>
    </w:p>
    <w:p w14:paraId="4F12B265" w14:textId="1B52BF56" w:rsidR="00D14B65" w:rsidRDefault="00D14B65" w:rsidP="00812C85">
      <w:pPr>
        <w:spacing w:after="0"/>
      </w:pPr>
    </w:p>
    <w:p w14:paraId="2210BE56" w14:textId="7ACA648D" w:rsidR="00303177" w:rsidRDefault="00D14B65" w:rsidP="00812C85">
      <w:pPr>
        <w:spacing w:after="0"/>
        <w:rPr>
          <w:rFonts w:ascii="Arial" w:hAnsi="Arial" w:cs="Arial"/>
        </w:rPr>
      </w:pPr>
      <w:r w:rsidRPr="00D14B65">
        <w:rPr>
          <w:rFonts w:ascii="Arial" w:hAnsi="Arial" w:cs="Arial"/>
        </w:rPr>
        <w:t>The National Strategy</w:t>
      </w:r>
      <w:r w:rsidR="00451347">
        <w:rPr>
          <w:rFonts w:ascii="Arial" w:hAnsi="Arial" w:cs="Arial"/>
        </w:rPr>
        <w:t xml:space="preserve"> </w:t>
      </w:r>
      <w:r w:rsidR="00534FF7">
        <w:rPr>
          <w:rFonts w:ascii="Arial" w:hAnsi="Arial" w:cs="Arial"/>
        </w:rPr>
        <w:t>S</w:t>
      </w:r>
      <w:r w:rsidR="00451347">
        <w:rPr>
          <w:rFonts w:ascii="Arial" w:hAnsi="Arial" w:cs="Arial"/>
        </w:rPr>
        <w:t xml:space="preserve">cenario </w:t>
      </w:r>
      <w:r w:rsidR="004C1923">
        <w:rPr>
          <w:rFonts w:ascii="Arial" w:hAnsi="Arial" w:cs="Arial"/>
        </w:rPr>
        <w:t>-</w:t>
      </w:r>
      <w:r w:rsidR="00451347">
        <w:rPr>
          <w:rFonts w:ascii="Arial" w:hAnsi="Arial" w:cs="Arial"/>
        </w:rPr>
        <w:t>-</w:t>
      </w:r>
      <w:r w:rsidR="004C1923">
        <w:rPr>
          <w:rFonts w:ascii="Arial" w:hAnsi="Arial" w:cs="Arial"/>
        </w:rPr>
        <w:t xml:space="preserve"> an amalgam </w:t>
      </w:r>
      <w:r w:rsidRPr="00D14B65">
        <w:rPr>
          <w:rFonts w:ascii="Arial" w:hAnsi="Arial" w:cs="Arial"/>
        </w:rPr>
        <w:t>of the National Multisectoral Framework IV and the Health Sector HIV Strategic Plan</w:t>
      </w:r>
      <w:r w:rsidR="00451347">
        <w:rPr>
          <w:rFonts w:ascii="Arial" w:hAnsi="Arial" w:cs="Arial"/>
        </w:rPr>
        <w:t xml:space="preserve"> -</w:t>
      </w:r>
      <w:r w:rsidR="004C1923">
        <w:rPr>
          <w:rFonts w:ascii="Arial" w:hAnsi="Arial" w:cs="Arial"/>
        </w:rPr>
        <w:t>-</w:t>
      </w:r>
      <w:r w:rsidRPr="00D14B65">
        <w:rPr>
          <w:rFonts w:ascii="Arial" w:hAnsi="Arial" w:cs="Arial"/>
        </w:rPr>
        <w:t xml:space="preserve"> if implemented</w:t>
      </w:r>
      <w:r w:rsidR="004C1923">
        <w:rPr>
          <w:rFonts w:ascii="Arial" w:hAnsi="Arial" w:cs="Arial"/>
        </w:rPr>
        <w:t xml:space="preserve"> and financed</w:t>
      </w:r>
      <w:r w:rsidRPr="00D14B65">
        <w:rPr>
          <w:rFonts w:ascii="Arial" w:hAnsi="Arial" w:cs="Arial"/>
        </w:rPr>
        <w:t xml:space="preserve"> as designed would achieve </w:t>
      </w:r>
      <w:r w:rsidR="004C1923">
        <w:rPr>
          <w:rFonts w:ascii="Arial" w:hAnsi="Arial" w:cs="Arial"/>
        </w:rPr>
        <w:t>significant</w:t>
      </w:r>
      <w:r w:rsidRPr="00D14B65">
        <w:rPr>
          <w:rFonts w:ascii="Arial" w:hAnsi="Arial" w:cs="Arial"/>
        </w:rPr>
        <w:t xml:space="preserve"> impact. </w:t>
      </w:r>
      <w:r>
        <w:rPr>
          <w:rFonts w:ascii="Arial" w:hAnsi="Arial" w:cs="Arial"/>
        </w:rPr>
        <w:t>New infections would fall rapidly, by 72% from 2019 to 2030. AIDS-related deaths would also fall dramatically by more than 50% to less than 15,000 annually by 2030. These important reductions would mean Tanzania would reach or get close to Fast Track targets for new infections and mortality</w:t>
      </w:r>
      <w:r w:rsidR="00142CB4">
        <w:rPr>
          <w:rFonts w:ascii="Arial" w:hAnsi="Arial" w:cs="Arial"/>
        </w:rPr>
        <w:t xml:space="preserve">. However, these gains would have a high </w:t>
      </w:r>
      <w:r w:rsidR="00B07CDA">
        <w:rPr>
          <w:rFonts w:ascii="Arial" w:hAnsi="Arial" w:cs="Arial"/>
        </w:rPr>
        <w:t xml:space="preserve">funding </w:t>
      </w:r>
      <w:r w:rsidR="00142CB4">
        <w:rPr>
          <w:rFonts w:ascii="Arial" w:hAnsi="Arial" w:cs="Arial"/>
        </w:rPr>
        <w:t>price tag</w:t>
      </w:r>
      <w:r w:rsidR="003730D5">
        <w:rPr>
          <w:rFonts w:ascii="Arial" w:hAnsi="Arial" w:cs="Arial"/>
        </w:rPr>
        <w:t xml:space="preserve"> and </w:t>
      </w:r>
      <w:r w:rsidR="004C1923">
        <w:rPr>
          <w:rFonts w:ascii="Arial" w:hAnsi="Arial" w:cs="Arial"/>
        </w:rPr>
        <w:t xml:space="preserve">do </w:t>
      </w:r>
      <w:r w:rsidR="003730D5">
        <w:rPr>
          <w:rFonts w:ascii="Arial" w:hAnsi="Arial" w:cs="Arial"/>
        </w:rPr>
        <w:t xml:space="preserve">not represent </w:t>
      </w:r>
      <w:r w:rsidR="00B07CDA">
        <w:rPr>
          <w:rFonts w:ascii="Arial" w:hAnsi="Arial" w:cs="Arial"/>
        </w:rPr>
        <w:t>a</w:t>
      </w:r>
      <w:r w:rsidR="003730D5">
        <w:rPr>
          <w:rFonts w:ascii="Arial" w:hAnsi="Arial" w:cs="Arial"/>
        </w:rPr>
        <w:t xml:space="preserve"> cost-effective mix of investments</w:t>
      </w:r>
      <w:r w:rsidR="00142CB4">
        <w:rPr>
          <w:rFonts w:ascii="Arial" w:hAnsi="Arial" w:cs="Arial"/>
        </w:rPr>
        <w:t>. By 2030, the NS</w:t>
      </w:r>
      <w:r w:rsidR="00B07CDA">
        <w:rPr>
          <w:rFonts w:ascii="Arial" w:hAnsi="Arial" w:cs="Arial"/>
        </w:rPr>
        <w:t xml:space="preserve"> is estimated to</w:t>
      </w:r>
      <w:r w:rsidR="00142CB4">
        <w:rPr>
          <w:rFonts w:ascii="Arial" w:hAnsi="Arial" w:cs="Arial"/>
        </w:rPr>
        <w:t xml:space="preserve"> cost 80% more than the current HIV program at almost USD 850 </w:t>
      </w:r>
      <w:r w:rsidR="00F07840">
        <w:rPr>
          <w:rFonts w:ascii="Arial" w:hAnsi="Arial" w:cs="Arial"/>
        </w:rPr>
        <w:t>M</w:t>
      </w:r>
      <w:r w:rsidR="00142CB4">
        <w:rPr>
          <w:rFonts w:ascii="Arial" w:hAnsi="Arial" w:cs="Arial"/>
        </w:rPr>
        <w:t xml:space="preserve"> annually. Given the </w:t>
      </w:r>
      <w:r w:rsidR="00B07CDA">
        <w:rPr>
          <w:rFonts w:ascii="Arial" w:hAnsi="Arial" w:cs="Arial"/>
        </w:rPr>
        <w:t xml:space="preserve">current </w:t>
      </w:r>
      <w:r w:rsidR="00142CB4">
        <w:rPr>
          <w:rFonts w:ascii="Arial" w:hAnsi="Arial" w:cs="Arial"/>
        </w:rPr>
        <w:t xml:space="preserve">financing </w:t>
      </w:r>
      <w:r w:rsidR="00B07CDA">
        <w:rPr>
          <w:rFonts w:ascii="Arial" w:hAnsi="Arial" w:cs="Arial"/>
        </w:rPr>
        <w:t xml:space="preserve">environment </w:t>
      </w:r>
      <w:r w:rsidR="00142CB4">
        <w:rPr>
          <w:rFonts w:ascii="Arial" w:hAnsi="Arial" w:cs="Arial"/>
        </w:rPr>
        <w:t>where maintaining current fund</w:t>
      </w:r>
      <w:r w:rsidR="00B07CDA">
        <w:rPr>
          <w:rFonts w:ascii="Arial" w:hAnsi="Arial" w:cs="Arial"/>
        </w:rPr>
        <w:t xml:space="preserve">ing levels </w:t>
      </w:r>
      <w:r w:rsidR="00142CB4">
        <w:rPr>
          <w:rFonts w:ascii="Arial" w:hAnsi="Arial" w:cs="Arial"/>
        </w:rPr>
        <w:t xml:space="preserve">is </w:t>
      </w:r>
      <w:r w:rsidR="004C1923">
        <w:rPr>
          <w:rFonts w:ascii="Arial" w:hAnsi="Arial" w:cs="Arial"/>
        </w:rPr>
        <w:t xml:space="preserve">proving to be challenging, </w:t>
      </w:r>
      <w:r w:rsidR="00142CB4">
        <w:rPr>
          <w:rFonts w:ascii="Arial" w:hAnsi="Arial" w:cs="Arial"/>
        </w:rPr>
        <w:t>the NS</w:t>
      </w:r>
      <w:r w:rsidR="00B07CDA">
        <w:rPr>
          <w:rFonts w:ascii="Arial" w:hAnsi="Arial" w:cs="Arial"/>
        </w:rPr>
        <w:t xml:space="preserve"> will be hard to pay for</w:t>
      </w:r>
      <w:r w:rsidR="004C1923">
        <w:rPr>
          <w:rFonts w:ascii="Arial" w:hAnsi="Arial" w:cs="Arial"/>
        </w:rPr>
        <w:t xml:space="preserve"> unless donors and government both </w:t>
      </w:r>
      <w:r w:rsidR="00ED5792">
        <w:rPr>
          <w:rFonts w:ascii="Arial" w:hAnsi="Arial" w:cs="Arial"/>
        </w:rPr>
        <w:t xml:space="preserve">significantly </w:t>
      </w:r>
      <w:r w:rsidR="004C1923">
        <w:rPr>
          <w:rFonts w:ascii="Arial" w:hAnsi="Arial" w:cs="Arial"/>
        </w:rPr>
        <w:t xml:space="preserve">increase their budgets beyond </w:t>
      </w:r>
      <w:r w:rsidR="00B07CDA">
        <w:rPr>
          <w:rFonts w:ascii="Arial" w:hAnsi="Arial" w:cs="Arial"/>
        </w:rPr>
        <w:t>current amounts</w:t>
      </w:r>
      <w:r w:rsidR="00303177">
        <w:rPr>
          <w:rFonts w:ascii="Arial" w:hAnsi="Arial" w:cs="Arial"/>
        </w:rPr>
        <w:t>.</w:t>
      </w:r>
    </w:p>
    <w:p w14:paraId="41807533" w14:textId="77777777" w:rsidR="00ED5792" w:rsidRDefault="00ED5792" w:rsidP="00812C85">
      <w:pPr>
        <w:spacing w:after="0"/>
        <w:rPr>
          <w:rFonts w:ascii="Arial" w:hAnsi="Arial" w:cs="Arial"/>
        </w:rPr>
      </w:pPr>
    </w:p>
    <w:p w14:paraId="66ECA540" w14:textId="77777777" w:rsidR="00CC2044" w:rsidRDefault="00CC2044">
      <w:pPr>
        <w:rPr>
          <w:rFonts w:ascii="Arial" w:hAnsi="Arial" w:cs="Arial"/>
          <w:i/>
          <w:sz w:val="18"/>
        </w:rPr>
      </w:pPr>
      <w:r>
        <w:rPr>
          <w:rFonts w:ascii="Arial" w:hAnsi="Arial" w:cs="Arial"/>
          <w:i/>
          <w:sz w:val="18"/>
        </w:rPr>
        <w:br w:type="page"/>
      </w:r>
    </w:p>
    <w:p w14:paraId="257634E3" w14:textId="0B30B717" w:rsidR="00303177" w:rsidRPr="008544A5" w:rsidRDefault="00303177" w:rsidP="00303177">
      <w:pPr>
        <w:rPr>
          <w:rFonts w:ascii="Arial" w:hAnsi="Arial" w:cs="Arial"/>
          <w:i/>
          <w:sz w:val="18"/>
        </w:rPr>
      </w:pPr>
      <w:r>
        <w:rPr>
          <w:rFonts w:ascii="Arial" w:hAnsi="Arial" w:cs="Arial"/>
          <w:i/>
          <w:sz w:val="18"/>
        </w:rPr>
        <w:t>Figure</w:t>
      </w:r>
      <w:r w:rsidRPr="008544A5">
        <w:rPr>
          <w:rFonts w:ascii="Arial" w:hAnsi="Arial" w:cs="Arial"/>
          <w:i/>
          <w:sz w:val="18"/>
        </w:rPr>
        <w:t xml:space="preserve"> 4-</w:t>
      </w:r>
      <w:r w:rsidR="00B61AA0">
        <w:rPr>
          <w:rFonts w:ascii="Arial" w:hAnsi="Arial" w:cs="Arial"/>
          <w:i/>
          <w:sz w:val="18"/>
        </w:rPr>
        <w:t>1</w:t>
      </w:r>
      <w:r w:rsidR="009E25B2">
        <w:rPr>
          <w:rFonts w:ascii="Arial" w:hAnsi="Arial" w:cs="Arial"/>
          <w:i/>
          <w:sz w:val="18"/>
        </w:rPr>
        <w:t>4</w:t>
      </w:r>
      <w:r w:rsidRPr="008544A5">
        <w:rPr>
          <w:rFonts w:ascii="Arial" w:hAnsi="Arial" w:cs="Arial"/>
          <w:i/>
          <w:sz w:val="18"/>
        </w:rPr>
        <w:t xml:space="preserve">. Summary of impact of </w:t>
      </w:r>
      <w:r w:rsidR="00F57EFE">
        <w:rPr>
          <w:rFonts w:ascii="Arial" w:hAnsi="Arial" w:cs="Arial"/>
          <w:i/>
          <w:sz w:val="18"/>
        </w:rPr>
        <w:t>Constant Coverage</w:t>
      </w:r>
      <w:r w:rsidRPr="008544A5">
        <w:rPr>
          <w:rFonts w:ascii="Arial" w:hAnsi="Arial" w:cs="Arial"/>
          <w:i/>
          <w:sz w:val="18"/>
        </w:rPr>
        <w:t xml:space="preserve"> vs National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340"/>
        <w:gridCol w:w="2335"/>
      </w:tblGrid>
      <w:tr w:rsidR="00303177" w:rsidRPr="00303177" w14:paraId="35B5C3F9" w14:textId="77777777" w:rsidTr="00074CE0">
        <w:trPr>
          <w:trHeight w:val="209"/>
        </w:trPr>
        <w:tc>
          <w:tcPr>
            <w:tcW w:w="4675" w:type="dxa"/>
          </w:tcPr>
          <w:p w14:paraId="42D79DAA" w14:textId="77777777" w:rsidR="00303177" w:rsidRPr="00303177" w:rsidRDefault="00303177" w:rsidP="00074CE0">
            <w:pPr>
              <w:spacing w:after="0"/>
              <w:rPr>
                <w:rFonts w:ascii="Arial" w:hAnsi="Arial" w:cs="Arial"/>
                <w:sz w:val="18"/>
              </w:rPr>
            </w:pPr>
          </w:p>
        </w:tc>
        <w:tc>
          <w:tcPr>
            <w:tcW w:w="2340" w:type="dxa"/>
            <w:shd w:val="clear" w:color="auto" w:fill="C00000"/>
          </w:tcPr>
          <w:p w14:paraId="64C85B3F" w14:textId="1F0BE638" w:rsidR="00303177" w:rsidRPr="00303177" w:rsidRDefault="00F57EFE" w:rsidP="00074CE0">
            <w:pPr>
              <w:spacing w:after="0"/>
              <w:rPr>
                <w:rFonts w:ascii="Arial" w:hAnsi="Arial" w:cs="Arial"/>
                <w:b/>
                <w:sz w:val="18"/>
              </w:rPr>
            </w:pPr>
            <w:r>
              <w:rPr>
                <w:rFonts w:ascii="Arial" w:hAnsi="Arial" w:cs="Arial"/>
                <w:b/>
                <w:sz w:val="18"/>
              </w:rPr>
              <w:t>CC</w:t>
            </w:r>
          </w:p>
        </w:tc>
        <w:tc>
          <w:tcPr>
            <w:tcW w:w="2335" w:type="dxa"/>
            <w:shd w:val="clear" w:color="auto" w:fill="C00000"/>
          </w:tcPr>
          <w:p w14:paraId="75616D94" w14:textId="77777777" w:rsidR="00303177" w:rsidRPr="00303177" w:rsidRDefault="00303177" w:rsidP="00074CE0">
            <w:pPr>
              <w:spacing w:after="0"/>
              <w:rPr>
                <w:rFonts w:ascii="Arial" w:hAnsi="Arial" w:cs="Arial"/>
                <w:b/>
                <w:sz w:val="18"/>
              </w:rPr>
            </w:pPr>
            <w:r w:rsidRPr="00303177">
              <w:rPr>
                <w:rFonts w:ascii="Arial" w:hAnsi="Arial" w:cs="Arial"/>
                <w:b/>
                <w:sz w:val="18"/>
              </w:rPr>
              <w:t>NS</w:t>
            </w:r>
          </w:p>
        </w:tc>
      </w:tr>
      <w:tr w:rsidR="00303177" w:rsidRPr="00303177" w14:paraId="6EEDC039" w14:textId="77777777" w:rsidTr="00074CE0">
        <w:trPr>
          <w:trHeight w:val="209"/>
        </w:trPr>
        <w:tc>
          <w:tcPr>
            <w:tcW w:w="7015" w:type="dxa"/>
            <w:gridSpan w:val="2"/>
            <w:shd w:val="clear" w:color="auto" w:fill="D9D9D9" w:themeFill="background1" w:themeFillShade="D9"/>
          </w:tcPr>
          <w:p w14:paraId="192BEF04" w14:textId="77777777" w:rsidR="00303177" w:rsidRPr="00303177" w:rsidRDefault="00303177" w:rsidP="00074CE0">
            <w:pPr>
              <w:spacing w:after="0"/>
              <w:rPr>
                <w:rFonts w:ascii="Arial" w:hAnsi="Arial" w:cs="Arial"/>
                <w:sz w:val="18"/>
              </w:rPr>
            </w:pPr>
            <w:r w:rsidRPr="00303177">
              <w:rPr>
                <w:rFonts w:ascii="Arial" w:hAnsi="Arial" w:cs="Arial"/>
                <w:b/>
                <w:sz w:val="18"/>
              </w:rPr>
              <w:t>New infections (All adults)</w:t>
            </w:r>
          </w:p>
        </w:tc>
        <w:tc>
          <w:tcPr>
            <w:tcW w:w="2335" w:type="dxa"/>
            <w:shd w:val="clear" w:color="auto" w:fill="D9D9D9" w:themeFill="background1" w:themeFillShade="D9"/>
          </w:tcPr>
          <w:p w14:paraId="457D31D6" w14:textId="77777777" w:rsidR="00303177" w:rsidRPr="00303177" w:rsidRDefault="00303177" w:rsidP="00074CE0">
            <w:pPr>
              <w:spacing w:after="0"/>
              <w:rPr>
                <w:rFonts w:ascii="Arial" w:hAnsi="Arial" w:cs="Arial"/>
                <w:b/>
                <w:sz w:val="18"/>
              </w:rPr>
            </w:pPr>
          </w:p>
        </w:tc>
      </w:tr>
      <w:tr w:rsidR="00303177" w:rsidRPr="00303177" w14:paraId="4EE1C321" w14:textId="77777777" w:rsidTr="00074CE0">
        <w:trPr>
          <w:trHeight w:val="209"/>
        </w:trPr>
        <w:tc>
          <w:tcPr>
            <w:tcW w:w="4675" w:type="dxa"/>
          </w:tcPr>
          <w:p w14:paraId="31F4309C" w14:textId="7140022A" w:rsidR="00303177" w:rsidRPr="00303177" w:rsidRDefault="00303177" w:rsidP="00074CE0">
            <w:pPr>
              <w:spacing w:after="0"/>
              <w:rPr>
                <w:rFonts w:ascii="Arial" w:hAnsi="Arial" w:cs="Arial"/>
                <w:sz w:val="18"/>
              </w:rPr>
            </w:pPr>
            <w:r w:rsidRPr="00303177">
              <w:rPr>
                <w:rFonts w:ascii="Arial" w:hAnsi="Arial" w:cs="Arial"/>
                <w:sz w:val="18"/>
              </w:rPr>
              <w:t>Cumulative</w:t>
            </w:r>
            <w:r w:rsidR="000807B2">
              <w:rPr>
                <w:rFonts w:ascii="Arial" w:hAnsi="Arial" w:cs="Arial"/>
                <w:sz w:val="18"/>
              </w:rPr>
              <w:t xml:space="preserve"> new infections</w:t>
            </w:r>
          </w:p>
        </w:tc>
        <w:tc>
          <w:tcPr>
            <w:tcW w:w="2340" w:type="dxa"/>
          </w:tcPr>
          <w:p w14:paraId="7FF9ABB5" w14:textId="760EF02D" w:rsidR="00303177" w:rsidRPr="00303177" w:rsidRDefault="00303177" w:rsidP="00074CE0">
            <w:pPr>
              <w:spacing w:after="0"/>
              <w:rPr>
                <w:rFonts w:ascii="Arial" w:hAnsi="Arial" w:cs="Arial"/>
                <w:sz w:val="18"/>
              </w:rPr>
            </w:pPr>
            <w:r w:rsidRPr="00303177">
              <w:rPr>
                <w:rFonts w:ascii="Arial" w:hAnsi="Arial" w:cs="Arial"/>
                <w:sz w:val="18"/>
              </w:rPr>
              <w:t>53</w:t>
            </w:r>
            <w:r w:rsidR="000336EB">
              <w:rPr>
                <w:rFonts w:ascii="Arial" w:hAnsi="Arial" w:cs="Arial"/>
                <w:sz w:val="18"/>
              </w:rPr>
              <w:t>3,000</w:t>
            </w:r>
          </w:p>
        </w:tc>
        <w:tc>
          <w:tcPr>
            <w:tcW w:w="2335" w:type="dxa"/>
          </w:tcPr>
          <w:p w14:paraId="283D3332" w14:textId="3620D992" w:rsidR="00303177" w:rsidRPr="00303177" w:rsidRDefault="00303177" w:rsidP="00074CE0">
            <w:pPr>
              <w:spacing w:after="0"/>
              <w:rPr>
                <w:rFonts w:ascii="Arial" w:hAnsi="Arial" w:cs="Arial"/>
                <w:sz w:val="18"/>
              </w:rPr>
            </w:pPr>
            <w:r w:rsidRPr="00303177">
              <w:rPr>
                <w:rFonts w:ascii="Arial" w:hAnsi="Arial" w:cs="Arial"/>
                <w:sz w:val="18"/>
              </w:rPr>
              <w:t>2</w:t>
            </w:r>
            <w:r w:rsidR="000336EB">
              <w:rPr>
                <w:rFonts w:ascii="Arial" w:hAnsi="Arial" w:cs="Arial"/>
                <w:sz w:val="18"/>
              </w:rPr>
              <w:t>78,000</w:t>
            </w:r>
          </w:p>
        </w:tc>
      </w:tr>
      <w:tr w:rsidR="00303177" w:rsidRPr="00303177" w14:paraId="3E5BD040" w14:textId="77777777" w:rsidTr="00074CE0">
        <w:trPr>
          <w:trHeight w:val="209"/>
        </w:trPr>
        <w:tc>
          <w:tcPr>
            <w:tcW w:w="4675" w:type="dxa"/>
          </w:tcPr>
          <w:p w14:paraId="4607AB25" w14:textId="3ED14F1A" w:rsidR="00303177" w:rsidRPr="00303177" w:rsidRDefault="000807B2" w:rsidP="00074CE0">
            <w:pPr>
              <w:spacing w:after="0"/>
              <w:rPr>
                <w:rFonts w:ascii="Arial" w:hAnsi="Arial" w:cs="Arial"/>
                <w:sz w:val="18"/>
              </w:rPr>
            </w:pPr>
            <w:r>
              <w:rPr>
                <w:rFonts w:ascii="Arial" w:hAnsi="Arial" w:cs="Arial"/>
                <w:sz w:val="18"/>
              </w:rPr>
              <w:t>New infectio</w:t>
            </w:r>
            <w:r w:rsidR="00303177" w:rsidRPr="00303177">
              <w:rPr>
                <w:rFonts w:ascii="Arial" w:hAnsi="Arial" w:cs="Arial"/>
                <w:sz w:val="18"/>
              </w:rPr>
              <w:t>n</w:t>
            </w:r>
            <w:r>
              <w:rPr>
                <w:rFonts w:ascii="Arial" w:hAnsi="Arial" w:cs="Arial"/>
                <w:sz w:val="18"/>
              </w:rPr>
              <w:t>s in</w:t>
            </w:r>
            <w:r w:rsidR="00303177" w:rsidRPr="00303177">
              <w:rPr>
                <w:rFonts w:ascii="Arial" w:hAnsi="Arial" w:cs="Arial"/>
                <w:sz w:val="18"/>
              </w:rPr>
              <w:t xml:space="preserve"> 2030</w:t>
            </w:r>
          </w:p>
        </w:tc>
        <w:tc>
          <w:tcPr>
            <w:tcW w:w="2340" w:type="dxa"/>
          </w:tcPr>
          <w:p w14:paraId="2F3D8255" w14:textId="25478D2F" w:rsidR="00303177" w:rsidRPr="00303177" w:rsidRDefault="00303177" w:rsidP="00074CE0">
            <w:pPr>
              <w:spacing w:after="0"/>
              <w:rPr>
                <w:rFonts w:ascii="Arial" w:hAnsi="Arial" w:cs="Arial"/>
                <w:sz w:val="18"/>
              </w:rPr>
            </w:pPr>
            <w:r w:rsidRPr="00303177">
              <w:rPr>
                <w:rFonts w:ascii="Arial" w:hAnsi="Arial" w:cs="Arial"/>
                <w:sz w:val="18"/>
              </w:rPr>
              <w:t>44</w:t>
            </w:r>
            <w:r w:rsidR="000336EB">
              <w:rPr>
                <w:rFonts w:ascii="Arial" w:hAnsi="Arial" w:cs="Arial"/>
                <w:sz w:val="18"/>
              </w:rPr>
              <w:t>,000</w:t>
            </w:r>
          </w:p>
        </w:tc>
        <w:tc>
          <w:tcPr>
            <w:tcW w:w="2335" w:type="dxa"/>
          </w:tcPr>
          <w:p w14:paraId="65BDD330" w14:textId="45000111" w:rsidR="00303177" w:rsidRPr="00303177" w:rsidRDefault="00303177" w:rsidP="00074CE0">
            <w:pPr>
              <w:spacing w:after="0"/>
              <w:rPr>
                <w:rFonts w:ascii="Arial" w:hAnsi="Arial" w:cs="Arial"/>
                <w:sz w:val="18"/>
              </w:rPr>
            </w:pPr>
            <w:r w:rsidRPr="00303177">
              <w:rPr>
                <w:rFonts w:ascii="Arial" w:hAnsi="Arial" w:cs="Arial"/>
                <w:sz w:val="18"/>
              </w:rPr>
              <w:t>14,</w:t>
            </w:r>
            <w:r w:rsidR="000336EB">
              <w:rPr>
                <w:rFonts w:ascii="Arial" w:hAnsi="Arial" w:cs="Arial"/>
                <w:sz w:val="18"/>
              </w:rPr>
              <w:t>000</w:t>
            </w:r>
          </w:p>
        </w:tc>
      </w:tr>
      <w:tr w:rsidR="00303177" w:rsidRPr="00303177" w14:paraId="5D9BEF42" w14:textId="77777777" w:rsidTr="00074CE0">
        <w:trPr>
          <w:trHeight w:val="209"/>
        </w:trPr>
        <w:tc>
          <w:tcPr>
            <w:tcW w:w="4675" w:type="dxa"/>
          </w:tcPr>
          <w:p w14:paraId="6350EBBC" w14:textId="7ED47BA6" w:rsidR="00303177" w:rsidRPr="00303177" w:rsidRDefault="000807B2" w:rsidP="00074CE0">
            <w:pPr>
              <w:spacing w:after="0"/>
              <w:rPr>
                <w:rFonts w:ascii="Arial" w:hAnsi="Arial" w:cs="Arial"/>
                <w:sz w:val="18"/>
              </w:rPr>
            </w:pPr>
            <w:r>
              <w:rPr>
                <w:rFonts w:ascii="Arial" w:hAnsi="Arial" w:cs="Arial"/>
                <w:sz w:val="18"/>
              </w:rPr>
              <w:t>Percent</w:t>
            </w:r>
            <w:r w:rsidR="00303177" w:rsidRPr="00303177">
              <w:rPr>
                <w:rFonts w:ascii="Arial" w:hAnsi="Arial" w:cs="Arial"/>
                <w:sz w:val="18"/>
              </w:rPr>
              <w:t xml:space="preserve"> change 2019-2030</w:t>
            </w:r>
          </w:p>
        </w:tc>
        <w:tc>
          <w:tcPr>
            <w:tcW w:w="2340" w:type="dxa"/>
          </w:tcPr>
          <w:p w14:paraId="327065E3" w14:textId="77777777" w:rsidR="00303177" w:rsidRPr="00303177" w:rsidRDefault="00303177" w:rsidP="00074CE0">
            <w:pPr>
              <w:spacing w:after="0"/>
              <w:rPr>
                <w:rFonts w:ascii="Arial" w:hAnsi="Arial" w:cs="Arial"/>
                <w:sz w:val="18"/>
              </w:rPr>
            </w:pPr>
            <w:r w:rsidRPr="00303177">
              <w:rPr>
                <w:rFonts w:ascii="Arial" w:hAnsi="Arial" w:cs="Arial"/>
                <w:sz w:val="18"/>
              </w:rPr>
              <w:t>-2%</w:t>
            </w:r>
          </w:p>
        </w:tc>
        <w:tc>
          <w:tcPr>
            <w:tcW w:w="2335" w:type="dxa"/>
          </w:tcPr>
          <w:p w14:paraId="1D018019" w14:textId="77777777" w:rsidR="00303177" w:rsidRPr="00303177" w:rsidRDefault="00303177" w:rsidP="00074CE0">
            <w:pPr>
              <w:spacing w:after="0"/>
              <w:rPr>
                <w:rFonts w:ascii="Arial" w:hAnsi="Arial" w:cs="Arial"/>
                <w:sz w:val="18"/>
              </w:rPr>
            </w:pPr>
            <w:r w:rsidRPr="00303177">
              <w:rPr>
                <w:rFonts w:ascii="Arial" w:hAnsi="Arial" w:cs="Arial"/>
                <w:sz w:val="18"/>
              </w:rPr>
              <w:t>-72%</w:t>
            </w:r>
          </w:p>
        </w:tc>
      </w:tr>
      <w:tr w:rsidR="00303177" w:rsidRPr="00303177" w14:paraId="28F7DA36" w14:textId="77777777" w:rsidTr="00074CE0">
        <w:trPr>
          <w:trHeight w:val="209"/>
        </w:trPr>
        <w:tc>
          <w:tcPr>
            <w:tcW w:w="4675" w:type="dxa"/>
          </w:tcPr>
          <w:p w14:paraId="4236AF50" w14:textId="38987C07" w:rsidR="00303177" w:rsidRPr="00303177" w:rsidRDefault="00303177" w:rsidP="00074CE0">
            <w:pPr>
              <w:spacing w:after="0"/>
              <w:rPr>
                <w:rFonts w:ascii="Arial" w:hAnsi="Arial" w:cs="Arial"/>
                <w:sz w:val="18"/>
              </w:rPr>
            </w:pPr>
            <w:r w:rsidRPr="00303177">
              <w:rPr>
                <w:rFonts w:ascii="Arial" w:hAnsi="Arial" w:cs="Arial"/>
                <w:sz w:val="18"/>
              </w:rPr>
              <w:t>Fast Track target (</w:t>
            </w:r>
            <w:r w:rsidR="000807B2">
              <w:rPr>
                <w:rFonts w:ascii="Arial" w:hAnsi="Arial" w:cs="Arial"/>
                <w:sz w:val="18"/>
              </w:rPr>
              <w:t>Percent r</w:t>
            </w:r>
            <w:r w:rsidRPr="00303177">
              <w:rPr>
                <w:rFonts w:ascii="Arial" w:hAnsi="Arial" w:cs="Arial"/>
                <w:sz w:val="18"/>
              </w:rPr>
              <w:t>eduction 2010-2030)</w:t>
            </w:r>
          </w:p>
        </w:tc>
        <w:tc>
          <w:tcPr>
            <w:tcW w:w="2340" w:type="dxa"/>
          </w:tcPr>
          <w:p w14:paraId="46F05EF6" w14:textId="77777777" w:rsidR="00303177" w:rsidRPr="00303177" w:rsidRDefault="00303177" w:rsidP="00074CE0">
            <w:pPr>
              <w:spacing w:after="0"/>
              <w:rPr>
                <w:rFonts w:ascii="Arial" w:hAnsi="Arial" w:cs="Arial"/>
                <w:sz w:val="18"/>
              </w:rPr>
            </w:pPr>
            <w:r w:rsidRPr="00303177">
              <w:rPr>
                <w:rFonts w:ascii="Arial" w:hAnsi="Arial" w:cs="Arial"/>
                <w:sz w:val="18"/>
              </w:rPr>
              <w:t>-55%</w:t>
            </w:r>
          </w:p>
        </w:tc>
        <w:tc>
          <w:tcPr>
            <w:tcW w:w="2335" w:type="dxa"/>
          </w:tcPr>
          <w:p w14:paraId="0E77E77A" w14:textId="77777777" w:rsidR="00303177" w:rsidRPr="00303177" w:rsidRDefault="00303177" w:rsidP="00074CE0">
            <w:pPr>
              <w:spacing w:after="0"/>
              <w:rPr>
                <w:rFonts w:ascii="Arial" w:hAnsi="Arial" w:cs="Arial"/>
                <w:sz w:val="18"/>
              </w:rPr>
            </w:pPr>
            <w:r w:rsidRPr="00303177">
              <w:rPr>
                <w:rFonts w:ascii="Arial" w:hAnsi="Arial" w:cs="Arial"/>
                <w:sz w:val="18"/>
              </w:rPr>
              <w:t>-85%</w:t>
            </w:r>
          </w:p>
        </w:tc>
      </w:tr>
      <w:tr w:rsidR="00303177" w:rsidRPr="00303177" w14:paraId="56867941" w14:textId="77777777" w:rsidTr="00074CE0">
        <w:trPr>
          <w:trHeight w:val="209"/>
        </w:trPr>
        <w:tc>
          <w:tcPr>
            <w:tcW w:w="4675" w:type="dxa"/>
            <w:shd w:val="clear" w:color="auto" w:fill="D0CECE" w:themeFill="background2" w:themeFillShade="E6"/>
          </w:tcPr>
          <w:p w14:paraId="477B0782" w14:textId="77777777" w:rsidR="00303177" w:rsidRPr="00303177" w:rsidRDefault="00303177" w:rsidP="00074CE0">
            <w:pPr>
              <w:spacing w:after="0"/>
              <w:rPr>
                <w:rFonts w:ascii="Arial" w:hAnsi="Arial" w:cs="Arial"/>
                <w:b/>
                <w:sz w:val="18"/>
              </w:rPr>
            </w:pPr>
            <w:r w:rsidRPr="00303177">
              <w:rPr>
                <w:rFonts w:ascii="Arial" w:hAnsi="Arial" w:cs="Arial"/>
                <w:b/>
                <w:sz w:val="18"/>
              </w:rPr>
              <w:t>New infections (Adolescents)</w:t>
            </w:r>
          </w:p>
        </w:tc>
        <w:tc>
          <w:tcPr>
            <w:tcW w:w="2340" w:type="dxa"/>
            <w:shd w:val="clear" w:color="auto" w:fill="D0CECE" w:themeFill="background2" w:themeFillShade="E6"/>
          </w:tcPr>
          <w:p w14:paraId="55DBE16A" w14:textId="77777777" w:rsidR="00303177" w:rsidRPr="00303177" w:rsidRDefault="00303177" w:rsidP="00074CE0">
            <w:pPr>
              <w:spacing w:after="0"/>
              <w:rPr>
                <w:rFonts w:ascii="Arial" w:hAnsi="Arial" w:cs="Arial"/>
                <w:b/>
                <w:sz w:val="18"/>
              </w:rPr>
            </w:pPr>
          </w:p>
        </w:tc>
        <w:tc>
          <w:tcPr>
            <w:tcW w:w="2335" w:type="dxa"/>
            <w:shd w:val="clear" w:color="auto" w:fill="D0CECE" w:themeFill="background2" w:themeFillShade="E6"/>
          </w:tcPr>
          <w:p w14:paraId="6F637B84" w14:textId="77777777" w:rsidR="00303177" w:rsidRPr="00303177" w:rsidRDefault="00303177" w:rsidP="00074CE0">
            <w:pPr>
              <w:spacing w:after="0"/>
              <w:rPr>
                <w:rFonts w:ascii="Arial" w:hAnsi="Arial" w:cs="Arial"/>
                <w:b/>
                <w:sz w:val="18"/>
              </w:rPr>
            </w:pPr>
          </w:p>
        </w:tc>
      </w:tr>
      <w:tr w:rsidR="00303177" w:rsidRPr="00303177" w14:paraId="53F64CA1" w14:textId="77777777" w:rsidTr="00074CE0">
        <w:trPr>
          <w:trHeight w:val="209"/>
        </w:trPr>
        <w:tc>
          <w:tcPr>
            <w:tcW w:w="4675" w:type="dxa"/>
          </w:tcPr>
          <w:p w14:paraId="7FE687A7" w14:textId="3A7F9F52" w:rsidR="00303177" w:rsidRPr="00303177" w:rsidRDefault="00303177" w:rsidP="00074CE0">
            <w:pPr>
              <w:spacing w:after="0"/>
              <w:rPr>
                <w:rFonts w:ascii="Arial" w:hAnsi="Arial" w:cs="Arial"/>
                <w:sz w:val="18"/>
              </w:rPr>
            </w:pPr>
            <w:r w:rsidRPr="00303177">
              <w:rPr>
                <w:rFonts w:ascii="Arial" w:hAnsi="Arial" w:cs="Arial"/>
                <w:sz w:val="18"/>
              </w:rPr>
              <w:t>Cumulative</w:t>
            </w:r>
            <w:r w:rsidR="000807B2">
              <w:rPr>
                <w:rFonts w:ascii="Arial" w:hAnsi="Arial" w:cs="Arial"/>
                <w:sz w:val="18"/>
              </w:rPr>
              <w:t xml:space="preserve"> new infections</w:t>
            </w:r>
          </w:p>
        </w:tc>
        <w:tc>
          <w:tcPr>
            <w:tcW w:w="2340" w:type="dxa"/>
          </w:tcPr>
          <w:p w14:paraId="49EF1817" w14:textId="2C35BD79" w:rsidR="00303177" w:rsidRPr="00303177" w:rsidRDefault="00303177" w:rsidP="00074CE0">
            <w:pPr>
              <w:spacing w:after="0"/>
              <w:rPr>
                <w:rFonts w:ascii="Arial" w:hAnsi="Arial" w:cs="Arial"/>
                <w:sz w:val="18"/>
              </w:rPr>
            </w:pPr>
            <w:r w:rsidRPr="00303177">
              <w:rPr>
                <w:rFonts w:ascii="Arial" w:hAnsi="Arial" w:cs="Arial"/>
                <w:sz w:val="18"/>
              </w:rPr>
              <w:t>150,</w:t>
            </w:r>
            <w:r w:rsidR="000336EB">
              <w:rPr>
                <w:rFonts w:ascii="Arial" w:hAnsi="Arial" w:cs="Arial"/>
                <w:sz w:val="18"/>
              </w:rPr>
              <w:t>000</w:t>
            </w:r>
          </w:p>
        </w:tc>
        <w:tc>
          <w:tcPr>
            <w:tcW w:w="2335" w:type="dxa"/>
          </w:tcPr>
          <w:p w14:paraId="747BFF19" w14:textId="24B28BB2" w:rsidR="00303177" w:rsidRPr="00303177" w:rsidRDefault="00303177" w:rsidP="00074CE0">
            <w:pPr>
              <w:spacing w:after="0"/>
              <w:rPr>
                <w:rFonts w:ascii="Arial" w:hAnsi="Arial" w:cs="Arial"/>
                <w:sz w:val="18"/>
              </w:rPr>
            </w:pPr>
            <w:r w:rsidRPr="00303177">
              <w:rPr>
                <w:rFonts w:ascii="Arial" w:hAnsi="Arial" w:cs="Arial"/>
                <w:sz w:val="18"/>
              </w:rPr>
              <w:t>7</w:t>
            </w:r>
            <w:r w:rsidR="000336EB">
              <w:rPr>
                <w:rFonts w:ascii="Arial" w:hAnsi="Arial" w:cs="Arial"/>
                <w:sz w:val="18"/>
              </w:rPr>
              <w:t>5,000</w:t>
            </w:r>
          </w:p>
        </w:tc>
      </w:tr>
      <w:tr w:rsidR="00303177" w:rsidRPr="00303177" w14:paraId="1EAB6A23" w14:textId="77777777" w:rsidTr="00074CE0">
        <w:trPr>
          <w:trHeight w:val="209"/>
        </w:trPr>
        <w:tc>
          <w:tcPr>
            <w:tcW w:w="4675" w:type="dxa"/>
          </w:tcPr>
          <w:p w14:paraId="2AE6A1B8" w14:textId="4CDAE199" w:rsidR="00303177" w:rsidRPr="00303177" w:rsidRDefault="000807B2" w:rsidP="00074CE0">
            <w:pPr>
              <w:spacing w:after="0"/>
              <w:rPr>
                <w:rFonts w:ascii="Arial" w:hAnsi="Arial" w:cs="Arial"/>
                <w:sz w:val="18"/>
              </w:rPr>
            </w:pPr>
            <w:r>
              <w:rPr>
                <w:rFonts w:ascii="Arial" w:hAnsi="Arial" w:cs="Arial"/>
                <w:sz w:val="18"/>
              </w:rPr>
              <w:t>New infections in 2030</w:t>
            </w:r>
          </w:p>
        </w:tc>
        <w:tc>
          <w:tcPr>
            <w:tcW w:w="2340" w:type="dxa"/>
          </w:tcPr>
          <w:p w14:paraId="6CD6D287" w14:textId="70A6031A" w:rsidR="00303177" w:rsidRPr="00303177" w:rsidRDefault="00303177" w:rsidP="00074CE0">
            <w:pPr>
              <w:spacing w:after="0"/>
              <w:rPr>
                <w:rFonts w:ascii="Arial" w:hAnsi="Arial" w:cs="Arial"/>
                <w:sz w:val="18"/>
              </w:rPr>
            </w:pPr>
            <w:r w:rsidRPr="00303177">
              <w:rPr>
                <w:rFonts w:ascii="Arial" w:hAnsi="Arial" w:cs="Arial"/>
                <w:sz w:val="18"/>
              </w:rPr>
              <w:t>13,0</w:t>
            </w:r>
            <w:r w:rsidR="000336EB">
              <w:rPr>
                <w:rFonts w:ascii="Arial" w:hAnsi="Arial" w:cs="Arial"/>
                <w:sz w:val="18"/>
              </w:rPr>
              <w:t>00</w:t>
            </w:r>
          </w:p>
        </w:tc>
        <w:tc>
          <w:tcPr>
            <w:tcW w:w="2335" w:type="dxa"/>
          </w:tcPr>
          <w:p w14:paraId="08577836" w14:textId="2BD1FBAD" w:rsidR="00303177" w:rsidRPr="00303177" w:rsidRDefault="000336EB" w:rsidP="00074CE0">
            <w:pPr>
              <w:spacing w:after="0"/>
              <w:rPr>
                <w:rFonts w:ascii="Arial" w:hAnsi="Arial" w:cs="Arial"/>
                <w:sz w:val="18"/>
              </w:rPr>
            </w:pPr>
            <w:r>
              <w:rPr>
                <w:rFonts w:ascii="Arial" w:hAnsi="Arial" w:cs="Arial"/>
                <w:sz w:val="18"/>
              </w:rPr>
              <w:t>4,000</w:t>
            </w:r>
          </w:p>
        </w:tc>
      </w:tr>
      <w:tr w:rsidR="00303177" w:rsidRPr="00303177" w14:paraId="3D2DF1FA" w14:textId="77777777" w:rsidTr="00074CE0">
        <w:trPr>
          <w:trHeight w:val="209"/>
        </w:trPr>
        <w:tc>
          <w:tcPr>
            <w:tcW w:w="4675" w:type="dxa"/>
          </w:tcPr>
          <w:p w14:paraId="3113953C" w14:textId="040D883F" w:rsidR="00303177" w:rsidRPr="00303177" w:rsidRDefault="000807B2" w:rsidP="00074CE0">
            <w:pPr>
              <w:spacing w:after="0"/>
              <w:rPr>
                <w:rFonts w:ascii="Arial" w:hAnsi="Arial" w:cs="Arial"/>
                <w:sz w:val="18"/>
              </w:rPr>
            </w:pPr>
            <w:r>
              <w:rPr>
                <w:rFonts w:ascii="Arial" w:hAnsi="Arial" w:cs="Arial"/>
                <w:sz w:val="18"/>
              </w:rPr>
              <w:t>Percent</w:t>
            </w:r>
            <w:r w:rsidR="00303177" w:rsidRPr="00303177">
              <w:rPr>
                <w:rFonts w:ascii="Arial" w:hAnsi="Arial" w:cs="Arial"/>
                <w:sz w:val="18"/>
              </w:rPr>
              <w:t xml:space="preserve"> change 2019-2030</w:t>
            </w:r>
          </w:p>
        </w:tc>
        <w:tc>
          <w:tcPr>
            <w:tcW w:w="2340" w:type="dxa"/>
          </w:tcPr>
          <w:p w14:paraId="5750F470" w14:textId="77777777" w:rsidR="00303177" w:rsidRPr="00303177" w:rsidRDefault="00303177" w:rsidP="00074CE0">
            <w:pPr>
              <w:spacing w:after="0"/>
              <w:rPr>
                <w:rFonts w:ascii="Arial" w:hAnsi="Arial" w:cs="Arial"/>
                <w:sz w:val="18"/>
              </w:rPr>
            </w:pPr>
            <w:r w:rsidRPr="00303177">
              <w:rPr>
                <w:rFonts w:ascii="Arial" w:hAnsi="Arial" w:cs="Arial"/>
                <w:sz w:val="18"/>
              </w:rPr>
              <w:t>+9%</w:t>
            </w:r>
          </w:p>
        </w:tc>
        <w:tc>
          <w:tcPr>
            <w:tcW w:w="2335" w:type="dxa"/>
          </w:tcPr>
          <w:p w14:paraId="57BE5E21" w14:textId="77777777" w:rsidR="00303177" w:rsidRPr="00303177" w:rsidRDefault="00303177" w:rsidP="00074CE0">
            <w:pPr>
              <w:spacing w:after="0"/>
              <w:rPr>
                <w:rFonts w:ascii="Arial" w:hAnsi="Arial" w:cs="Arial"/>
                <w:sz w:val="18"/>
              </w:rPr>
            </w:pPr>
            <w:r w:rsidRPr="00303177">
              <w:rPr>
                <w:rFonts w:ascii="Arial" w:hAnsi="Arial" w:cs="Arial"/>
                <w:sz w:val="18"/>
              </w:rPr>
              <w:t>-67%</w:t>
            </w:r>
          </w:p>
        </w:tc>
      </w:tr>
      <w:tr w:rsidR="00303177" w:rsidRPr="00303177" w14:paraId="35553526" w14:textId="77777777" w:rsidTr="00074CE0">
        <w:trPr>
          <w:trHeight w:val="209"/>
        </w:trPr>
        <w:tc>
          <w:tcPr>
            <w:tcW w:w="7015" w:type="dxa"/>
            <w:gridSpan w:val="2"/>
            <w:shd w:val="clear" w:color="auto" w:fill="D9D9D9" w:themeFill="background1" w:themeFillShade="D9"/>
          </w:tcPr>
          <w:p w14:paraId="26A8E36E" w14:textId="77777777" w:rsidR="00303177" w:rsidRPr="00303177" w:rsidRDefault="00303177" w:rsidP="00074CE0">
            <w:pPr>
              <w:spacing w:after="0"/>
              <w:rPr>
                <w:rFonts w:ascii="Arial" w:hAnsi="Arial" w:cs="Arial"/>
                <w:sz w:val="18"/>
              </w:rPr>
            </w:pPr>
            <w:r w:rsidRPr="00303177">
              <w:rPr>
                <w:rFonts w:ascii="Arial" w:hAnsi="Arial" w:cs="Arial"/>
                <w:b/>
                <w:sz w:val="18"/>
              </w:rPr>
              <w:t>AIDS-related deaths</w:t>
            </w:r>
          </w:p>
        </w:tc>
        <w:tc>
          <w:tcPr>
            <w:tcW w:w="2335" w:type="dxa"/>
            <w:shd w:val="clear" w:color="auto" w:fill="D9D9D9" w:themeFill="background1" w:themeFillShade="D9"/>
          </w:tcPr>
          <w:p w14:paraId="3829C41C" w14:textId="77777777" w:rsidR="00303177" w:rsidRPr="00303177" w:rsidRDefault="00303177" w:rsidP="00074CE0">
            <w:pPr>
              <w:spacing w:after="0"/>
              <w:rPr>
                <w:rFonts w:ascii="Arial" w:hAnsi="Arial" w:cs="Arial"/>
                <w:b/>
                <w:sz w:val="18"/>
              </w:rPr>
            </w:pPr>
          </w:p>
        </w:tc>
      </w:tr>
      <w:tr w:rsidR="00303177" w:rsidRPr="00303177" w14:paraId="0074C9A6" w14:textId="77777777" w:rsidTr="00074CE0">
        <w:trPr>
          <w:trHeight w:val="209"/>
        </w:trPr>
        <w:tc>
          <w:tcPr>
            <w:tcW w:w="4675" w:type="dxa"/>
          </w:tcPr>
          <w:p w14:paraId="20E4B784" w14:textId="44B7005D" w:rsidR="00303177" w:rsidRPr="00303177" w:rsidRDefault="00303177" w:rsidP="00074CE0">
            <w:pPr>
              <w:spacing w:after="0"/>
              <w:rPr>
                <w:rFonts w:ascii="Arial" w:hAnsi="Arial" w:cs="Arial"/>
                <w:sz w:val="18"/>
              </w:rPr>
            </w:pPr>
            <w:r w:rsidRPr="00303177">
              <w:rPr>
                <w:rFonts w:ascii="Arial" w:hAnsi="Arial" w:cs="Arial"/>
                <w:sz w:val="18"/>
              </w:rPr>
              <w:t>Cumulative</w:t>
            </w:r>
            <w:r w:rsidR="000807B2">
              <w:rPr>
                <w:rFonts w:ascii="Arial" w:hAnsi="Arial" w:cs="Arial"/>
                <w:sz w:val="18"/>
              </w:rPr>
              <w:t xml:space="preserve"> deaths</w:t>
            </w:r>
          </w:p>
        </w:tc>
        <w:tc>
          <w:tcPr>
            <w:tcW w:w="2340" w:type="dxa"/>
          </w:tcPr>
          <w:p w14:paraId="01610C16" w14:textId="31B0DFCF" w:rsidR="00303177" w:rsidRPr="00303177" w:rsidRDefault="00303177" w:rsidP="00074CE0">
            <w:pPr>
              <w:spacing w:after="0"/>
              <w:rPr>
                <w:rFonts w:ascii="Arial" w:hAnsi="Arial" w:cs="Arial"/>
                <w:sz w:val="18"/>
              </w:rPr>
            </w:pPr>
            <w:r w:rsidRPr="00303177">
              <w:rPr>
                <w:rFonts w:ascii="Arial" w:hAnsi="Arial" w:cs="Arial"/>
                <w:sz w:val="18"/>
              </w:rPr>
              <w:t>4</w:t>
            </w:r>
            <w:r w:rsidR="000336EB">
              <w:rPr>
                <w:rFonts w:ascii="Arial" w:hAnsi="Arial" w:cs="Arial"/>
                <w:sz w:val="18"/>
              </w:rPr>
              <w:t>08,000</w:t>
            </w:r>
          </w:p>
        </w:tc>
        <w:tc>
          <w:tcPr>
            <w:tcW w:w="2335" w:type="dxa"/>
          </w:tcPr>
          <w:p w14:paraId="03196643" w14:textId="6986D85F" w:rsidR="00303177" w:rsidRPr="00303177" w:rsidRDefault="00303177" w:rsidP="00074CE0">
            <w:pPr>
              <w:spacing w:after="0"/>
              <w:rPr>
                <w:rFonts w:ascii="Arial" w:hAnsi="Arial" w:cs="Arial"/>
                <w:sz w:val="18"/>
              </w:rPr>
            </w:pPr>
            <w:r w:rsidRPr="00303177">
              <w:rPr>
                <w:rFonts w:ascii="Arial" w:hAnsi="Arial" w:cs="Arial"/>
                <w:sz w:val="18"/>
              </w:rPr>
              <w:t>2</w:t>
            </w:r>
            <w:r w:rsidR="000336EB">
              <w:rPr>
                <w:rFonts w:ascii="Arial" w:hAnsi="Arial" w:cs="Arial"/>
                <w:sz w:val="18"/>
              </w:rPr>
              <w:t>20,000</w:t>
            </w:r>
          </w:p>
        </w:tc>
      </w:tr>
      <w:tr w:rsidR="00303177" w:rsidRPr="00303177" w14:paraId="3FF7B56C" w14:textId="77777777" w:rsidTr="00074CE0">
        <w:trPr>
          <w:trHeight w:val="209"/>
        </w:trPr>
        <w:tc>
          <w:tcPr>
            <w:tcW w:w="4675" w:type="dxa"/>
          </w:tcPr>
          <w:p w14:paraId="1B6891DA" w14:textId="16308E50" w:rsidR="00303177" w:rsidRPr="00303177" w:rsidRDefault="000807B2" w:rsidP="00074CE0">
            <w:pPr>
              <w:spacing w:after="0"/>
              <w:rPr>
                <w:rFonts w:ascii="Arial" w:hAnsi="Arial" w:cs="Arial"/>
                <w:sz w:val="18"/>
              </w:rPr>
            </w:pPr>
            <w:r>
              <w:rPr>
                <w:rFonts w:ascii="Arial" w:hAnsi="Arial" w:cs="Arial"/>
                <w:sz w:val="18"/>
              </w:rPr>
              <w:t>Number of deaths</w:t>
            </w:r>
            <w:r w:rsidR="00303177" w:rsidRPr="00303177">
              <w:rPr>
                <w:rFonts w:ascii="Arial" w:hAnsi="Arial" w:cs="Arial"/>
                <w:sz w:val="18"/>
              </w:rPr>
              <w:t xml:space="preserve"> in 2030</w:t>
            </w:r>
          </w:p>
        </w:tc>
        <w:tc>
          <w:tcPr>
            <w:tcW w:w="2340" w:type="dxa"/>
          </w:tcPr>
          <w:p w14:paraId="15B0074D" w14:textId="75279BFC" w:rsidR="00303177" w:rsidRPr="00303177" w:rsidRDefault="00303177" w:rsidP="00074CE0">
            <w:pPr>
              <w:spacing w:after="0"/>
              <w:rPr>
                <w:rFonts w:ascii="Arial" w:hAnsi="Arial" w:cs="Arial"/>
                <w:sz w:val="18"/>
              </w:rPr>
            </w:pPr>
            <w:r w:rsidRPr="00303177">
              <w:rPr>
                <w:rFonts w:ascii="Arial" w:hAnsi="Arial" w:cs="Arial"/>
                <w:sz w:val="18"/>
              </w:rPr>
              <w:t>3</w:t>
            </w:r>
            <w:r w:rsidR="000336EB">
              <w:rPr>
                <w:rFonts w:ascii="Arial" w:hAnsi="Arial" w:cs="Arial"/>
                <w:sz w:val="18"/>
              </w:rPr>
              <w:t>9,000</w:t>
            </w:r>
          </w:p>
        </w:tc>
        <w:tc>
          <w:tcPr>
            <w:tcW w:w="2335" w:type="dxa"/>
          </w:tcPr>
          <w:p w14:paraId="1D14BF32" w14:textId="0B980CD5" w:rsidR="00303177" w:rsidRPr="00303177" w:rsidRDefault="00303177" w:rsidP="00074CE0">
            <w:pPr>
              <w:spacing w:after="0"/>
              <w:rPr>
                <w:rFonts w:ascii="Arial" w:hAnsi="Arial" w:cs="Arial"/>
                <w:sz w:val="18"/>
              </w:rPr>
            </w:pPr>
            <w:r w:rsidRPr="00303177">
              <w:rPr>
                <w:rFonts w:ascii="Arial" w:hAnsi="Arial" w:cs="Arial"/>
                <w:sz w:val="18"/>
              </w:rPr>
              <w:t>1</w:t>
            </w:r>
            <w:r w:rsidR="000336EB">
              <w:rPr>
                <w:rFonts w:ascii="Arial" w:hAnsi="Arial" w:cs="Arial"/>
                <w:sz w:val="18"/>
              </w:rPr>
              <w:t>4,000</w:t>
            </w:r>
          </w:p>
        </w:tc>
      </w:tr>
      <w:tr w:rsidR="00303177" w:rsidRPr="00303177" w14:paraId="597F7F94" w14:textId="77777777" w:rsidTr="00074CE0">
        <w:trPr>
          <w:trHeight w:val="209"/>
        </w:trPr>
        <w:tc>
          <w:tcPr>
            <w:tcW w:w="4675" w:type="dxa"/>
          </w:tcPr>
          <w:p w14:paraId="1CF7C0AC" w14:textId="5FD05A18" w:rsidR="00303177" w:rsidRPr="00303177" w:rsidRDefault="000807B2" w:rsidP="00074CE0">
            <w:pPr>
              <w:spacing w:after="0"/>
              <w:rPr>
                <w:rFonts w:ascii="Arial" w:hAnsi="Arial" w:cs="Arial"/>
                <w:sz w:val="18"/>
              </w:rPr>
            </w:pPr>
            <w:r>
              <w:rPr>
                <w:rFonts w:ascii="Arial" w:hAnsi="Arial" w:cs="Arial"/>
                <w:sz w:val="18"/>
              </w:rPr>
              <w:t>Percent</w:t>
            </w:r>
            <w:r w:rsidR="00303177" w:rsidRPr="00303177">
              <w:rPr>
                <w:rFonts w:ascii="Arial" w:hAnsi="Arial" w:cs="Arial"/>
                <w:sz w:val="18"/>
              </w:rPr>
              <w:t xml:space="preserve"> change 2019-2030</w:t>
            </w:r>
          </w:p>
        </w:tc>
        <w:tc>
          <w:tcPr>
            <w:tcW w:w="2340" w:type="dxa"/>
          </w:tcPr>
          <w:p w14:paraId="67A74CC4" w14:textId="77777777" w:rsidR="00303177" w:rsidRPr="00303177" w:rsidRDefault="00303177" w:rsidP="00074CE0">
            <w:pPr>
              <w:spacing w:after="0"/>
              <w:rPr>
                <w:rFonts w:ascii="Arial" w:hAnsi="Arial" w:cs="Arial"/>
                <w:sz w:val="18"/>
              </w:rPr>
            </w:pPr>
            <w:r w:rsidRPr="00303177">
              <w:rPr>
                <w:rFonts w:ascii="Arial" w:hAnsi="Arial" w:cs="Arial"/>
                <w:sz w:val="18"/>
              </w:rPr>
              <w:t>+36%</w:t>
            </w:r>
          </w:p>
        </w:tc>
        <w:tc>
          <w:tcPr>
            <w:tcW w:w="2335" w:type="dxa"/>
          </w:tcPr>
          <w:p w14:paraId="1838E395" w14:textId="77777777" w:rsidR="00303177" w:rsidRPr="00303177" w:rsidRDefault="00303177" w:rsidP="00074CE0">
            <w:pPr>
              <w:spacing w:after="0"/>
              <w:rPr>
                <w:rFonts w:ascii="Arial" w:hAnsi="Arial" w:cs="Arial"/>
                <w:sz w:val="18"/>
              </w:rPr>
            </w:pPr>
            <w:r w:rsidRPr="00303177">
              <w:rPr>
                <w:rFonts w:ascii="Arial" w:hAnsi="Arial" w:cs="Arial"/>
                <w:sz w:val="18"/>
              </w:rPr>
              <w:t>-56%</w:t>
            </w:r>
          </w:p>
        </w:tc>
      </w:tr>
      <w:tr w:rsidR="00303177" w:rsidRPr="00303177" w14:paraId="7C65F809" w14:textId="77777777" w:rsidTr="00074CE0">
        <w:trPr>
          <w:trHeight w:val="209"/>
        </w:trPr>
        <w:tc>
          <w:tcPr>
            <w:tcW w:w="4675" w:type="dxa"/>
          </w:tcPr>
          <w:p w14:paraId="0B4E304E" w14:textId="152FC6B1" w:rsidR="00303177" w:rsidRPr="00303177" w:rsidRDefault="00303177" w:rsidP="00074CE0">
            <w:pPr>
              <w:spacing w:after="0"/>
              <w:rPr>
                <w:rFonts w:ascii="Arial" w:hAnsi="Arial" w:cs="Arial"/>
                <w:sz w:val="18"/>
              </w:rPr>
            </w:pPr>
            <w:r w:rsidRPr="00303177">
              <w:rPr>
                <w:rFonts w:ascii="Arial" w:hAnsi="Arial" w:cs="Arial"/>
                <w:sz w:val="18"/>
              </w:rPr>
              <w:t>Fast Track target (</w:t>
            </w:r>
            <w:r w:rsidR="000807B2">
              <w:rPr>
                <w:rFonts w:ascii="Arial" w:hAnsi="Arial" w:cs="Arial"/>
                <w:sz w:val="18"/>
              </w:rPr>
              <w:t>Percent</w:t>
            </w:r>
            <w:r w:rsidRPr="00303177">
              <w:rPr>
                <w:rFonts w:ascii="Arial" w:hAnsi="Arial" w:cs="Arial"/>
                <w:sz w:val="18"/>
              </w:rPr>
              <w:t xml:space="preserve"> </w:t>
            </w:r>
            <w:r w:rsidR="000807B2">
              <w:rPr>
                <w:rFonts w:ascii="Arial" w:hAnsi="Arial" w:cs="Arial"/>
                <w:sz w:val="18"/>
              </w:rPr>
              <w:t>r</w:t>
            </w:r>
            <w:r w:rsidRPr="00303177">
              <w:rPr>
                <w:rFonts w:ascii="Arial" w:hAnsi="Arial" w:cs="Arial"/>
                <w:sz w:val="18"/>
              </w:rPr>
              <w:t>eduction 2010-2030)</w:t>
            </w:r>
          </w:p>
        </w:tc>
        <w:tc>
          <w:tcPr>
            <w:tcW w:w="2340" w:type="dxa"/>
          </w:tcPr>
          <w:p w14:paraId="519FC427" w14:textId="77777777" w:rsidR="00303177" w:rsidRPr="00303177" w:rsidRDefault="00303177" w:rsidP="00074CE0">
            <w:pPr>
              <w:spacing w:after="0"/>
              <w:rPr>
                <w:rFonts w:ascii="Arial" w:hAnsi="Arial" w:cs="Arial"/>
                <w:sz w:val="18"/>
              </w:rPr>
            </w:pPr>
            <w:r w:rsidRPr="00303177">
              <w:rPr>
                <w:rFonts w:ascii="Arial" w:hAnsi="Arial" w:cs="Arial"/>
                <w:sz w:val="18"/>
              </w:rPr>
              <w:t>-53%</w:t>
            </w:r>
          </w:p>
        </w:tc>
        <w:tc>
          <w:tcPr>
            <w:tcW w:w="2335" w:type="dxa"/>
          </w:tcPr>
          <w:p w14:paraId="7934DF43" w14:textId="77777777" w:rsidR="00303177" w:rsidRPr="00303177" w:rsidRDefault="00303177" w:rsidP="00074CE0">
            <w:pPr>
              <w:spacing w:after="0"/>
              <w:rPr>
                <w:rFonts w:ascii="Arial" w:hAnsi="Arial" w:cs="Arial"/>
                <w:sz w:val="18"/>
              </w:rPr>
            </w:pPr>
            <w:r w:rsidRPr="00303177">
              <w:rPr>
                <w:rFonts w:ascii="Arial" w:hAnsi="Arial" w:cs="Arial"/>
                <w:sz w:val="18"/>
              </w:rPr>
              <w:t>-83%</w:t>
            </w:r>
          </w:p>
        </w:tc>
      </w:tr>
      <w:tr w:rsidR="00303177" w:rsidRPr="00303177" w14:paraId="79C60D10" w14:textId="77777777" w:rsidTr="00074CE0">
        <w:trPr>
          <w:trHeight w:val="209"/>
        </w:trPr>
        <w:tc>
          <w:tcPr>
            <w:tcW w:w="7015" w:type="dxa"/>
            <w:gridSpan w:val="2"/>
            <w:shd w:val="clear" w:color="auto" w:fill="D9D9D9" w:themeFill="background1" w:themeFillShade="D9"/>
          </w:tcPr>
          <w:p w14:paraId="6EE96448" w14:textId="77777777" w:rsidR="00303177" w:rsidRPr="00303177" w:rsidRDefault="00303177" w:rsidP="00074CE0">
            <w:pPr>
              <w:spacing w:after="0"/>
              <w:rPr>
                <w:rFonts w:ascii="Arial" w:hAnsi="Arial" w:cs="Arial"/>
                <w:sz w:val="18"/>
              </w:rPr>
            </w:pPr>
            <w:r w:rsidRPr="00303177">
              <w:rPr>
                <w:rFonts w:ascii="Arial" w:hAnsi="Arial" w:cs="Arial"/>
                <w:b/>
                <w:sz w:val="18"/>
              </w:rPr>
              <w:t>Number on ART</w:t>
            </w:r>
          </w:p>
        </w:tc>
        <w:tc>
          <w:tcPr>
            <w:tcW w:w="2335" w:type="dxa"/>
            <w:shd w:val="clear" w:color="auto" w:fill="D9D9D9" w:themeFill="background1" w:themeFillShade="D9"/>
          </w:tcPr>
          <w:p w14:paraId="0AB91778" w14:textId="77777777" w:rsidR="00303177" w:rsidRPr="00303177" w:rsidRDefault="00303177" w:rsidP="00074CE0">
            <w:pPr>
              <w:spacing w:after="0"/>
              <w:rPr>
                <w:rFonts w:ascii="Arial" w:hAnsi="Arial" w:cs="Arial"/>
                <w:b/>
                <w:sz w:val="18"/>
              </w:rPr>
            </w:pPr>
          </w:p>
        </w:tc>
      </w:tr>
      <w:tr w:rsidR="00303177" w:rsidRPr="00303177" w14:paraId="543258EB" w14:textId="77777777" w:rsidTr="00074CE0">
        <w:trPr>
          <w:trHeight w:val="209"/>
        </w:trPr>
        <w:tc>
          <w:tcPr>
            <w:tcW w:w="4675" w:type="dxa"/>
          </w:tcPr>
          <w:p w14:paraId="3DF0210A" w14:textId="64E63137" w:rsidR="00303177" w:rsidRPr="00303177" w:rsidRDefault="000807B2" w:rsidP="00074CE0">
            <w:pPr>
              <w:spacing w:after="0"/>
              <w:rPr>
                <w:rFonts w:ascii="Arial" w:hAnsi="Arial" w:cs="Arial"/>
                <w:sz w:val="18"/>
              </w:rPr>
            </w:pPr>
            <w:r>
              <w:rPr>
                <w:rFonts w:ascii="Arial" w:hAnsi="Arial" w:cs="Arial"/>
                <w:sz w:val="18"/>
              </w:rPr>
              <w:t>Number on ART in</w:t>
            </w:r>
            <w:r w:rsidR="00303177" w:rsidRPr="00303177">
              <w:rPr>
                <w:rFonts w:ascii="Arial" w:hAnsi="Arial" w:cs="Arial"/>
                <w:sz w:val="18"/>
              </w:rPr>
              <w:t xml:space="preserve"> 2030</w:t>
            </w:r>
          </w:p>
        </w:tc>
        <w:tc>
          <w:tcPr>
            <w:tcW w:w="2340" w:type="dxa"/>
          </w:tcPr>
          <w:p w14:paraId="40304AC9" w14:textId="77777777" w:rsidR="00303177" w:rsidRPr="00303177" w:rsidRDefault="00303177" w:rsidP="00074CE0">
            <w:pPr>
              <w:spacing w:after="0"/>
              <w:rPr>
                <w:rFonts w:ascii="Arial" w:hAnsi="Arial" w:cs="Arial"/>
                <w:sz w:val="18"/>
              </w:rPr>
            </w:pPr>
            <w:r w:rsidRPr="00303177">
              <w:rPr>
                <w:rFonts w:ascii="Arial" w:hAnsi="Arial" w:cs="Arial"/>
                <w:sz w:val="18"/>
              </w:rPr>
              <w:t>1.10 Million</w:t>
            </w:r>
          </w:p>
          <w:p w14:paraId="17B1C5CE" w14:textId="77777777" w:rsidR="00303177" w:rsidRPr="00303177" w:rsidRDefault="00303177" w:rsidP="00074CE0">
            <w:pPr>
              <w:spacing w:after="0"/>
              <w:rPr>
                <w:rFonts w:ascii="Arial" w:hAnsi="Arial" w:cs="Arial"/>
                <w:sz w:val="18"/>
              </w:rPr>
            </w:pPr>
            <w:r w:rsidRPr="00303177">
              <w:rPr>
                <w:rFonts w:ascii="Arial" w:hAnsi="Arial" w:cs="Arial"/>
                <w:sz w:val="18"/>
              </w:rPr>
              <w:t>(68% of PLHIV)</w:t>
            </w:r>
          </w:p>
        </w:tc>
        <w:tc>
          <w:tcPr>
            <w:tcW w:w="2335" w:type="dxa"/>
          </w:tcPr>
          <w:p w14:paraId="19FE3FF0" w14:textId="77777777" w:rsidR="00303177" w:rsidRPr="00303177" w:rsidRDefault="00303177" w:rsidP="00074CE0">
            <w:pPr>
              <w:spacing w:after="0"/>
              <w:rPr>
                <w:rFonts w:ascii="Arial" w:hAnsi="Arial" w:cs="Arial"/>
                <w:sz w:val="18"/>
              </w:rPr>
            </w:pPr>
            <w:r w:rsidRPr="00303177">
              <w:rPr>
                <w:rFonts w:ascii="Arial" w:hAnsi="Arial" w:cs="Arial"/>
                <w:sz w:val="18"/>
              </w:rPr>
              <w:t xml:space="preserve">1.34 Million </w:t>
            </w:r>
          </w:p>
          <w:p w14:paraId="49E79455" w14:textId="77777777" w:rsidR="00303177" w:rsidRPr="00303177" w:rsidRDefault="00303177" w:rsidP="00074CE0">
            <w:pPr>
              <w:spacing w:after="0"/>
              <w:rPr>
                <w:rFonts w:ascii="Arial" w:hAnsi="Arial" w:cs="Arial"/>
                <w:sz w:val="18"/>
              </w:rPr>
            </w:pPr>
            <w:r w:rsidRPr="00303177">
              <w:rPr>
                <w:rFonts w:ascii="Arial" w:hAnsi="Arial" w:cs="Arial"/>
                <w:sz w:val="18"/>
              </w:rPr>
              <w:t>(87% of PLHIV)</w:t>
            </w:r>
          </w:p>
        </w:tc>
      </w:tr>
      <w:tr w:rsidR="00303177" w:rsidRPr="00303177" w14:paraId="44105AC7" w14:textId="77777777" w:rsidTr="00303177">
        <w:trPr>
          <w:trHeight w:val="209"/>
        </w:trPr>
        <w:tc>
          <w:tcPr>
            <w:tcW w:w="9350" w:type="dxa"/>
            <w:gridSpan w:val="3"/>
            <w:shd w:val="clear" w:color="auto" w:fill="D9D9D9" w:themeFill="background1" w:themeFillShade="D9"/>
          </w:tcPr>
          <w:p w14:paraId="169DF017" w14:textId="3A1AC5CC" w:rsidR="00303177" w:rsidRPr="00303177" w:rsidRDefault="00303177" w:rsidP="00074CE0">
            <w:pPr>
              <w:spacing w:after="0"/>
              <w:rPr>
                <w:rFonts w:ascii="Arial" w:hAnsi="Arial" w:cs="Arial"/>
                <w:b/>
                <w:sz w:val="18"/>
              </w:rPr>
            </w:pPr>
            <w:r w:rsidRPr="00303177">
              <w:rPr>
                <w:rFonts w:ascii="Arial" w:hAnsi="Arial" w:cs="Arial"/>
                <w:b/>
                <w:sz w:val="18"/>
              </w:rPr>
              <w:t>Resources needed</w:t>
            </w:r>
          </w:p>
        </w:tc>
      </w:tr>
      <w:tr w:rsidR="00303177" w:rsidRPr="00303177" w14:paraId="6559A081" w14:textId="77777777" w:rsidTr="00074CE0">
        <w:trPr>
          <w:trHeight w:val="209"/>
        </w:trPr>
        <w:tc>
          <w:tcPr>
            <w:tcW w:w="4675" w:type="dxa"/>
          </w:tcPr>
          <w:p w14:paraId="16CA9B19" w14:textId="41BF792F" w:rsidR="00303177" w:rsidRPr="002E0189" w:rsidRDefault="00303177" w:rsidP="00303177">
            <w:pPr>
              <w:spacing w:after="0"/>
              <w:rPr>
                <w:rFonts w:ascii="Arial" w:hAnsi="Arial" w:cs="Arial"/>
                <w:sz w:val="18"/>
                <w:szCs w:val="18"/>
              </w:rPr>
            </w:pPr>
            <w:r w:rsidRPr="002E0189">
              <w:rPr>
                <w:rFonts w:ascii="Arial" w:hAnsi="Arial" w:cs="Arial"/>
                <w:sz w:val="18"/>
                <w:szCs w:val="18"/>
              </w:rPr>
              <w:t xml:space="preserve">Cumulative </w:t>
            </w:r>
            <w:r w:rsidR="000807B2" w:rsidRPr="002E0189">
              <w:rPr>
                <w:rFonts w:ascii="Arial" w:hAnsi="Arial" w:cs="Arial"/>
                <w:sz w:val="18"/>
                <w:szCs w:val="18"/>
              </w:rPr>
              <w:t xml:space="preserve">resources needed </w:t>
            </w:r>
            <w:r w:rsidRPr="002E0189">
              <w:rPr>
                <w:rFonts w:ascii="Arial" w:hAnsi="Arial" w:cs="Arial"/>
                <w:sz w:val="18"/>
                <w:szCs w:val="18"/>
              </w:rPr>
              <w:t>2019-2030</w:t>
            </w:r>
          </w:p>
        </w:tc>
        <w:tc>
          <w:tcPr>
            <w:tcW w:w="2340" w:type="dxa"/>
          </w:tcPr>
          <w:p w14:paraId="75ACD6C3" w14:textId="14435A62" w:rsidR="00303177" w:rsidRPr="002E0189" w:rsidRDefault="00303177" w:rsidP="00303177">
            <w:pPr>
              <w:spacing w:after="0"/>
              <w:rPr>
                <w:rFonts w:ascii="Arial" w:hAnsi="Arial" w:cs="Arial"/>
                <w:sz w:val="18"/>
                <w:szCs w:val="18"/>
              </w:rPr>
            </w:pPr>
            <w:r w:rsidRPr="002E0189">
              <w:rPr>
                <w:rFonts w:ascii="Arial" w:hAnsi="Arial" w:cs="Arial"/>
                <w:sz w:val="18"/>
                <w:szCs w:val="18"/>
              </w:rPr>
              <w:t>5,783</w:t>
            </w:r>
          </w:p>
        </w:tc>
        <w:tc>
          <w:tcPr>
            <w:tcW w:w="2335" w:type="dxa"/>
          </w:tcPr>
          <w:p w14:paraId="02B7EF07" w14:textId="76EF2901" w:rsidR="00303177" w:rsidRPr="002E0189" w:rsidRDefault="00303177" w:rsidP="00303177">
            <w:pPr>
              <w:spacing w:after="0"/>
              <w:rPr>
                <w:rFonts w:ascii="Arial" w:hAnsi="Arial" w:cs="Arial"/>
                <w:sz w:val="18"/>
                <w:szCs w:val="18"/>
              </w:rPr>
            </w:pPr>
            <w:r w:rsidRPr="002E0189">
              <w:rPr>
                <w:rFonts w:ascii="Arial" w:hAnsi="Arial" w:cs="Arial"/>
                <w:sz w:val="18"/>
                <w:szCs w:val="18"/>
              </w:rPr>
              <w:t>8,097</w:t>
            </w:r>
          </w:p>
        </w:tc>
      </w:tr>
      <w:tr w:rsidR="00303177" w:rsidRPr="00303177" w14:paraId="37CF9A41" w14:textId="77777777" w:rsidTr="00074CE0">
        <w:trPr>
          <w:trHeight w:val="209"/>
        </w:trPr>
        <w:tc>
          <w:tcPr>
            <w:tcW w:w="4675" w:type="dxa"/>
          </w:tcPr>
          <w:p w14:paraId="2B44C3A2" w14:textId="6DFAFEAB" w:rsidR="00303177" w:rsidRPr="002E0189" w:rsidRDefault="000807B2" w:rsidP="00303177">
            <w:pPr>
              <w:spacing w:after="0"/>
              <w:rPr>
                <w:rFonts w:ascii="Arial" w:hAnsi="Arial" w:cs="Arial"/>
                <w:sz w:val="18"/>
                <w:szCs w:val="18"/>
              </w:rPr>
            </w:pPr>
            <w:r w:rsidRPr="002E0189">
              <w:rPr>
                <w:rFonts w:ascii="Arial" w:hAnsi="Arial" w:cs="Arial"/>
                <w:sz w:val="18"/>
                <w:szCs w:val="18"/>
              </w:rPr>
              <w:t>Resources needed</w:t>
            </w:r>
            <w:r w:rsidR="00303177" w:rsidRPr="002E0189">
              <w:rPr>
                <w:rFonts w:ascii="Arial" w:hAnsi="Arial" w:cs="Arial"/>
                <w:sz w:val="18"/>
                <w:szCs w:val="18"/>
              </w:rPr>
              <w:t xml:space="preserve"> in 2030</w:t>
            </w:r>
          </w:p>
        </w:tc>
        <w:tc>
          <w:tcPr>
            <w:tcW w:w="2340" w:type="dxa"/>
          </w:tcPr>
          <w:p w14:paraId="0811F60C" w14:textId="6D31E47E" w:rsidR="00303177" w:rsidRPr="002E0189" w:rsidRDefault="00303177" w:rsidP="00303177">
            <w:pPr>
              <w:spacing w:after="0"/>
              <w:rPr>
                <w:rFonts w:ascii="Arial" w:hAnsi="Arial" w:cs="Arial"/>
                <w:sz w:val="18"/>
                <w:szCs w:val="18"/>
              </w:rPr>
            </w:pPr>
            <w:r w:rsidRPr="002E0189">
              <w:rPr>
                <w:rFonts w:ascii="Arial" w:hAnsi="Arial" w:cs="Arial"/>
                <w:sz w:val="18"/>
                <w:szCs w:val="18"/>
              </w:rPr>
              <w:t>500</w:t>
            </w:r>
          </w:p>
        </w:tc>
        <w:tc>
          <w:tcPr>
            <w:tcW w:w="2335" w:type="dxa"/>
          </w:tcPr>
          <w:p w14:paraId="3418D5D2" w14:textId="2E179AEE" w:rsidR="00303177" w:rsidRPr="002E0189" w:rsidRDefault="00303177" w:rsidP="00303177">
            <w:pPr>
              <w:spacing w:after="0"/>
              <w:rPr>
                <w:rFonts w:ascii="Arial" w:hAnsi="Arial" w:cs="Arial"/>
                <w:sz w:val="18"/>
                <w:szCs w:val="18"/>
              </w:rPr>
            </w:pPr>
            <w:r w:rsidRPr="002E0189">
              <w:rPr>
                <w:rFonts w:ascii="Arial" w:hAnsi="Arial" w:cs="Arial"/>
                <w:sz w:val="18"/>
                <w:szCs w:val="18"/>
              </w:rPr>
              <w:t>839</w:t>
            </w:r>
          </w:p>
        </w:tc>
      </w:tr>
    </w:tbl>
    <w:p w14:paraId="55C173B3" w14:textId="77777777" w:rsidR="00BD2E89" w:rsidRDefault="00BD2E89" w:rsidP="005729B4">
      <w:pPr>
        <w:pStyle w:val="Heading1"/>
        <w:rPr>
          <w:rFonts w:ascii="Arial" w:hAnsi="Arial" w:cs="Arial"/>
          <w:b/>
          <w:color w:val="C00000"/>
        </w:rPr>
      </w:pPr>
      <w:bookmarkStart w:id="81" w:name="_Hlk10119555"/>
    </w:p>
    <w:p w14:paraId="14F7B4BA" w14:textId="025EF265" w:rsidR="005729B4" w:rsidRDefault="00BD2E89" w:rsidP="00D669BD">
      <w:pPr>
        <w:pStyle w:val="Heading1"/>
      </w:pPr>
      <w:r>
        <w:br w:type="page"/>
      </w:r>
      <w:bookmarkStart w:id="82" w:name="_Toc57035176"/>
      <w:r w:rsidR="00394CCE" w:rsidRPr="00A178D1">
        <w:rPr>
          <w:rFonts w:ascii="Arial" w:hAnsi="Arial" w:cs="Arial"/>
          <w:b/>
          <w:bCs/>
          <w:color w:val="C00000"/>
        </w:rPr>
        <w:t>CHA</w:t>
      </w:r>
      <w:r w:rsidR="00585A95" w:rsidRPr="00A178D1">
        <w:rPr>
          <w:rFonts w:ascii="Arial" w:hAnsi="Arial" w:cs="Arial"/>
          <w:b/>
          <w:bCs/>
          <w:color w:val="C00000"/>
        </w:rPr>
        <w:t>P</w:t>
      </w:r>
      <w:r w:rsidR="00394CCE" w:rsidRPr="00A178D1">
        <w:rPr>
          <w:rFonts w:ascii="Arial" w:hAnsi="Arial" w:cs="Arial"/>
          <w:b/>
          <w:bCs/>
          <w:color w:val="C00000"/>
        </w:rPr>
        <w:t xml:space="preserve">TER 5: </w:t>
      </w:r>
      <w:r w:rsidR="00142CB4" w:rsidRPr="00A178D1">
        <w:rPr>
          <w:rFonts w:ascii="Arial" w:hAnsi="Arial" w:cs="Arial"/>
          <w:b/>
          <w:bCs/>
          <w:color w:val="C00000"/>
        </w:rPr>
        <w:t>ACHIEVING NATIONAL GOALS MORE EFFICIENTLY</w:t>
      </w:r>
      <w:bookmarkEnd w:id="82"/>
      <w:r w:rsidR="005729B4" w:rsidRPr="00A178D1">
        <w:rPr>
          <w:color w:val="C00000"/>
        </w:rPr>
        <w:t xml:space="preserve"> </w:t>
      </w:r>
    </w:p>
    <w:p w14:paraId="02B50D0D" w14:textId="77777777" w:rsidR="00D669BD" w:rsidRPr="00D669BD" w:rsidRDefault="00D669BD"/>
    <w:p w14:paraId="4B8AC222" w14:textId="6B985842" w:rsidR="008661A5" w:rsidRDefault="008661A5" w:rsidP="008661A5">
      <w:pPr>
        <w:rPr>
          <w:rFonts w:ascii="Arial" w:hAnsi="Arial" w:cs="Arial"/>
          <w:color w:val="000000" w:themeColor="text1"/>
        </w:rPr>
      </w:pPr>
      <w:r>
        <w:rPr>
          <w:rFonts w:ascii="Arial" w:hAnsi="Arial" w:cs="Arial"/>
          <w:color w:val="000000" w:themeColor="text1"/>
        </w:rPr>
        <w:t xml:space="preserve">The impact that would come from the National Strategy would change the course of the epidemic and prevent hundreds of thousands of new infections and deaths -- if it could be financed. But the resource needs for the National Strategy are very high, perhaps even prohibitive, given Tanzania’s financing outlook. Current spending levels are half of what </w:t>
      </w:r>
      <w:r w:rsidR="00ED5792">
        <w:rPr>
          <w:rFonts w:ascii="Arial" w:hAnsi="Arial" w:cs="Arial"/>
          <w:color w:val="000000" w:themeColor="text1"/>
        </w:rPr>
        <w:t>would be</w:t>
      </w:r>
      <w:r>
        <w:rPr>
          <w:rFonts w:ascii="Arial" w:hAnsi="Arial" w:cs="Arial"/>
          <w:color w:val="000000" w:themeColor="text1"/>
        </w:rPr>
        <w:t xml:space="preserve"> required for the National Strategy in 2030 and the prospects for obtaining large amounts of additional HIV funds are doubtful.  Under these conditions, one option would be for the country to pursue greater efficiencies, making the money go further than it does today.</w:t>
      </w:r>
    </w:p>
    <w:p w14:paraId="5BE6FF81" w14:textId="1B45FEBA" w:rsidR="004C1923" w:rsidRDefault="006B6903" w:rsidP="004C1923">
      <w:pPr>
        <w:rPr>
          <w:rFonts w:ascii="Arial" w:hAnsi="Arial" w:cs="Arial"/>
          <w:color w:val="000000" w:themeColor="text1"/>
        </w:rPr>
      </w:pPr>
      <w:r>
        <w:rPr>
          <w:rFonts w:ascii="Arial" w:hAnsi="Arial" w:cs="Arial"/>
          <w:color w:val="000000" w:themeColor="text1"/>
        </w:rPr>
        <w:t xml:space="preserve">Is this possible? </w:t>
      </w:r>
      <w:r w:rsidR="00DF764D">
        <w:rPr>
          <w:rFonts w:ascii="Arial" w:hAnsi="Arial" w:cs="Arial"/>
          <w:color w:val="000000" w:themeColor="text1"/>
        </w:rPr>
        <w:t>Can Tanzania more efficiently</w:t>
      </w:r>
      <w:r w:rsidR="006B78FD">
        <w:rPr>
          <w:rFonts w:ascii="Arial" w:hAnsi="Arial" w:cs="Arial"/>
          <w:color w:val="000000" w:themeColor="text1"/>
        </w:rPr>
        <w:t xml:space="preserve"> further</w:t>
      </w:r>
      <w:r w:rsidR="00DF764D">
        <w:rPr>
          <w:rFonts w:ascii="Arial" w:hAnsi="Arial" w:cs="Arial"/>
          <w:color w:val="000000" w:themeColor="text1"/>
        </w:rPr>
        <w:t xml:space="preserve"> optimize</w:t>
      </w:r>
      <w:r w:rsidR="004C1923">
        <w:rPr>
          <w:rFonts w:ascii="Arial" w:hAnsi="Arial" w:cs="Arial"/>
          <w:color w:val="000000" w:themeColor="text1"/>
        </w:rPr>
        <w:t xml:space="preserve"> limited available funds?  </w:t>
      </w:r>
      <w:r w:rsidR="006B78FD">
        <w:rPr>
          <w:rFonts w:ascii="Arial" w:hAnsi="Arial" w:cs="Arial"/>
          <w:color w:val="000000" w:themeColor="text1"/>
        </w:rPr>
        <w:t>Efforts to optimize parts of the response have already been introduced—especially by PEPFAR who has pushed geographic prioritization and innovations in delivery modalities</w:t>
      </w:r>
      <w:r w:rsidR="00D669BD">
        <w:rPr>
          <w:rFonts w:ascii="Arial" w:hAnsi="Arial" w:cs="Arial"/>
          <w:color w:val="000000" w:themeColor="text1"/>
        </w:rPr>
        <w:t>, such as multi-month scripts</w:t>
      </w:r>
      <w:r w:rsidR="00F57EFE">
        <w:rPr>
          <w:rFonts w:ascii="Arial" w:hAnsi="Arial" w:cs="Arial"/>
          <w:color w:val="000000" w:themeColor="text1"/>
        </w:rPr>
        <w:t xml:space="preserve"> for stable patients</w:t>
      </w:r>
      <w:r w:rsidR="00D669BD">
        <w:rPr>
          <w:rFonts w:ascii="Arial" w:hAnsi="Arial" w:cs="Arial"/>
          <w:color w:val="000000" w:themeColor="text1"/>
        </w:rPr>
        <w:t xml:space="preserve"> and improved</w:t>
      </w:r>
      <w:r w:rsidR="00F57EFE">
        <w:rPr>
          <w:rFonts w:ascii="Arial" w:hAnsi="Arial" w:cs="Arial"/>
          <w:color w:val="000000" w:themeColor="text1"/>
        </w:rPr>
        <w:t>, more cost-effective</w:t>
      </w:r>
      <w:r w:rsidR="00D669BD">
        <w:rPr>
          <w:rFonts w:ascii="Arial" w:hAnsi="Arial" w:cs="Arial"/>
          <w:color w:val="000000" w:themeColor="text1"/>
        </w:rPr>
        <w:t xml:space="preserve"> first-line treatment regimens, i</w:t>
      </w:r>
      <w:r w:rsidR="00F57EFE">
        <w:rPr>
          <w:rFonts w:ascii="Arial" w:hAnsi="Arial" w:cs="Arial"/>
          <w:color w:val="000000" w:themeColor="text1"/>
        </w:rPr>
        <w:t xml:space="preserve">.e. </w:t>
      </w:r>
      <w:r w:rsidR="00D669BD">
        <w:rPr>
          <w:rFonts w:ascii="Arial" w:hAnsi="Arial" w:cs="Arial"/>
          <w:color w:val="000000" w:themeColor="text1"/>
        </w:rPr>
        <w:t>Dolutegravir</w:t>
      </w:r>
      <w:r w:rsidR="00F57EFE">
        <w:rPr>
          <w:rFonts w:ascii="Arial" w:hAnsi="Arial" w:cs="Arial"/>
          <w:color w:val="000000" w:themeColor="text1"/>
        </w:rPr>
        <w:t>-based regimens</w:t>
      </w:r>
      <w:r w:rsidR="00D669BD">
        <w:rPr>
          <w:rFonts w:ascii="Arial" w:hAnsi="Arial" w:cs="Arial"/>
          <w:color w:val="000000" w:themeColor="text1"/>
        </w:rPr>
        <w:t>.</w:t>
      </w:r>
      <w:r w:rsidR="006B78FD">
        <w:rPr>
          <w:rFonts w:ascii="Arial" w:hAnsi="Arial" w:cs="Arial"/>
          <w:color w:val="000000" w:themeColor="text1"/>
        </w:rPr>
        <w:t xml:space="preserve"> </w:t>
      </w:r>
      <w:r w:rsidR="004C1923">
        <w:rPr>
          <w:rFonts w:ascii="Arial" w:hAnsi="Arial" w:cs="Arial"/>
          <w:color w:val="000000" w:themeColor="text1"/>
        </w:rPr>
        <w:t xml:space="preserve">In this chapter, we explore how </w:t>
      </w:r>
      <w:r w:rsidR="006B78FD">
        <w:rPr>
          <w:rFonts w:ascii="Arial" w:hAnsi="Arial" w:cs="Arial"/>
          <w:color w:val="000000" w:themeColor="text1"/>
        </w:rPr>
        <w:t>optimization at scale</w:t>
      </w:r>
      <w:r w:rsidR="004C1923">
        <w:rPr>
          <w:rFonts w:ascii="Arial" w:hAnsi="Arial" w:cs="Arial"/>
          <w:color w:val="000000" w:themeColor="text1"/>
        </w:rPr>
        <w:t xml:space="preserve"> might happen, and apply such an optimization algorithm to the HIV funding available </w:t>
      </w:r>
      <w:r w:rsidR="00F57EFE">
        <w:rPr>
          <w:rFonts w:ascii="Arial" w:hAnsi="Arial" w:cs="Arial"/>
          <w:color w:val="000000" w:themeColor="text1"/>
        </w:rPr>
        <w:t>under the Constant Coverage scenario</w:t>
      </w:r>
      <w:r w:rsidR="004C1923">
        <w:rPr>
          <w:rFonts w:ascii="Arial" w:hAnsi="Arial" w:cs="Arial"/>
          <w:color w:val="000000" w:themeColor="text1"/>
        </w:rPr>
        <w:t xml:space="preserve"> to see </w:t>
      </w:r>
      <w:r w:rsidR="00F57EFE">
        <w:rPr>
          <w:rFonts w:ascii="Arial" w:hAnsi="Arial" w:cs="Arial"/>
          <w:color w:val="000000" w:themeColor="text1"/>
        </w:rPr>
        <w:t>what impact these funds could have beyond simply maintain the status qu</w:t>
      </w:r>
      <w:r w:rsidR="00116101">
        <w:rPr>
          <w:rFonts w:ascii="Arial" w:hAnsi="Arial" w:cs="Arial"/>
          <w:color w:val="000000" w:themeColor="text1"/>
        </w:rPr>
        <w:t>o</w:t>
      </w:r>
      <w:r w:rsidR="006D3341">
        <w:rPr>
          <w:rFonts w:ascii="Arial" w:hAnsi="Arial" w:cs="Arial"/>
          <w:color w:val="000000" w:themeColor="text1"/>
        </w:rPr>
        <w:t xml:space="preserve">. </w:t>
      </w:r>
      <w:r w:rsidR="004C1923">
        <w:rPr>
          <w:rFonts w:ascii="Arial" w:hAnsi="Arial" w:cs="Arial"/>
          <w:color w:val="000000" w:themeColor="text1"/>
        </w:rPr>
        <w:t xml:space="preserve">This is the Optimization – </w:t>
      </w:r>
      <w:r w:rsidR="00F57EFE">
        <w:rPr>
          <w:rFonts w:ascii="Arial" w:hAnsi="Arial" w:cs="Arial"/>
          <w:color w:val="000000" w:themeColor="text1"/>
        </w:rPr>
        <w:t>Constant Coverage</w:t>
      </w:r>
      <w:r w:rsidR="004C1923">
        <w:rPr>
          <w:rFonts w:ascii="Arial" w:hAnsi="Arial" w:cs="Arial"/>
          <w:color w:val="000000" w:themeColor="text1"/>
        </w:rPr>
        <w:t xml:space="preserve"> Funding (O-</w:t>
      </w:r>
      <w:r w:rsidR="00F57EFE">
        <w:rPr>
          <w:rFonts w:ascii="Arial" w:hAnsi="Arial" w:cs="Arial"/>
          <w:color w:val="000000" w:themeColor="text1"/>
        </w:rPr>
        <w:t>CC</w:t>
      </w:r>
      <w:r w:rsidR="004C1923">
        <w:rPr>
          <w:rFonts w:ascii="Arial" w:hAnsi="Arial" w:cs="Arial"/>
          <w:color w:val="000000" w:themeColor="text1"/>
        </w:rPr>
        <w:t xml:space="preserve">F) Scenario. </w:t>
      </w:r>
    </w:p>
    <w:p w14:paraId="23542439" w14:textId="47E623B1" w:rsidR="008661A5" w:rsidRDefault="008661A5" w:rsidP="008661A5">
      <w:pPr>
        <w:rPr>
          <w:rFonts w:ascii="Arial" w:hAnsi="Arial" w:cs="Arial"/>
        </w:rPr>
      </w:pPr>
      <w:r>
        <w:rPr>
          <w:rFonts w:ascii="Arial" w:hAnsi="Arial" w:cs="Arial"/>
        </w:rPr>
        <w:t>Two modalities for optimization are considered – prioritizing or allocating funds more efficiently, and technical efficiency measures achieved through technological or policy changes that reduce the unit cost of interventions.</w:t>
      </w:r>
      <w:r w:rsidR="003E5B97">
        <w:rPr>
          <w:rFonts w:ascii="Arial" w:hAnsi="Arial" w:cs="Arial"/>
        </w:rPr>
        <w:t xml:space="preserve"> </w:t>
      </w:r>
    </w:p>
    <w:p w14:paraId="15325B7B" w14:textId="13B03DAE" w:rsidR="00142CB4" w:rsidRDefault="00142CB4" w:rsidP="00F07840">
      <w:pPr>
        <w:pStyle w:val="Heading2"/>
        <w:rPr>
          <w:rFonts w:ascii="Arial" w:hAnsi="Arial" w:cs="Arial"/>
          <w:b/>
          <w:color w:val="000000" w:themeColor="text1"/>
        </w:rPr>
      </w:pPr>
      <w:bookmarkStart w:id="83" w:name="_Toc57035177"/>
      <w:r w:rsidRPr="00665BB5">
        <w:rPr>
          <w:rFonts w:ascii="Arial" w:hAnsi="Arial" w:cs="Arial"/>
          <w:b/>
          <w:color w:val="000000" w:themeColor="text1"/>
        </w:rPr>
        <w:t>Prioritization</w:t>
      </w:r>
      <w:r w:rsidR="00901184">
        <w:rPr>
          <w:rFonts w:ascii="Arial" w:hAnsi="Arial" w:cs="Arial"/>
          <w:b/>
          <w:color w:val="000000" w:themeColor="text1"/>
        </w:rPr>
        <w:t xml:space="preserve"> of prevention spending</w:t>
      </w:r>
      <w:bookmarkEnd w:id="83"/>
    </w:p>
    <w:p w14:paraId="59847BD1" w14:textId="77777777" w:rsidR="00F07840" w:rsidRPr="00A178D1" w:rsidRDefault="00F07840">
      <w:pPr>
        <w:spacing w:after="0"/>
        <w:rPr>
          <w:rFonts w:ascii="Arial" w:hAnsi="Arial" w:cs="Arial"/>
        </w:rPr>
      </w:pPr>
    </w:p>
    <w:p w14:paraId="4AC4F38A" w14:textId="47B729BD" w:rsidR="00F07840" w:rsidRPr="00D669BD" w:rsidRDefault="00F07840" w:rsidP="00F07840">
      <w:pPr>
        <w:pStyle w:val="Heading3"/>
        <w:rPr>
          <w:rFonts w:ascii="Arial" w:hAnsi="Arial" w:cs="Arial"/>
          <w:i/>
          <w:color w:val="000000" w:themeColor="text1"/>
        </w:rPr>
      </w:pPr>
      <w:bookmarkStart w:id="84" w:name="_Toc57035178"/>
      <w:r w:rsidRPr="00D669BD">
        <w:rPr>
          <w:rFonts w:ascii="Arial" w:hAnsi="Arial" w:cs="Arial"/>
          <w:i/>
          <w:color w:val="000000" w:themeColor="text1"/>
        </w:rPr>
        <w:t xml:space="preserve">Prioritization of </w:t>
      </w:r>
      <w:r w:rsidR="00901184">
        <w:rPr>
          <w:rFonts w:ascii="Arial" w:hAnsi="Arial" w:cs="Arial"/>
          <w:i/>
          <w:color w:val="000000" w:themeColor="text1"/>
        </w:rPr>
        <w:t xml:space="preserve">prevention </w:t>
      </w:r>
      <w:r w:rsidRPr="00D669BD">
        <w:rPr>
          <w:rFonts w:ascii="Arial" w:hAnsi="Arial" w:cs="Arial"/>
          <w:i/>
          <w:color w:val="000000" w:themeColor="text1"/>
        </w:rPr>
        <w:t>interventions</w:t>
      </w:r>
      <w:bookmarkEnd w:id="84"/>
    </w:p>
    <w:p w14:paraId="1796FB1A" w14:textId="77777777" w:rsidR="00E354AB" w:rsidRDefault="00E354AB" w:rsidP="00A178D1">
      <w:pPr>
        <w:spacing w:after="0"/>
        <w:rPr>
          <w:rFonts w:ascii="Arial" w:hAnsi="Arial" w:cs="Arial"/>
        </w:rPr>
      </w:pPr>
    </w:p>
    <w:p w14:paraId="7B78A7AD" w14:textId="48021E02" w:rsidR="004F10F6" w:rsidRDefault="00E354AB" w:rsidP="008661A5">
      <w:pPr>
        <w:rPr>
          <w:rFonts w:ascii="Arial" w:hAnsi="Arial" w:cs="Arial"/>
        </w:rPr>
      </w:pPr>
      <w:r>
        <w:rPr>
          <w:rFonts w:ascii="Arial" w:hAnsi="Arial" w:cs="Arial"/>
        </w:rPr>
        <w:t xml:space="preserve">The </w:t>
      </w:r>
      <w:r w:rsidR="00901184">
        <w:rPr>
          <w:rFonts w:ascii="Arial" w:hAnsi="Arial" w:cs="Arial"/>
        </w:rPr>
        <w:t>Constant Coverage</w:t>
      </w:r>
      <w:r>
        <w:rPr>
          <w:rFonts w:ascii="Arial" w:hAnsi="Arial" w:cs="Arial"/>
        </w:rPr>
        <w:t xml:space="preserve"> funding envelope would leave about USD 50-70 million annually for prevention interventions (about 10-15% of total resources). </w:t>
      </w:r>
      <w:r w:rsidR="008661A5">
        <w:rPr>
          <w:rFonts w:ascii="Arial" w:hAnsi="Arial" w:cs="Arial"/>
        </w:rPr>
        <w:t xml:space="preserve"> </w:t>
      </w:r>
      <w:r w:rsidR="00F3038F">
        <w:rPr>
          <w:rFonts w:ascii="Arial" w:hAnsi="Arial" w:cs="Arial"/>
        </w:rPr>
        <w:t>To maximize the impact of these limited prevention funds</w:t>
      </w:r>
      <w:r w:rsidR="004F10F6">
        <w:rPr>
          <w:rFonts w:ascii="Arial" w:hAnsi="Arial" w:cs="Arial"/>
        </w:rPr>
        <w:t xml:space="preserve"> </w:t>
      </w:r>
      <w:r w:rsidR="00F3038F">
        <w:rPr>
          <w:rFonts w:ascii="Arial" w:hAnsi="Arial" w:cs="Arial"/>
        </w:rPr>
        <w:t xml:space="preserve">from 2019-2030, </w:t>
      </w:r>
      <w:r w:rsidR="00D669BD">
        <w:rPr>
          <w:rFonts w:ascii="Arial" w:hAnsi="Arial" w:cs="Arial"/>
        </w:rPr>
        <w:t xml:space="preserve">additional efforts could be made to shift </w:t>
      </w:r>
      <w:r w:rsidR="004F10F6">
        <w:rPr>
          <w:rFonts w:ascii="Arial" w:hAnsi="Arial" w:cs="Arial"/>
        </w:rPr>
        <w:t>funding</w:t>
      </w:r>
      <w:r w:rsidR="00D669BD">
        <w:rPr>
          <w:rFonts w:ascii="Arial" w:hAnsi="Arial" w:cs="Arial"/>
        </w:rPr>
        <w:t xml:space="preserve"> towards the most cost-effective programs. The cost-effectiveness analysis showed that these interventions would be</w:t>
      </w:r>
      <w:r w:rsidR="008661A5">
        <w:rPr>
          <w:rFonts w:ascii="Arial" w:hAnsi="Arial" w:cs="Arial"/>
        </w:rPr>
        <w:t xml:space="preserve"> female sex workers, condom</w:t>
      </w:r>
      <w:r w:rsidR="00F3038F">
        <w:rPr>
          <w:rFonts w:ascii="Arial" w:hAnsi="Arial" w:cs="Arial"/>
        </w:rPr>
        <w:t xml:space="preserve"> provision, </w:t>
      </w:r>
      <w:r w:rsidR="008661A5">
        <w:rPr>
          <w:rFonts w:ascii="Arial" w:hAnsi="Arial" w:cs="Arial"/>
        </w:rPr>
        <w:t>VMMC</w:t>
      </w:r>
      <w:r w:rsidR="00F3038F">
        <w:rPr>
          <w:rFonts w:ascii="Arial" w:hAnsi="Arial" w:cs="Arial"/>
        </w:rPr>
        <w:t>, and mass media</w:t>
      </w:r>
      <w:r w:rsidR="00D669BD">
        <w:rPr>
          <w:rFonts w:ascii="Arial" w:hAnsi="Arial" w:cs="Arial"/>
        </w:rPr>
        <w:t>.</w:t>
      </w:r>
      <w:r w:rsidR="00F3038F">
        <w:rPr>
          <w:rFonts w:ascii="Arial" w:hAnsi="Arial" w:cs="Arial"/>
        </w:rPr>
        <w:t xml:space="preserve"> As these programs scale, the programs found to be less cost-effective would have to be partially scaled-back or paused</w:t>
      </w:r>
      <w:r w:rsidR="004F10F6">
        <w:rPr>
          <w:rFonts w:ascii="Arial" w:hAnsi="Arial" w:cs="Arial"/>
        </w:rPr>
        <w:t xml:space="preserve"> to free up additional funds</w:t>
      </w:r>
      <w:r w:rsidR="00F3038F">
        <w:rPr>
          <w:rFonts w:ascii="Arial" w:hAnsi="Arial" w:cs="Arial"/>
        </w:rPr>
        <w:t xml:space="preserve">. </w:t>
      </w:r>
      <w:r w:rsidR="004F10F6">
        <w:rPr>
          <w:rFonts w:ascii="Arial" w:hAnsi="Arial" w:cs="Arial"/>
        </w:rPr>
        <w:t>C</w:t>
      </w:r>
      <w:r w:rsidR="00F3038F">
        <w:rPr>
          <w:rFonts w:ascii="Arial" w:hAnsi="Arial" w:cs="Arial"/>
        </w:rPr>
        <w:t>ommunity mobilization and PrEP activities</w:t>
      </w:r>
      <w:r w:rsidR="004F10F6">
        <w:rPr>
          <w:rFonts w:ascii="Arial" w:hAnsi="Arial" w:cs="Arial"/>
        </w:rPr>
        <w:t xml:space="preserve"> should be paused under this approach </w:t>
      </w:r>
      <w:r w:rsidR="00201A39">
        <w:rPr>
          <w:rFonts w:ascii="Arial" w:hAnsi="Arial" w:cs="Arial"/>
        </w:rPr>
        <w:t xml:space="preserve">given that </w:t>
      </w:r>
      <w:r w:rsidR="004F10F6">
        <w:rPr>
          <w:rFonts w:ascii="Arial" w:hAnsi="Arial" w:cs="Arial"/>
        </w:rPr>
        <w:t>their</w:t>
      </w:r>
      <w:r w:rsidR="004948E4">
        <w:rPr>
          <w:rFonts w:ascii="Arial" w:hAnsi="Arial" w:cs="Arial"/>
        </w:rPr>
        <w:t xml:space="preserve"> baseline</w:t>
      </w:r>
      <w:r w:rsidR="00201A39">
        <w:rPr>
          <w:rFonts w:ascii="Arial" w:hAnsi="Arial" w:cs="Arial"/>
        </w:rPr>
        <w:t xml:space="preserve"> coverage is low and</w:t>
      </w:r>
      <w:r w:rsidR="004F10F6">
        <w:rPr>
          <w:rFonts w:ascii="Arial" w:hAnsi="Arial" w:cs="Arial"/>
        </w:rPr>
        <w:t xml:space="preserve"> their</w:t>
      </w:r>
      <w:r w:rsidR="00201A39">
        <w:rPr>
          <w:rFonts w:ascii="Arial" w:hAnsi="Arial" w:cs="Arial"/>
        </w:rPr>
        <w:t xml:space="preserve"> cost-effectiveness is not favorable</w:t>
      </w:r>
      <w:r w:rsidR="004F10F6">
        <w:rPr>
          <w:rFonts w:ascii="Arial" w:hAnsi="Arial" w:cs="Arial"/>
        </w:rPr>
        <w:t xml:space="preserve"> to justify scale-up compared to other prevention interventions. Cash</w:t>
      </w:r>
      <w:r w:rsidR="00F3038F">
        <w:rPr>
          <w:rFonts w:ascii="Arial" w:hAnsi="Arial" w:cs="Arial"/>
        </w:rPr>
        <w:t xml:space="preserve"> transfers </w:t>
      </w:r>
      <w:r w:rsidR="004F10F6">
        <w:rPr>
          <w:rFonts w:ascii="Arial" w:hAnsi="Arial" w:cs="Arial"/>
        </w:rPr>
        <w:t xml:space="preserve">for AGYW </w:t>
      </w:r>
      <w:r w:rsidR="00F3038F">
        <w:rPr>
          <w:rFonts w:ascii="Arial" w:hAnsi="Arial" w:cs="Arial"/>
        </w:rPr>
        <w:t>and outreach for MSM and PWID would</w:t>
      </w:r>
      <w:r w:rsidR="006B78FD">
        <w:rPr>
          <w:rFonts w:ascii="Arial" w:hAnsi="Arial" w:cs="Arial"/>
        </w:rPr>
        <w:t xml:space="preserve"> remain at levels to maintain current programs but would</w:t>
      </w:r>
      <w:r w:rsidR="00F3038F">
        <w:rPr>
          <w:rFonts w:ascii="Arial" w:hAnsi="Arial" w:cs="Arial"/>
        </w:rPr>
        <w:t xml:space="preserve"> </w:t>
      </w:r>
      <w:r w:rsidR="00201A39">
        <w:rPr>
          <w:rFonts w:ascii="Arial" w:hAnsi="Arial" w:cs="Arial"/>
        </w:rPr>
        <w:t xml:space="preserve">see </w:t>
      </w:r>
      <w:r w:rsidR="006B78FD">
        <w:rPr>
          <w:rFonts w:ascii="Arial" w:hAnsi="Arial" w:cs="Arial"/>
        </w:rPr>
        <w:t xml:space="preserve">proportional </w:t>
      </w:r>
      <w:r w:rsidR="00201A39">
        <w:rPr>
          <w:rFonts w:ascii="Arial" w:hAnsi="Arial" w:cs="Arial"/>
        </w:rPr>
        <w:t xml:space="preserve">allocation reductions </w:t>
      </w:r>
      <w:r w:rsidR="004948E4">
        <w:rPr>
          <w:rFonts w:ascii="Arial" w:hAnsi="Arial" w:cs="Arial"/>
        </w:rPr>
        <w:t>as</w:t>
      </w:r>
      <w:r w:rsidR="004F10F6">
        <w:rPr>
          <w:rFonts w:ascii="Arial" w:hAnsi="Arial" w:cs="Arial"/>
        </w:rPr>
        <w:t xml:space="preserve"> FSW, VMMC, and condom</w:t>
      </w:r>
      <w:r w:rsidR="00201A39">
        <w:rPr>
          <w:rFonts w:ascii="Arial" w:hAnsi="Arial" w:cs="Arial"/>
        </w:rPr>
        <w:t xml:space="preserve"> interventions require more funds</w:t>
      </w:r>
      <w:r w:rsidR="00F3038F">
        <w:rPr>
          <w:rFonts w:ascii="Arial" w:hAnsi="Arial" w:cs="Arial"/>
        </w:rPr>
        <w:t>.</w:t>
      </w:r>
      <w:r w:rsidR="004F10F6">
        <w:rPr>
          <w:rFonts w:ascii="Arial" w:hAnsi="Arial" w:cs="Arial"/>
        </w:rPr>
        <w:t xml:space="preserve"> The benefits and costs of additional investments in AGYW comprehensive prevention is discussed in Chapter 8 given that AGYW are a priority population and additional investments may be justified from an equity lens.</w:t>
      </w:r>
      <w:r w:rsidR="00C00118">
        <w:rPr>
          <w:rFonts w:ascii="Arial" w:hAnsi="Arial" w:cs="Arial"/>
        </w:rPr>
        <w:t xml:space="preserve"> </w:t>
      </w:r>
      <w:r w:rsidR="00C00118" w:rsidRPr="008661A5">
        <w:rPr>
          <w:rFonts w:ascii="Arial" w:hAnsi="Arial" w:cs="Arial"/>
          <w:i/>
        </w:rPr>
        <w:t>Figure 5-1</w:t>
      </w:r>
      <w:r w:rsidR="00C00118">
        <w:rPr>
          <w:rFonts w:ascii="Arial" w:hAnsi="Arial" w:cs="Arial"/>
          <w:i/>
        </w:rPr>
        <w:t xml:space="preserve"> </w:t>
      </w:r>
      <w:r w:rsidR="00C00118">
        <w:rPr>
          <w:rFonts w:ascii="Arial" w:hAnsi="Arial" w:cs="Arial"/>
        </w:rPr>
        <w:t>shows the relative resource shifts for prevention funding for 2019-2030.</w:t>
      </w:r>
    </w:p>
    <w:p w14:paraId="505A2823" w14:textId="77777777" w:rsidR="003200C0" w:rsidRDefault="003200C0">
      <w:pPr>
        <w:rPr>
          <w:rFonts w:ascii="Arial" w:hAnsi="Arial" w:cs="Arial"/>
          <w:i/>
          <w:sz w:val="18"/>
        </w:rPr>
      </w:pPr>
      <w:r>
        <w:rPr>
          <w:rFonts w:ascii="Arial" w:hAnsi="Arial" w:cs="Arial"/>
          <w:i/>
          <w:sz w:val="18"/>
        </w:rPr>
        <w:br w:type="page"/>
      </w:r>
    </w:p>
    <w:p w14:paraId="4F07E6AA" w14:textId="25186776" w:rsidR="00EC5777" w:rsidRDefault="00CE35FC" w:rsidP="00613CA2">
      <w:pPr>
        <w:rPr>
          <w:rFonts w:ascii="Arial" w:hAnsi="Arial" w:cs="Arial"/>
          <w:b/>
        </w:rPr>
      </w:pPr>
      <w:r w:rsidRPr="008544A5">
        <w:rPr>
          <w:rFonts w:ascii="Arial" w:hAnsi="Arial" w:cs="Arial"/>
          <w:i/>
          <w:sz w:val="18"/>
        </w:rPr>
        <w:t xml:space="preserve">Figure 5-1. </w:t>
      </w:r>
      <w:r w:rsidR="002D4C61">
        <w:rPr>
          <w:rFonts w:ascii="Arial" w:hAnsi="Arial" w:cs="Arial"/>
          <w:i/>
          <w:sz w:val="18"/>
        </w:rPr>
        <w:t>Constant Coverage</w:t>
      </w:r>
      <w:r w:rsidRPr="008544A5">
        <w:rPr>
          <w:rFonts w:ascii="Arial" w:hAnsi="Arial" w:cs="Arial"/>
          <w:i/>
          <w:sz w:val="18"/>
        </w:rPr>
        <w:t xml:space="preserve"> vs Optimization-</w:t>
      </w:r>
      <w:r w:rsidR="002D4C61">
        <w:rPr>
          <w:rFonts w:ascii="Arial" w:hAnsi="Arial" w:cs="Arial"/>
          <w:i/>
          <w:sz w:val="18"/>
        </w:rPr>
        <w:t>CC</w:t>
      </w:r>
      <w:r w:rsidRPr="008544A5">
        <w:rPr>
          <w:rFonts w:ascii="Arial" w:hAnsi="Arial" w:cs="Arial"/>
          <w:i/>
          <w:sz w:val="18"/>
        </w:rPr>
        <w:t xml:space="preserve">F Resource Allocation 2019-2030 (Prevention Interventions) </w:t>
      </w:r>
    </w:p>
    <w:p w14:paraId="4F3342C9" w14:textId="1F1FB8C5" w:rsidR="00201A39" w:rsidRPr="00201A39" w:rsidRDefault="00556BDF" w:rsidP="00613CA2">
      <w:pPr>
        <w:rPr>
          <w:rFonts w:ascii="Arial" w:hAnsi="Arial" w:cs="Arial"/>
          <w:b/>
        </w:rPr>
      </w:pPr>
      <w:r>
        <w:rPr>
          <w:noProof/>
        </w:rPr>
        <w:drawing>
          <wp:inline distT="0" distB="0" distL="0" distR="0" wp14:anchorId="401A5D1E" wp14:editId="5E4E72DB">
            <wp:extent cx="6019800" cy="1856509"/>
            <wp:effectExtent l="0" t="0" r="0" b="10795"/>
            <wp:docPr id="103" name="Chart 103">
              <a:extLst xmlns:a="http://schemas.openxmlformats.org/drawingml/2006/main">
                <a:ext uri="{FF2B5EF4-FFF2-40B4-BE49-F238E27FC236}">
                  <a16:creationId xmlns:a16="http://schemas.microsoft.com/office/drawing/2014/main" id="{CF6D7DE5-8B20-4E2D-B8D3-661015B84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FBA341" w14:textId="58C3A75F" w:rsidR="00FD35E7" w:rsidRPr="008661A5" w:rsidRDefault="00FD35E7" w:rsidP="00FD35E7">
      <w:pPr>
        <w:rPr>
          <w:rFonts w:ascii="Arial" w:hAnsi="Arial" w:cs="Arial"/>
        </w:rPr>
      </w:pPr>
      <w:r>
        <w:rPr>
          <w:rFonts w:ascii="Arial" w:hAnsi="Arial" w:cs="Arial"/>
        </w:rPr>
        <w:t>The allocation shifts towards the more cost-effective interventions would occur gradually from 2019-2030. The FSW outreach funding would start by growing 1 M from 2020 to 2021, and then each year thereafter the budget increment would grow by approximately 1 M (increase of 2 M in 2022, 3 M in 2023, 4M in 2024, etc). In total, FSW outreach would grow from USD 20 M in 2019 to USD 40 M in 2030. VMMC funding would</w:t>
      </w:r>
      <w:r w:rsidR="002D5A0D">
        <w:rPr>
          <w:rFonts w:ascii="Arial" w:hAnsi="Arial" w:cs="Arial"/>
        </w:rPr>
        <w:t xml:space="preserve"> increase significantly in the early years, but then would fall as coverage is saturated. In the later years</w:t>
      </w:r>
      <w:r>
        <w:rPr>
          <w:rFonts w:ascii="Arial" w:hAnsi="Arial" w:cs="Arial"/>
        </w:rPr>
        <w:t xml:space="preserve"> </w:t>
      </w:r>
      <w:r w:rsidR="002D5A0D">
        <w:rPr>
          <w:rFonts w:ascii="Arial" w:hAnsi="Arial" w:cs="Arial"/>
        </w:rPr>
        <w:t>a</w:t>
      </w:r>
      <w:r>
        <w:rPr>
          <w:rFonts w:ascii="Arial" w:hAnsi="Arial" w:cs="Arial"/>
        </w:rPr>
        <w:t>s a new cohort of young males comes of ag</w:t>
      </w:r>
      <w:r w:rsidR="002D5A0D">
        <w:rPr>
          <w:rFonts w:ascii="Arial" w:hAnsi="Arial" w:cs="Arial"/>
        </w:rPr>
        <w:t>e</w:t>
      </w:r>
      <w:r>
        <w:rPr>
          <w:rFonts w:ascii="Arial" w:hAnsi="Arial" w:cs="Arial"/>
        </w:rPr>
        <w:t xml:space="preserve">, VMMC funding would start to increase again, by about 0.5 M annually starting in 2022. The increase in the condom allocation would be </w:t>
      </w:r>
      <w:r w:rsidR="002D5A0D">
        <w:rPr>
          <w:rFonts w:ascii="Arial" w:hAnsi="Arial" w:cs="Arial"/>
        </w:rPr>
        <w:t>the most</w:t>
      </w:r>
      <w:r>
        <w:rPr>
          <w:rFonts w:ascii="Arial" w:hAnsi="Arial" w:cs="Arial"/>
        </w:rPr>
        <w:t xml:space="preserve"> gradual, growing by about USD 250,000 annually beginning in 2021. Even though these budget increases </w:t>
      </w:r>
      <w:r w:rsidR="002D5A0D">
        <w:rPr>
          <w:rFonts w:ascii="Arial" w:hAnsi="Arial" w:cs="Arial"/>
        </w:rPr>
        <w:t>are at a slow pace</w:t>
      </w:r>
      <w:r>
        <w:rPr>
          <w:rFonts w:ascii="Arial" w:hAnsi="Arial" w:cs="Arial"/>
        </w:rPr>
        <w:t>,</w:t>
      </w:r>
      <w:r w:rsidR="002D5A0D">
        <w:rPr>
          <w:rFonts w:ascii="Arial" w:hAnsi="Arial" w:cs="Arial"/>
        </w:rPr>
        <w:t xml:space="preserve"> they could be significant changes given</w:t>
      </w:r>
      <w:r>
        <w:rPr>
          <w:rFonts w:ascii="Arial" w:hAnsi="Arial" w:cs="Arial"/>
        </w:rPr>
        <w:t xml:space="preserve"> they would have to be found in the budgets of other programs. </w:t>
      </w:r>
      <w:r w:rsidR="002D5A0D">
        <w:rPr>
          <w:rFonts w:ascii="Arial" w:hAnsi="Arial" w:cs="Arial"/>
        </w:rPr>
        <w:t>This analysis does not suggest that t</w:t>
      </w:r>
      <w:r>
        <w:rPr>
          <w:rFonts w:ascii="Arial" w:hAnsi="Arial" w:cs="Arial"/>
        </w:rPr>
        <w:t>hese other programs (</w:t>
      </w:r>
      <w:r w:rsidR="006B78FD">
        <w:rPr>
          <w:rFonts w:ascii="Arial" w:hAnsi="Arial" w:cs="Arial"/>
        </w:rPr>
        <w:t>BCC</w:t>
      </w:r>
      <w:r>
        <w:rPr>
          <w:rFonts w:ascii="Arial" w:hAnsi="Arial" w:cs="Arial"/>
        </w:rPr>
        <w:t>, cash transfers, etc) are</w:t>
      </w:r>
      <w:r w:rsidR="002D5A0D">
        <w:rPr>
          <w:rFonts w:ascii="Arial" w:hAnsi="Arial" w:cs="Arial"/>
        </w:rPr>
        <w:t xml:space="preserve"> </w:t>
      </w:r>
      <w:r>
        <w:rPr>
          <w:rFonts w:ascii="Arial" w:hAnsi="Arial" w:cs="Arial"/>
          <w:i/>
          <w:iCs/>
        </w:rPr>
        <w:t xml:space="preserve">ineffective. </w:t>
      </w:r>
      <w:r>
        <w:rPr>
          <w:rFonts w:ascii="Arial" w:hAnsi="Arial" w:cs="Arial"/>
        </w:rPr>
        <w:t xml:space="preserve">If more money were available in the coming years than currently projected, then they should be funded as well. These shifts are recommended only because of the tight funding situation. A possible solution to avoid any funding reductions for MSM and PWID outreach and cash transfers could be to identify cost-sharing opportunities with other disease programs or sectors. </w:t>
      </w:r>
    </w:p>
    <w:p w14:paraId="2AC39643" w14:textId="789F5431" w:rsidR="00EC5777" w:rsidRDefault="002F7F39" w:rsidP="00613CA2">
      <w:pPr>
        <w:rPr>
          <w:rFonts w:ascii="Arial" w:hAnsi="Arial" w:cs="Arial"/>
        </w:rPr>
      </w:pPr>
      <w:r>
        <w:rPr>
          <w:rFonts w:ascii="Arial" w:hAnsi="Arial" w:cs="Arial"/>
        </w:rPr>
        <w:t>How the</w:t>
      </w:r>
      <w:r w:rsidR="003B3CCE">
        <w:rPr>
          <w:rFonts w:ascii="Arial" w:hAnsi="Arial" w:cs="Arial"/>
        </w:rPr>
        <w:t xml:space="preserve"> </w:t>
      </w:r>
      <w:r w:rsidR="002108A4">
        <w:rPr>
          <w:rFonts w:ascii="Arial" w:hAnsi="Arial" w:cs="Arial"/>
        </w:rPr>
        <w:t xml:space="preserve">resource requirement for </w:t>
      </w:r>
      <w:r w:rsidR="003B3CCE">
        <w:rPr>
          <w:rFonts w:ascii="Arial" w:hAnsi="Arial" w:cs="Arial"/>
        </w:rPr>
        <w:t>these interventions</w:t>
      </w:r>
      <w:r>
        <w:rPr>
          <w:rFonts w:ascii="Arial" w:hAnsi="Arial" w:cs="Arial"/>
        </w:rPr>
        <w:t xml:space="preserve"> would change moving from </w:t>
      </w:r>
      <w:r w:rsidR="00C527FE">
        <w:rPr>
          <w:rFonts w:ascii="Arial" w:hAnsi="Arial" w:cs="Arial"/>
        </w:rPr>
        <w:t>CC</w:t>
      </w:r>
      <w:r>
        <w:rPr>
          <w:rFonts w:ascii="Arial" w:hAnsi="Arial" w:cs="Arial"/>
        </w:rPr>
        <w:t xml:space="preserve"> to Optimization</w:t>
      </w:r>
      <w:r w:rsidR="00294484">
        <w:rPr>
          <w:rFonts w:ascii="Arial" w:hAnsi="Arial" w:cs="Arial"/>
        </w:rPr>
        <w:t>-</w:t>
      </w:r>
      <w:r w:rsidR="00C527FE">
        <w:rPr>
          <w:rFonts w:ascii="Arial" w:hAnsi="Arial" w:cs="Arial"/>
        </w:rPr>
        <w:t>CC</w:t>
      </w:r>
      <w:r w:rsidR="00294484">
        <w:rPr>
          <w:rFonts w:ascii="Arial" w:hAnsi="Arial" w:cs="Arial"/>
        </w:rPr>
        <w:t>F</w:t>
      </w:r>
      <w:r w:rsidR="003B3CCE">
        <w:rPr>
          <w:rFonts w:ascii="Arial" w:hAnsi="Arial" w:cs="Arial"/>
        </w:rPr>
        <w:t xml:space="preserve"> is shown below for the year 2030 </w:t>
      </w:r>
      <w:r w:rsidR="008661A5">
        <w:rPr>
          <w:rFonts w:ascii="Arial" w:hAnsi="Arial" w:cs="Arial"/>
        </w:rPr>
        <w:t xml:space="preserve">individually </w:t>
      </w:r>
      <w:r w:rsidR="003730D5">
        <w:rPr>
          <w:rFonts w:ascii="Arial" w:hAnsi="Arial" w:cs="Arial"/>
        </w:rPr>
        <w:t>and cumulatively</w:t>
      </w:r>
      <w:r w:rsidR="008661A5">
        <w:rPr>
          <w:rFonts w:ascii="Arial" w:hAnsi="Arial" w:cs="Arial"/>
        </w:rPr>
        <w:t xml:space="preserve"> for 2019-30</w:t>
      </w:r>
      <w:r w:rsidR="00294484">
        <w:rPr>
          <w:rFonts w:ascii="Arial" w:hAnsi="Arial" w:cs="Arial"/>
        </w:rPr>
        <w:t xml:space="preserve"> (</w:t>
      </w:r>
      <w:r w:rsidR="00C86D0D" w:rsidRPr="00585A95">
        <w:rPr>
          <w:rFonts w:ascii="Arial" w:hAnsi="Arial" w:cs="Arial"/>
          <w:i/>
        </w:rPr>
        <w:t>Figure</w:t>
      </w:r>
      <w:r w:rsidR="00294484" w:rsidRPr="00585A95">
        <w:rPr>
          <w:rFonts w:ascii="Arial" w:hAnsi="Arial" w:cs="Arial"/>
          <w:i/>
        </w:rPr>
        <w:t xml:space="preserve"> 5-</w:t>
      </w:r>
      <w:r w:rsidR="00CE35FC" w:rsidRPr="00585A95">
        <w:rPr>
          <w:rFonts w:ascii="Arial" w:hAnsi="Arial" w:cs="Arial"/>
          <w:i/>
        </w:rPr>
        <w:t>2</w:t>
      </w:r>
      <w:r w:rsidR="00294484">
        <w:rPr>
          <w:rFonts w:ascii="Arial" w:hAnsi="Arial" w:cs="Arial"/>
        </w:rPr>
        <w:t>)</w:t>
      </w:r>
      <w:r w:rsidR="00563627">
        <w:rPr>
          <w:rFonts w:ascii="Arial" w:hAnsi="Arial" w:cs="Arial"/>
        </w:rPr>
        <w:t>.</w:t>
      </w:r>
    </w:p>
    <w:p w14:paraId="662877FA" w14:textId="78319AC9" w:rsidR="00294484" w:rsidRPr="008544A5" w:rsidRDefault="00C86D0D" w:rsidP="00613CA2">
      <w:pPr>
        <w:rPr>
          <w:rFonts w:ascii="Arial" w:hAnsi="Arial" w:cs="Arial"/>
          <w:i/>
          <w:sz w:val="18"/>
        </w:rPr>
      </w:pPr>
      <w:r>
        <w:rPr>
          <w:rFonts w:ascii="Arial" w:hAnsi="Arial" w:cs="Arial"/>
          <w:i/>
          <w:sz w:val="18"/>
        </w:rPr>
        <w:t>Figure</w:t>
      </w:r>
      <w:r w:rsidR="00294484" w:rsidRPr="008544A5">
        <w:rPr>
          <w:rFonts w:ascii="Arial" w:hAnsi="Arial" w:cs="Arial"/>
          <w:i/>
          <w:sz w:val="18"/>
        </w:rPr>
        <w:t xml:space="preserve"> 5-</w:t>
      </w:r>
      <w:r w:rsidR="00CE35FC" w:rsidRPr="008544A5">
        <w:rPr>
          <w:rFonts w:ascii="Arial" w:hAnsi="Arial" w:cs="Arial"/>
          <w:i/>
          <w:sz w:val="18"/>
        </w:rPr>
        <w:t>2</w:t>
      </w:r>
      <w:r w:rsidR="00294484" w:rsidRPr="008544A5">
        <w:rPr>
          <w:rFonts w:ascii="Arial" w:hAnsi="Arial" w:cs="Arial"/>
          <w:i/>
          <w:sz w:val="18"/>
        </w:rPr>
        <w:t xml:space="preserve">. </w:t>
      </w:r>
      <w:r w:rsidR="00714721">
        <w:rPr>
          <w:rFonts w:ascii="Arial" w:hAnsi="Arial" w:cs="Arial"/>
          <w:i/>
          <w:sz w:val="18"/>
        </w:rPr>
        <w:t>Allocative efficiency recommendations for</w:t>
      </w:r>
      <w:r w:rsidR="00294484" w:rsidRPr="008544A5">
        <w:rPr>
          <w:rFonts w:ascii="Arial" w:hAnsi="Arial" w:cs="Arial"/>
          <w:i/>
          <w:sz w:val="18"/>
        </w:rPr>
        <w:t xml:space="preserve"> prevention interventions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705"/>
        <w:gridCol w:w="2065"/>
        <w:gridCol w:w="1985"/>
        <w:gridCol w:w="2520"/>
      </w:tblGrid>
      <w:tr w:rsidR="00AC0BA6" w:rsidRPr="00AC0BA6" w14:paraId="124E484B" w14:textId="66824225" w:rsidTr="00901184">
        <w:trPr>
          <w:trHeight w:val="263"/>
        </w:trPr>
        <w:tc>
          <w:tcPr>
            <w:tcW w:w="1530" w:type="dxa"/>
          </w:tcPr>
          <w:p w14:paraId="35D57E30" w14:textId="77777777" w:rsidR="00AC0BA6" w:rsidRPr="00AC0BA6" w:rsidRDefault="00AC0BA6" w:rsidP="008661A5">
            <w:pPr>
              <w:spacing w:after="0"/>
              <w:rPr>
                <w:rFonts w:ascii="Arial" w:hAnsi="Arial" w:cs="Arial"/>
                <w:b/>
                <w:sz w:val="16"/>
              </w:rPr>
            </w:pPr>
          </w:p>
        </w:tc>
        <w:tc>
          <w:tcPr>
            <w:tcW w:w="3770" w:type="dxa"/>
            <w:gridSpan w:val="2"/>
            <w:vAlign w:val="center"/>
          </w:tcPr>
          <w:p w14:paraId="525B440B" w14:textId="26DD4C33" w:rsidR="00AC0BA6" w:rsidRPr="00AC0BA6" w:rsidRDefault="00AC0BA6" w:rsidP="008661A5">
            <w:pPr>
              <w:spacing w:after="0"/>
              <w:jc w:val="center"/>
              <w:rPr>
                <w:rFonts w:ascii="Arial" w:hAnsi="Arial" w:cs="Arial"/>
                <w:b/>
                <w:sz w:val="16"/>
              </w:rPr>
            </w:pPr>
            <w:r w:rsidRPr="00AC0BA6">
              <w:rPr>
                <w:rFonts w:ascii="Arial" w:hAnsi="Arial" w:cs="Arial"/>
                <w:b/>
                <w:sz w:val="16"/>
              </w:rPr>
              <w:t>2030</w:t>
            </w:r>
            <w:r w:rsidR="00ED5792">
              <w:rPr>
                <w:rFonts w:ascii="Arial" w:hAnsi="Arial" w:cs="Arial"/>
                <w:b/>
                <w:sz w:val="16"/>
              </w:rPr>
              <w:t xml:space="preserve"> (USD M)</w:t>
            </w:r>
          </w:p>
        </w:tc>
        <w:tc>
          <w:tcPr>
            <w:tcW w:w="4505" w:type="dxa"/>
            <w:gridSpan w:val="2"/>
            <w:vAlign w:val="center"/>
          </w:tcPr>
          <w:p w14:paraId="2E306042" w14:textId="18B6B35D" w:rsidR="00AC0BA6" w:rsidRPr="00AC0BA6" w:rsidRDefault="00AC0BA6" w:rsidP="008661A5">
            <w:pPr>
              <w:spacing w:after="0"/>
              <w:jc w:val="center"/>
              <w:rPr>
                <w:rFonts w:ascii="Arial" w:hAnsi="Arial" w:cs="Arial"/>
                <w:b/>
                <w:sz w:val="16"/>
              </w:rPr>
            </w:pPr>
            <w:r>
              <w:rPr>
                <w:rFonts w:ascii="Arial" w:hAnsi="Arial" w:cs="Arial"/>
                <w:b/>
                <w:sz w:val="16"/>
              </w:rPr>
              <w:t>Cumulative</w:t>
            </w:r>
            <w:r w:rsidR="007F5DF5">
              <w:rPr>
                <w:rFonts w:ascii="Arial" w:hAnsi="Arial" w:cs="Arial"/>
                <w:b/>
                <w:sz w:val="16"/>
              </w:rPr>
              <w:t xml:space="preserve"> 2019-2030</w:t>
            </w:r>
            <w:r w:rsidR="00ED5792">
              <w:rPr>
                <w:rFonts w:ascii="Arial" w:hAnsi="Arial" w:cs="Arial"/>
                <w:b/>
                <w:sz w:val="16"/>
              </w:rPr>
              <w:t xml:space="preserve"> (USD M)</w:t>
            </w:r>
          </w:p>
        </w:tc>
      </w:tr>
      <w:tr w:rsidR="00901184" w:rsidRPr="00AC0BA6" w14:paraId="31E4CD2D" w14:textId="10E97D26" w:rsidTr="00901184">
        <w:trPr>
          <w:trHeight w:val="263"/>
        </w:trPr>
        <w:tc>
          <w:tcPr>
            <w:tcW w:w="1530" w:type="dxa"/>
          </w:tcPr>
          <w:p w14:paraId="79C812A8" w14:textId="77777777" w:rsidR="00901184" w:rsidRPr="00AC0BA6" w:rsidRDefault="00901184" w:rsidP="008661A5">
            <w:pPr>
              <w:spacing w:after="0"/>
              <w:rPr>
                <w:rFonts w:ascii="Arial" w:hAnsi="Arial" w:cs="Arial"/>
                <w:b/>
                <w:sz w:val="16"/>
              </w:rPr>
            </w:pPr>
          </w:p>
        </w:tc>
        <w:tc>
          <w:tcPr>
            <w:tcW w:w="1705" w:type="dxa"/>
            <w:vAlign w:val="center"/>
          </w:tcPr>
          <w:p w14:paraId="0B809E70" w14:textId="5E2F5D57" w:rsidR="00901184" w:rsidRPr="00AC0BA6" w:rsidRDefault="00901184" w:rsidP="008661A5">
            <w:pPr>
              <w:spacing w:after="0"/>
              <w:jc w:val="center"/>
              <w:rPr>
                <w:rFonts w:ascii="Arial" w:hAnsi="Arial" w:cs="Arial"/>
                <w:b/>
                <w:sz w:val="16"/>
              </w:rPr>
            </w:pPr>
            <w:r>
              <w:rPr>
                <w:rFonts w:ascii="Arial" w:hAnsi="Arial" w:cs="Arial"/>
                <w:b/>
                <w:sz w:val="16"/>
              </w:rPr>
              <w:t>CC</w:t>
            </w:r>
          </w:p>
        </w:tc>
        <w:tc>
          <w:tcPr>
            <w:tcW w:w="2065" w:type="dxa"/>
            <w:vAlign w:val="center"/>
          </w:tcPr>
          <w:p w14:paraId="7EC8BA4B" w14:textId="1F66B2F9" w:rsidR="00901184" w:rsidRPr="00AC0BA6" w:rsidRDefault="00901184" w:rsidP="00901184">
            <w:pPr>
              <w:spacing w:after="0"/>
              <w:jc w:val="center"/>
              <w:rPr>
                <w:rFonts w:ascii="Arial" w:hAnsi="Arial" w:cs="Arial"/>
                <w:b/>
                <w:sz w:val="16"/>
              </w:rPr>
            </w:pPr>
            <w:r>
              <w:rPr>
                <w:rFonts w:ascii="Arial" w:hAnsi="Arial" w:cs="Arial"/>
                <w:b/>
                <w:sz w:val="16"/>
              </w:rPr>
              <w:t>O-CCF</w:t>
            </w:r>
          </w:p>
        </w:tc>
        <w:tc>
          <w:tcPr>
            <w:tcW w:w="1985" w:type="dxa"/>
            <w:vAlign w:val="center"/>
          </w:tcPr>
          <w:p w14:paraId="688F9A19" w14:textId="11971267" w:rsidR="00901184" w:rsidRPr="00AC0BA6" w:rsidRDefault="00901184" w:rsidP="008661A5">
            <w:pPr>
              <w:spacing w:after="0"/>
              <w:jc w:val="center"/>
              <w:rPr>
                <w:rFonts w:ascii="Arial" w:hAnsi="Arial" w:cs="Arial"/>
                <w:b/>
                <w:sz w:val="16"/>
              </w:rPr>
            </w:pPr>
            <w:r>
              <w:rPr>
                <w:rFonts w:ascii="Arial" w:hAnsi="Arial" w:cs="Arial"/>
                <w:b/>
                <w:sz w:val="16"/>
              </w:rPr>
              <w:t>CC</w:t>
            </w:r>
          </w:p>
        </w:tc>
        <w:tc>
          <w:tcPr>
            <w:tcW w:w="2520" w:type="dxa"/>
            <w:vAlign w:val="center"/>
          </w:tcPr>
          <w:p w14:paraId="6872E4FB" w14:textId="294361C9" w:rsidR="00901184" w:rsidRDefault="00901184" w:rsidP="00901184">
            <w:pPr>
              <w:spacing w:after="0"/>
              <w:jc w:val="center"/>
              <w:rPr>
                <w:rFonts w:ascii="Arial" w:hAnsi="Arial" w:cs="Arial"/>
                <w:b/>
                <w:sz w:val="16"/>
              </w:rPr>
            </w:pPr>
            <w:r>
              <w:rPr>
                <w:rFonts w:ascii="Arial" w:hAnsi="Arial" w:cs="Arial"/>
                <w:b/>
                <w:sz w:val="16"/>
              </w:rPr>
              <w:t>O-CCF</w:t>
            </w:r>
          </w:p>
        </w:tc>
      </w:tr>
      <w:tr w:rsidR="00AC0BA6" w:rsidRPr="00AC0BA6" w14:paraId="7903F3A1" w14:textId="43DC27D0" w:rsidTr="00901184">
        <w:trPr>
          <w:trHeight w:val="263"/>
        </w:trPr>
        <w:tc>
          <w:tcPr>
            <w:tcW w:w="9805" w:type="dxa"/>
            <w:gridSpan w:val="5"/>
            <w:shd w:val="clear" w:color="auto" w:fill="A8D08D" w:themeFill="accent6" w:themeFillTint="99"/>
            <w:vAlign w:val="center"/>
          </w:tcPr>
          <w:p w14:paraId="6FF02EE7" w14:textId="07BC2768" w:rsidR="00AC0BA6" w:rsidRPr="00AC0BA6" w:rsidRDefault="00AC0BA6" w:rsidP="008661A5">
            <w:pPr>
              <w:spacing w:after="0"/>
              <w:jc w:val="center"/>
              <w:rPr>
                <w:rFonts w:ascii="Arial" w:hAnsi="Arial" w:cs="Arial"/>
                <w:b/>
                <w:color w:val="000000" w:themeColor="text1"/>
                <w:sz w:val="16"/>
              </w:rPr>
            </w:pPr>
            <w:r w:rsidRPr="00AC0BA6">
              <w:rPr>
                <w:rFonts w:ascii="Arial" w:hAnsi="Arial" w:cs="Arial"/>
                <w:b/>
                <w:color w:val="000000" w:themeColor="text1"/>
                <w:sz w:val="16"/>
              </w:rPr>
              <w:t>Prioritized prevention interventions</w:t>
            </w:r>
          </w:p>
        </w:tc>
      </w:tr>
      <w:tr w:rsidR="00901184" w:rsidRPr="00AC0BA6" w14:paraId="102F018F" w14:textId="6C443F23" w:rsidTr="00901184">
        <w:trPr>
          <w:trHeight w:val="263"/>
        </w:trPr>
        <w:tc>
          <w:tcPr>
            <w:tcW w:w="1530" w:type="dxa"/>
            <w:shd w:val="clear" w:color="auto" w:fill="E2EFD9" w:themeFill="accent6" w:themeFillTint="33"/>
            <w:vAlign w:val="center"/>
          </w:tcPr>
          <w:p w14:paraId="6EA62DA9" w14:textId="3FC534E0" w:rsidR="00901184" w:rsidRPr="00AC0BA6" w:rsidRDefault="00901184" w:rsidP="008661A5">
            <w:pPr>
              <w:spacing w:after="0"/>
              <w:rPr>
                <w:rFonts w:ascii="Arial" w:hAnsi="Arial" w:cs="Arial"/>
                <w:b/>
                <w:sz w:val="16"/>
              </w:rPr>
            </w:pPr>
            <w:r w:rsidRPr="00AC0BA6">
              <w:rPr>
                <w:rFonts w:ascii="Arial" w:hAnsi="Arial" w:cs="Arial"/>
                <w:b/>
                <w:sz w:val="16"/>
              </w:rPr>
              <w:t>Condoms</w:t>
            </w:r>
          </w:p>
        </w:tc>
        <w:tc>
          <w:tcPr>
            <w:tcW w:w="1705" w:type="dxa"/>
            <w:shd w:val="clear" w:color="auto" w:fill="E2EFD9" w:themeFill="accent6" w:themeFillTint="33"/>
            <w:vAlign w:val="center"/>
          </w:tcPr>
          <w:p w14:paraId="78328EB3" w14:textId="62DFD672" w:rsidR="00901184" w:rsidRPr="00AC0BA6" w:rsidRDefault="00901184" w:rsidP="008661A5">
            <w:pPr>
              <w:spacing w:after="0"/>
              <w:jc w:val="center"/>
              <w:rPr>
                <w:rFonts w:ascii="Arial" w:hAnsi="Arial" w:cs="Arial"/>
                <w:sz w:val="16"/>
              </w:rPr>
            </w:pPr>
            <w:r>
              <w:rPr>
                <w:rFonts w:ascii="Arial" w:hAnsi="Arial" w:cs="Arial"/>
                <w:sz w:val="16"/>
              </w:rPr>
              <w:t>4</w:t>
            </w:r>
          </w:p>
        </w:tc>
        <w:tc>
          <w:tcPr>
            <w:tcW w:w="2065" w:type="dxa"/>
            <w:shd w:val="clear" w:color="auto" w:fill="E2EFD9" w:themeFill="accent6" w:themeFillTint="33"/>
            <w:vAlign w:val="center"/>
          </w:tcPr>
          <w:p w14:paraId="0272FBB5" w14:textId="76C619D3" w:rsidR="00901184" w:rsidRPr="00AC0BA6" w:rsidRDefault="00901184" w:rsidP="00901184">
            <w:pPr>
              <w:spacing w:after="0"/>
              <w:jc w:val="center"/>
              <w:rPr>
                <w:rFonts w:ascii="Arial" w:hAnsi="Arial" w:cs="Arial"/>
                <w:sz w:val="16"/>
              </w:rPr>
            </w:pPr>
            <w:r>
              <w:rPr>
                <w:rFonts w:ascii="Arial" w:hAnsi="Arial" w:cs="Arial"/>
                <w:sz w:val="16"/>
              </w:rPr>
              <w:t>7</w:t>
            </w:r>
          </w:p>
        </w:tc>
        <w:tc>
          <w:tcPr>
            <w:tcW w:w="1985" w:type="dxa"/>
            <w:shd w:val="clear" w:color="auto" w:fill="E2EFD9" w:themeFill="accent6" w:themeFillTint="33"/>
            <w:vAlign w:val="center"/>
          </w:tcPr>
          <w:p w14:paraId="517D4DFB" w14:textId="4D44293F" w:rsidR="00901184" w:rsidRPr="00AC0BA6" w:rsidRDefault="00901184" w:rsidP="008661A5">
            <w:pPr>
              <w:spacing w:after="0"/>
              <w:jc w:val="center"/>
              <w:rPr>
                <w:rFonts w:ascii="Arial" w:hAnsi="Arial" w:cs="Arial"/>
                <w:sz w:val="16"/>
              </w:rPr>
            </w:pPr>
            <w:r>
              <w:rPr>
                <w:rFonts w:ascii="Arial" w:hAnsi="Arial" w:cs="Arial"/>
                <w:sz w:val="16"/>
              </w:rPr>
              <w:t>36</w:t>
            </w:r>
          </w:p>
        </w:tc>
        <w:tc>
          <w:tcPr>
            <w:tcW w:w="2520" w:type="dxa"/>
            <w:shd w:val="clear" w:color="auto" w:fill="E2EFD9" w:themeFill="accent6" w:themeFillTint="33"/>
            <w:vAlign w:val="center"/>
          </w:tcPr>
          <w:p w14:paraId="11371F39" w14:textId="7B112FDE" w:rsidR="00901184" w:rsidRPr="00AC0BA6" w:rsidRDefault="00901184" w:rsidP="00901184">
            <w:pPr>
              <w:spacing w:after="0"/>
              <w:jc w:val="center"/>
              <w:rPr>
                <w:rFonts w:ascii="Arial" w:hAnsi="Arial" w:cs="Arial"/>
                <w:sz w:val="16"/>
              </w:rPr>
            </w:pPr>
            <w:r>
              <w:rPr>
                <w:rFonts w:ascii="Arial" w:hAnsi="Arial" w:cs="Arial"/>
                <w:sz w:val="16"/>
              </w:rPr>
              <w:t>53</w:t>
            </w:r>
          </w:p>
        </w:tc>
      </w:tr>
      <w:tr w:rsidR="00901184" w:rsidRPr="00AC0BA6" w14:paraId="08A6BAE5" w14:textId="0AB58AC7" w:rsidTr="00901184">
        <w:trPr>
          <w:trHeight w:val="263"/>
        </w:trPr>
        <w:tc>
          <w:tcPr>
            <w:tcW w:w="1530" w:type="dxa"/>
            <w:shd w:val="clear" w:color="auto" w:fill="E2EFD9" w:themeFill="accent6" w:themeFillTint="33"/>
            <w:vAlign w:val="center"/>
          </w:tcPr>
          <w:p w14:paraId="3A4249FE" w14:textId="17B85C91" w:rsidR="00901184" w:rsidRPr="00AC0BA6" w:rsidRDefault="00901184" w:rsidP="008661A5">
            <w:pPr>
              <w:spacing w:after="0"/>
              <w:rPr>
                <w:rFonts w:ascii="Arial" w:hAnsi="Arial" w:cs="Arial"/>
                <w:b/>
                <w:sz w:val="16"/>
              </w:rPr>
            </w:pPr>
            <w:r w:rsidRPr="00AC0BA6">
              <w:rPr>
                <w:rFonts w:ascii="Arial" w:hAnsi="Arial" w:cs="Arial"/>
                <w:b/>
                <w:sz w:val="16"/>
              </w:rPr>
              <w:t>VMMC</w:t>
            </w:r>
          </w:p>
        </w:tc>
        <w:tc>
          <w:tcPr>
            <w:tcW w:w="1705" w:type="dxa"/>
            <w:shd w:val="clear" w:color="auto" w:fill="E2EFD9" w:themeFill="accent6" w:themeFillTint="33"/>
            <w:vAlign w:val="center"/>
          </w:tcPr>
          <w:p w14:paraId="1C1D679F" w14:textId="0984A1C9" w:rsidR="00901184" w:rsidRPr="00AC0BA6" w:rsidRDefault="00901184" w:rsidP="008661A5">
            <w:pPr>
              <w:spacing w:after="0"/>
              <w:jc w:val="center"/>
              <w:rPr>
                <w:rFonts w:ascii="Arial" w:hAnsi="Arial" w:cs="Arial"/>
                <w:sz w:val="16"/>
              </w:rPr>
            </w:pPr>
            <w:r>
              <w:rPr>
                <w:rFonts w:ascii="Arial" w:hAnsi="Arial" w:cs="Arial"/>
                <w:sz w:val="16"/>
              </w:rPr>
              <w:t>0.05</w:t>
            </w:r>
          </w:p>
        </w:tc>
        <w:tc>
          <w:tcPr>
            <w:tcW w:w="2065" w:type="dxa"/>
            <w:shd w:val="clear" w:color="auto" w:fill="E2EFD9" w:themeFill="accent6" w:themeFillTint="33"/>
            <w:vAlign w:val="center"/>
          </w:tcPr>
          <w:p w14:paraId="081AD695" w14:textId="36D07931" w:rsidR="00901184" w:rsidRPr="00AC0BA6" w:rsidRDefault="00901184" w:rsidP="00901184">
            <w:pPr>
              <w:spacing w:after="0"/>
              <w:jc w:val="center"/>
              <w:rPr>
                <w:rFonts w:ascii="Arial" w:hAnsi="Arial" w:cs="Arial"/>
                <w:sz w:val="16"/>
              </w:rPr>
            </w:pPr>
            <w:r w:rsidRPr="00AC0BA6">
              <w:rPr>
                <w:rFonts w:ascii="Arial" w:hAnsi="Arial" w:cs="Arial"/>
                <w:sz w:val="16"/>
              </w:rPr>
              <w:t>1</w:t>
            </w:r>
            <w:r>
              <w:rPr>
                <w:rFonts w:ascii="Arial" w:hAnsi="Arial" w:cs="Arial"/>
                <w:sz w:val="16"/>
              </w:rPr>
              <w:t>3</w:t>
            </w:r>
          </w:p>
        </w:tc>
        <w:tc>
          <w:tcPr>
            <w:tcW w:w="1985" w:type="dxa"/>
            <w:shd w:val="clear" w:color="auto" w:fill="E2EFD9" w:themeFill="accent6" w:themeFillTint="33"/>
            <w:vAlign w:val="center"/>
          </w:tcPr>
          <w:p w14:paraId="69337444" w14:textId="36AB61AB" w:rsidR="00901184" w:rsidRPr="00AC0BA6" w:rsidRDefault="00901184" w:rsidP="008661A5">
            <w:pPr>
              <w:spacing w:after="0"/>
              <w:jc w:val="center"/>
              <w:rPr>
                <w:rFonts w:ascii="Arial" w:hAnsi="Arial" w:cs="Arial"/>
                <w:sz w:val="16"/>
              </w:rPr>
            </w:pPr>
            <w:r>
              <w:rPr>
                <w:rFonts w:ascii="Arial" w:hAnsi="Arial" w:cs="Arial"/>
                <w:sz w:val="16"/>
              </w:rPr>
              <w:t>0.5</w:t>
            </w:r>
          </w:p>
        </w:tc>
        <w:tc>
          <w:tcPr>
            <w:tcW w:w="2520" w:type="dxa"/>
            <w:shd w:val="clear" w:color="auto" w:fill="E2EFD9" w:themeFill="accent6" w:themeFillTint="33"/>
            <w:vAlign w:val="center"/>
          </w:tcPr>
          <w:p w14:paraId="7199A931" w14:textId="091984BB" w:rsidR="00901184" w:rsidRPr="00AC0BA6" w:rsidRDefault="00901184" w:rsidP="00901184">
            <w:pPr>
              <w:spacing w:after="0"/>
              <w:jc w:val="center"/>
              <w:rPr>
                <w:rFonts w:ascii="Arial" w:hAnsi="Arial" w:cs="Arial"/>
                <w:sz w:val="16"/>
              </w:rPr>
            </w:pPr>
            <w:r>
              <w:rPr>
                <w:rFonts w:ascii="Arial" w:hAnsi="Arial" w:cs="Arial"/>
                <w:sz w:val="16"/>
              </w:rPr>
              <w:t>138</w:t>
            </w:r>
          </w:p>
        </w:tc>
      </w:tr>
      <w:tr w:rsidR="00901184" w:rsidRPr="00AC0BA6" w14:paraId="3B06D2DD" w14:textId="2EFC9FC8" w:rsidTr="00901184">
        <w:trPr>
          <w:trHeight w:val="263"/>
        </w:trPr>
        <w:tc>
          <w:tcPr>
            <w:tcW w:w="1530" w:type="dxa"/>
            <w:shd w:val="clear" w:color="auto" w:fill="E2EFD9" w:themeFill="accent6" w:themeFillTint="33"/>
            <w:vAlign w:val="center"/>
          </w:tcPr>
          <w:p w14:paraId="0BB32C2F" w14:textId="59B48DE8" w:rsidR="00901184" w:rsidRPr="00AC0BA6" w:rsidRDefault="00901184" w:rsidP="008661A5">
            <w:pPr>
              <w:spacing w:after="0"/>
              <w:rPr>
                <w:rFonts w:ascii="Arial" w:hAnsi="Arial" w:cs="Arial"/>
                <w:b/>
                <w:sz w:val="16"/>
              </w:rPr>
            </w:pPr>
            <w:r>
              <w:rPr>
                <w:rFonts w:ascii="Arial" w:hAnsi="Arial" w:cs="Arial"/>
                <w:b/>
                <w:sz w:val="16"/>
              </w:rPr>
              <w:t xml:space="preserve">FSW- Outreach </w:t>
            </w:r>
          </w:p>
        </w:tc>
        <w:tc>
          <w:tcPr>
            <w:tcW w:w="1705" w:type="dxa"/>
            <w:shd w:val="clear" w:color="auto" w:fill="E2EFD9" w:themeFill="accent6" w:themeFillTint="33"/>
            <w:vAlign w:val="center"/>
          </w:tcPr>
          <w:p w14:paraId="73B2B29B" w14:textId="44F38498" w:rsidR="00901184" w:rsidRPr="00AC0BA6" w:rsidRDefault="00901184" w:rsidP="008661A5">
            <w:pPr>
              <w:spacing w:after="0"/>
              <w:jc w:val="center"/>
              <w:rPr>
                <w:rFonts w:ascii="Arial" w:hAnsi="Arial" w:cs="Arial"/>
                <w:sz w:val="16"/>
              </w:rPr>
            </w:pPr>
            <w:r w:rsidRPr="00AC0BA6">
              <w:rPr>
                <w:rFonts w:ascii="Arial" w:hAnsi="Arial" w:cs="Arial"/>
                <w:sz w:val="16"/>
              </w:rPr>
              <w:t>21</w:t>
            </w:r>
          </w:p>
        </w:tc>
        <w:tc>
          <w:tcPr>
            <w:tcW w:w="2065" w:type="dxa"/>
            <w:shd w:val="clear" w:color="auto" w:fill="E2EFD9" w:themeFill="accent6" w:themeFillTint="33"/>
            <w:vAlign w:val="center"/>
          </w:tcPr>
          <w:p w14:paraId="67EE462B" w14:textId="514EB24A" w:rsidR="00901184" w:rsidRPr="00AC0BA6" w:rsidRDefault="00901184" w:rsidP="00901184">
            <w:pPr>
              <w:spacing w:after="0"/>
              <w:jc w:val="center"/>
              <w:rPr>
                <w:rFonts w:ascii="Arial" w:hAnsi="Arial" w:cs="Arial"/>
                <w:sz w:val="16"/>
              </w:rPr>
            </w:pPr>
            <w:r>
              <w:rPr>
                <w:rFonts w:ascii="Arial" w:hAnsi="Arial" w:cs="Arial"/>
                <w:sz w:val="16"/>
              </w:rPr>
              <w:t>40</w:t>
            </w:r>
          </w:p>
        </w:tc>
        <w:tc>
          <w:tcPr>
            <w:tcW w:w="1985" w:type="dxa"/>
            <w:shd w:val="clear" w:color="auto" w:fill="E2EFD9" w:themeFill="accent6" w:themeFillTint="33"/>
            <w:vAlign w:val="center"/>
          </w:tcPr>
          <w:p w14:paraId="01C10842" w14:textId="009EB182" w:rsidR="00901184" w:rsidRPr="00AC0BA6" w:rsidRDefault="00901184" w:rsidP="008661A5">
            <w:pPr>
              <w:spacing w:after="0"/>
              <w:jc w:val="center"/>
              <w:rPr>
                <w:rFonts w:ascii="Arial" w:hAnsi="Arial" w:cs="Arial"/>
                <w:sz w:val="16"/>
              </w:rPr>
            </w:pPr>
            <w:r>
              <w:rPr>
                <w:rFonts w:ascii="Arial" w:hAnsi="Arial" w:cs="Arial"/>
                <w:sz w:val="16"/>
              </w:rPr>
              <w:t>310</w:t>
            </w:r>
          </w:p>
        </w:tc>
        <w:tc>
          <w:tcPr>
            <w:tcW w:w="2520" w:type="dxa"/>
            <w:shd w:val="clear" w:color="auto" w:fill="E2EFD9" w:themeFill="accent6" w:themeFillTint="33"/>
            <w:vAlign w:val="center"/>
          </w:tcPr>
          <w:p w14:paraId="2C8A938C" w14:textId="0B48164D" w:rsidR="00901184" w:rsidRPr="00AC0BA6" w:rsidRDefault="00901184" w:rsidP="00901184">
            <w:pPr>
              <w:spacing w:after="0"/>
              <w:jc w:val="center"/>
              <w:rPr>
                <w:rFonts w:ascii="Arial" w:hAnsi="Arial" w:cs="Arial"/>
                <w:sz w:val="16"/>
              </w:rPr>
            </w:pPr>
            <w:r>
              <w:rPr>
                <w:rFonts w:ascii="Arial" w:hAnsi="Arial" w:cs="Arial"/>
                <w:sz w:val="16"/>
              </w:rPr>
              <w:t>358</w:t>
            </w:r>
          </w:p>
        </w:tc>
      </w:tr>
      <w:tr w:rsidR="00AC0BA6" w:rsidRPr="00AC0BA6" w14:paraId="4298516A" w14:textId="606693C0" w:rsidTr="00901184">
        <w:trPr>
          <w:trHeight w:val="263"/>
        </w:trPr>
        <w:tc>
          <w:tcPr>
            <w:tcW w:w="9805" w:type="dxa"/>
            <w:gridSpan w:val="5"/>
            <w:shd w:val="clear" w:color="auto" w:fill="C00000"/>
            <w:vAlign w:val="center"/>
          </w:tcPr>
          <w:p w14:paraId="5A3F2169" w14:textId="6AF68904" w:rsidR="00AC0BA6" w:rsidRPr="00AC0BA6" w:rsidRDefault="00AC0BA6" w:rsidP="008661A5">
            <w:pPr>
              <w:spacing w:after="0"/>
              <w:jc w:val="center"/>
              <w:rPr>
                <w:rFonts w:ascii="Arial" w:hAnsi="Arial" w:cs="Arial"/>
                <w:b/>
                <w:sz w:val="16"/>
              </w:rPr>
            </w:pPr>
            <w:r w:rsidRPr="00AC0BA6">
              <w:rPr>
                <w:rFonts w:ascii="Arial" w:hAnsi="Arial" w:cs="Arial"/>
                <w:b/>
                <w:sz w:val="16"/>
              </w:rPr>
              <w:t>De-prioritized programs</w:t>
            </w:r>
          </w:p>
        </w:tc>
      </w:tr>
      <w:tr w:rsidR="00901184" w:rsidRPr="00AC0BA6" w14:paraId="5650C650" w14:textId="77777777" w:rsidTr="00901184">
        <w:trPr>
          <w:trHeight w:val="263"/>
        </w:trPr>
        <w:tc>
          <w:tcPr>
            <w:tcW w:w="1530" w:type="dxa"/>
            <w:shd w:val="clear" w:color="auto" w:fill="FFFFFF" w:themeFill="background1"/>
            <w:vAlign w:val="center"/>
          </w:tcPr>
          <w:p w14:paraId="75520571" w14:textId="64F8DAF9" w:rsidR="00901184" w:rsidRPr="00AC0BA6" w:rsidRDefault="00901184" w:rsidP="00F83BB9">
            <w:pPr>
              <w:spacing w:after="0"/>
              <w:rPr>
                <w:rFonts w:ascii="Arial" w:hAnsi="Arial" w:cs="Arial"/>
                <w:b/>
                <w:sz w:val="16"/>
              </w:rPr>
            </w:pPr>
            <w:r>
              <w:rPr>
                <w:rFonts w:ascii="Arial" w:hAnsi="Arial" w:cs="Arial"/>
                <w:b/>
                <w:sz w:val="16"/>
              </w:rPr>
              <w:t>MSM- Outreach</w:t>
            </w:r>
          </w:p>
        </w:tc>
        <w:tc>
          <w:tcPr>
            <w:tcW w:w="1705" w:type="dxa"/>
            <w:shd w:val="clear" w:color="auto" w:fill="FFFFFF" w:themeFill="background1"/>
            <w:vAlign w:val="center"/>
          </w:tcPr>
          <w:p w14:paraId="66A7B310" w14:textId="21BED480" w:rsidR="00901184" w:rsidRDefault="00901184" w:rsidP="00F83BB9">
            <w:pPr>
              <w:spacing w:after="0"/>
              <w:jc w:val="center"/>
              <w:rPr>
                <w:rFonts w:ascii="Arial" w:hAnsi="Arial" w:cs="Arial"/>
                <w:sz w:val="16"/>
              </w:rPr>
            </w:pPr>
            <w:r>
              <w:rPr>
                <w:rFonts w:ascii="Arial" w:hAnsi="Arial" w:cs="Arial"/>
                <w:sz w:val="16"/>
              </w:rPr>
              <w:t>6</w:t>
            </w:r>
          </w:p>
        </w:tc>
        <w:tc>
          <w:tcPr>
            <w:tcW w:w="2065" w:type="dxa"/>
            <w:shd w:val="clear" w:color="auto" w:fill="FFFFFF" w:themeFill="background1"/>
            <w:vAlign w:val="center"/>
          </w:tcPr>
          <w:p w14:paraId="2D939006" w14:textId="6790AAE8" w:rsidR="00901184" w:rsidRDefault="00901184" w:rsidP="00901184">
            <w:pPr>
              <w:spacing w:after="0"/>
              <w:jc w:val="center"/>
              <w:rPr>
                <w:rFonts w:ascii="Arial" w:hAnsi="Arial" w:cs="Arial"/>
                <w:sz w:val="16"/>
              </w:rPr>
            </w:pPr>
            <w:r>
              <w:rPr>
                <w:rFonts w:ascii="Arial" w:hAnsi="Arial" w:cs="Arial"/>
                <w:sz w:val="16"/>
              </w:rPr>
              <w:t>1</w:t>
            </w:r>
          </w:p>
        </w:tc>
        <w:tc>
          <w:tcPr>
            <w:tcW w:w="1985" w:type="dxa"/>
            <w:shd w:val="clear" w:color="auto" w:fill="FFFFFF" w:themeFill="background1"/>
            <w:vAlign w:val="center"/>
          </w:tcPr>
          <w:p w14:paraId="11090B14" w14:textId="171752FE" w:rsidR="00901184" w:rsidRDefault="00901184" w:rsidP="00F83BB9">
            <w:pPr>
              <w:spacing w:after="0"/>
              <w:jc w:val="center"/>
              <w:rPr>
                <w:rFonts w:ascii="Arial" w:hAnsi="Arial" w:cs="Arial"/>
                <w:sz w:val="16"/>
              </w:rPr>
            </w:pPr>
            <w:r>
              <w:rPr>
                <w:rFonts w:ascii="Arial" w:hAnsi="Arial" w:cs="Arial"/>
                <w:sz w:val="16"/>
              </w:rPr>
              <w:t>60</w:t>
            </w:r>
          </w:p>
        </w:tc>
        <w:tc>
          <w:tcPr>
            <w:tcW w:w="2520" w:type="dxa"/>
            <w:shd w:val="clear" w:color="auto" w:fill="FFFFFF" w:themeFill="background1"/>
            <w:vAlign w:val="center"/>
          </w:tcPr>
          <w:p w14:paraId="05598505" w14:textId="02001045" w:rsidR="00901184" w:rsidRPr="00AC0BA6" w:rsidRDefault="00901184" w:rsidP="00901184">
            <w:pPr>
              <w:spacing w:after="0"/>
              <w:jc w:val="center"/>
              <w:rPr>
                <w:rFonts w:ascii="Arial" w:hAnsi="Arial" w:cs="Arial"/>
                <w:sz w:val="16"/>
              </w:rPr>
            </w:pPr>
            <w:r>
              <w:rPr>
                <w:rFonts w:ascii="Arial" w:hAnsi="Arial" w:cs="Arial"/>
                <w:sz w:val="16"/>
              </w:rPr>
              <w:t>40</w:t>
            </w:r>
          </w:p>
        </w:tc>
      </w:tr>
      <w:tr w:rsidR="00901184" w:rsidRPr="00AC0BA6" w14:paraId="379862E1" w14:textId="77777777" w:rsidTr="00901184">
        <w:trPr>
          <w:trHeight w:val="263"/>
        </w:trPr>
        <w:tc>
          <w:tcPr>
            <w:tcW w:w="1530" w:type="dxa"/>
            <w:shd w:val="clear" w:color="auto" w:fill="FFFFFF" w:themeFill="background1"/>
            <w:vAlign w:val="center"/>
          </w:tcPr>
          <w:p w14:paraId="22BB5F3C" w14:textId="39F57F23" w:rsidR="00901184" w:rsidRDefault="00901184" w:rsidP="00F83BB9">
            <w:pPr>
              <w:spacing w:after="0"/>
              <w:rPr>
                <w:rFonts w:ascii="Arial" w:hAnsi="Arial" w:cs="Arial"/>
                <w:b/>
                <w:sz w:val="16"/>
              </w:rPr>
            </w:pPr>
            <w:r w:rsidRPr="00AC0BA6">
              <w:rPr>
                <w:rFonts w:ascii="Arial" w:hAnsi="Arial" w:cs="Arial"/>
                <w:b/>
                <w:sz w:val="16"/>
              </w:rPr>
              <w:t>BCC</w:t>
            </w:r>
          </w:p>
        </w:tc>
        <w:tc>
          <w:tcPr>
            <w:tcW w:w="1705" w:type="dxa"/>
            <w:shd w:val="clear" w:color="auto" w:fill="FFFFFF" w:themeFill="background1"/>
            <w:vAlign w:val="center"/>
          </w:tcPr>
          <w:p w14:paraId="09414E6D" w14:textId="14CDA8BA" w:rsidR="00901184" w:rsidRDefault="00901184" w:rsidP="00F83BB9">
            <w:pPr>
              <w:spacing w:after="0"/>
              <w:jc w:val="center"/>
              <w:rPr>
                <w:rFonts w:ascii="Arial" w:hAnsi="Arial" w:cs="Arial"/>
                <w:sz w:val="16"/>
              </w:rPr>
            </w:pPr>
            <w:r>
              <w:rPr>
                <w:rFonts w:ascii="Arial" w:hAnsi="Arial" w:cs="Arial"/>
                <w:sz w:val="16"/>
              </w:rPr>
              <w:t>11</w:t>
            </w:r>
          </w:p>
        </w:tc>
        <w:tc>
          <w:tcPr>
            <w:tcW w:w="2065" w:type="dxa"/>
            <w:shd w:val="clear" w:color="auto" w:fill="FFFFFF" w:themeFill="background1"/>
            <w:vAlign w:val="center"/>
          </w:tcPr>
          <w:p w14:paraId="71D6A1AC" w14:textId="33F96A50" w:rsidR="00901184" w:rsidRPr="00AC0BA6" w:rsidRDefault="00901184" w:rsidP="00901184">
            <w:pPr>
              <w:spacing w:after="0"/>
              <w:jc w:val="center"/>
              <w:rPr>
                <w:rFonts w:ascii="Arial" w:hAnsi="Arial" w:cs="Arial"/>
                <w:sz w:val="16"/>
              </w:rPr>
            </w:pPr>
            <w:r>
              <w:rPr>
                <w:rFonts w:ascii="Arial" w:hAnsi="Arial" w:cs="Arial"/>
                <w:sz w:val="16"/>
              </w:rPr>
              <w:t>11</w:t>
            </w:r>
          </w:p>
        </w:tc>
        <w:tc>
          <w:tcPr>
            <w:tcW w:w="1985" w:type="dxa"/>
            <w:shd w:val="clear" w:color="auto" w:fill="FFFFFF" w:themeFill="background1"/>
            <w:vAlign w:val="center"/>
          </w:tcPr>
          <w:p w14:paraId="520547BB" w14:textId="3C238A8F" w:rsidR="00901184" w:rsidRDefault="00901184" w:rsidP="00F83BB9">
            <w:pPr>
              <w:spacing w:after="0"/>
              <w:jc w:val="center"/>
              <w:rPr>
                <w:rFonts w:ascii="Arial" w:hAnsi="Arial" w:cs="Arial"/>
                <w:sz w:val="16"/>
              </w:rPr>
            </w:pPr>
            <w:r>
              <w:rPr>
                <w:rFonts w:ascii="Arial" w:hAnsi="Arial" w:cs="Arial"/>
                <w:sz w:val="16"/>
              </w:rPr>
              <w:t>108</w:t>
            </w:r>
          </w:p>
        </w:tc>
        <w:tc>
          <w:tcPr>
            <w:tcW w:w="2520" w:type="dxa"/>
            <w:shd w:val="clear" w:color="auto" w:fill="FFFFFF" w:themeFill="background1"/>
            <w:vAlign w:val="center"/>
          </w:tcPr>
          <w:p w14:paraId="521CD807" w14:textId="1E281025" w:rsidR="00901184" w:rsidRPr="00AC0BA6" w:rsidRDefault="00901184" w:rsidP="00901184">
            <w:pPr>
              <w:spacing w:after="0"/>
              <w:jc w:val="center"/>
              <w:rPr>
                <w:rFonts w:ascii="Arial" w:hAnsi="Arial" w:cs="Arial"/>
                <w:sz w:val="16"/>
              </w:rPr>
            </w:pPr>
            <w:r>
              <w:rPr>
                <w:rFonts w:ascii="Arial" w:hAnsi="Arial" w:cs="Arial"/>
                <w:sz w:val="16"/>
              </w:rPr>
              <w:t>97</w:t>
            </w:r>
          </w:p>
        </w:tc>
      </w:tr>
      <w:tr w:rsidR="00901184" w:rsidRPr="00AC0BA6" w14:paraId="27D4396E" w14:textId="42F1B23B" w:rsidTr="00901184">
        <w:trPr>
          <w:trHeight w:val="263"/>
        </w:trPr>
        <w:tc>
          <w:tcPr>
            <w:tcW w:w="1530" w:type="dxa"/>
            <w:shd w:val="clear" w:color="auto" w:fill="FFFFFF" w:themeFill="background1"/>
            <w:vAlign w:val="center"/>
          </w:tcPr>
          <w:p w14:paraId="6B02E840" w14:textId="7EB4F3F7" w:rsidR="00901184" w:rsidRPr="00AC0BA6" w:rsidRDefault="00901184" w:rsidP="00F83BB9">
            <w:pPr>
              <w:spacing w:after="0"/>
              <w:rPr>
                <w:rFonts w:ascii="Arial" w:hAnsi="Arial" w:cs="Arial"/>
                <w:b/>
                <w:sz w:val="16"/>
              </w:rPr>
            </w:pPr>
            <w:r>
              <w:rPr>
                <w:rFonts w:ascii="Arial" w:hAnsi="Arial" w:cs="Arial"/>
                <w:b/>
                <w:sz w:val="16"/>
              </w:rPr>
              <w:t xml:space="preserve">PWID-Outreach </w:t>
            </w:r>
          </w:p>
        </w:tc>
        <w:tc>
          <w:tcPr>
            <w:tcW w:w="1705" w:type="dxa"/>
            <w:shd w:val="clear" w:color="auto" w:fill="FFFFFF" w:themeFill="background1"/>
            <w:vAlign w:val="center"/>
          </w:tcPr>
          <w:p w14:paraId="6994DC01" w14:textId="15DF1AB6" w:rsidR="00901184" w:rsidRPr="00AC0BA6" w:rsidRDefault="00901184" w:rsidP="00F83BB9">
            <w:pPr>
              <w:spacing w:after="0"/>
              <w:jc w:val="center"/>
              <w:rPr>
                <w:rFonts w:ascii="Arial" w:hAnsi="Arial" w:cs="Arial"/>
                <w:sz w:val="16"/>
              </w:rPr>
            </w:pPr>
            <w:r>
              <w:rPr>
                <w:rFonts w:ascii="Arial" w:hAnsi="Arial" w:cs="Arial"/>
                <w:sz w:val="16"/>
              </w:rPr>
              <w:t>6</w:t>
            </w:r>
          </w:p>
        </w:tc>
        <w:tc>
          <w:tcPr>
            <w:tcW w:w="2065" w:type="dxa"/>
            <w:shd w:val="clear" w:color="auto" w:fill="FFFFFF" w:themeFill="background1"/>
            <w:vAlign w:val="center"/>
          </w:tcPr>
          <w:p w14:paraId="4F987BDA" w14:textId="02704559" w:rsidR="00901184" w:rsidRPr="00AC0BA6" w:rsidRDefault="00901184" w:rsidP="00901184">
            <w:pPr>
              <w:spacing w:after="0"/>
              <w:jc w:val="center"/>
              <w:rPr>
                <w:rFonts w:ascii="Arial" w:hAnsi="Arial" w:cs="Arial"/>
                <w:sz w:val="16"/>
              </w:rPr>
            </w:pPr>
            <w:r>
              <w:rPr>
                <w:rFonts w:ascii="Arial" w:hAnsi="Arial" w:cs="Arial"/>
                <w:sz w:val="16"/>
              </w:rPr>
              <w:t>1</w:t>
            </w:r>
          </w:p>
        </w:tc>
        <w:tc>
          <w:tcPr>
            <w:tcW w:w="1985" w:type="dxa"/>
            <w:shd w:val="clear" w:color="auto" w:fill="FFFFFF" w:themeFill="background1"/>
            <w:vAlign w:val="center"/>
          </w:tcPr>
          <w:p w14:paraId="27EBD40A" w14:textId="31978566" w:rsidR="00901184" w:rsidRPr="00AC0BA6" w:rsidRDefault="00901184" w:rsidP="00F83BB9">
            <w:pPr>
              <w:spacing w:after="0"/>
              <w:jc w:val="center"/>
              <w:rPr>
                <w:rFonts w:ascii="Arial" w:hAnsi="Arial" w:cs="Arial"/>
                <w:sz w:val="16"/>
              </w:rPr>
            </w:pPr>
            <w:r>
              <w:rPr>
                <w:rFonts w:ascii="Arial" w:hAnsi="Arial" w:cs="Arial"/>
                <w:sz w:val="16"/>
              </w:rPr>
              <w:t>58</w:t>
            </w:r>
          </w:p>
        </w:tc>
        <w:tc>
          <w:tcPr>
            <w:tcW w:w="2520" w:type="dxa"/>
            <w:shd w:val="clear" w:color="auto" w:fill="FFFFFF" w:themeFill="background1"/>
            <w:vAlign w:val="center"/>
          </w:tcPr>
          <w:p w14:paraId="4D4F494A" w14:textId="577CDCB7" w:rsidR="00901184" w:rsidRPr="00AC0BA6" w:rsidRDefault="00901184" w:rsidP="00901184">
            <w:pPr>
              <w:spacing w:after="0"/>
              <w:jc w:val="center"/>
              <w:rPr>
                <w:rFonts w:ascii="Arial" w:hAnsi="Arial" w:cs="Arial"/>
                <w:sz w:val="16"/>
              </w:rPr>
            </w:pPr>
            <w:r>
              <w:rPr>
                <w:rFonts w:ascii="Arial" w:hAnsi="Arial" w:cs="Arial"/>
                <w:sz w:val="16"/>
              </w:rPr>
              <w:t>&lt;10</w:t>
            </w:r>
          </w:p>
        </w:tc>
      </w:tr>
      <w:tr w:rsidR="00901184" w:rsidRPr="00AC0BA6" w14:paraId="09FE9BC6" w14:textId="75BB7D23" w:rsidTr="00901184">
        <w:trPr>
          <w:trHeight w:val="263"/>
        </w:trPr>
        <w:tc>
          <w:tcPr>
            <w:tcW w:w="1530" w:type="dxa"/>
            <w:shd w:val="clear" w:color="auto" w:fill="FFFFFF" w:themeFill="background1"/>
            <w:vAlign w:val="center"/>
          </w:tcPr>
          <w:p w14:paraId="3A2B822A" w14:textId="1C45AC8C" w:rsidR="00901184" w:rsidRPr="00AC0BA6" w:rsidRDefault="00901184" w:rsidP="00F83BB9">
            <w:pPr>
              <w:spacing w:after="0"/>
              <w:rPr>
                <w:rFonts w:ascii="Arial" w:hAnsi="Arial" w:cs="Arial"/>
                <w:b/>
                <w:sz w:val="16"/>
              </w:rPr>
            </w:pPr>
            <w:r>
              <w:rPr>
                <w:rFonts w:ascii="Arial" w:hAnsi="Arial" w:cs="Arial"/>
                <w:b/>
                <w:sz w:val="16"/>
              </w:rPr>
              <w:t>AGYW-Cash transfers</w:t>
            </w:r>
          </w:p>
        </w:tc>
        <w:tc>
          <w:tcPr>
            <w:tcW w:w="1705" w:type="dxa"/>
            <w:shd w:val="clear" w:color="auto" w:fill="FFFFFF" w:themeFill="background1"/>
            <w:vAlign w:val="center"/>
          </w:tcPr>
          <w:p w14:paraId="322D4639" w14:textId="5555F494" w:rsidR="00901184" w:rsidRPr="00AC0BA6" w:rsidRDefault="00901184" w:rsidP="00F83BB9">
            <w:pPr>
              <w:spacing w:after="0"/>
              <w:jc w:val="center"/>
              <w:rPr>
                <w:rFonts w:ascii="Arial" w:hAnsi="Arial" w:cs="Arial"/>
                <w:sz w:val="16"/>
              </w:rPr>
            </w:pPr>
            <w:r>
              <w:rPr>
                <w:rFonts w:ascii="Arial" w:hAnsi="Arial" w:cs="Arial"/>
                <w:sz w:val="16"/>
              </w:rPr>
              <w:t>8</w:t>
            </w:r>
          </w:p>
        </w:tc>
        <w:tc>
          <w:tcPr>
            <w:tcW w:w="2065" w:type="dxa"/>
            <w:shd w:val="clear" w:color="auto" w:fill="FFFFFF" w:themeFill="background1"/>
            <w:vAlign w:val="center"/>
          </w:tcPr>
          <w:p w14:paraId="27FF58CE" w14:textId="28212958" w:rsidR="00901184" w:rsidRPr="00AC0BA6" w:rsidRDefault="00901184" w:rsidP="00901184">
            <w:pPr>
              <w:spacing w:after="0"/>
              <w:jc w:val="center"/>
              <w:rPr>
                <w:rFonts w:ascii="Arial" w:hAnsi="Arial" w:cs="Arial"/>
                <w:sz w:val="16"/>
              </w:rPr>
            </w:pPr>
            <w:r w:rsidRPr="00AC0BA6">
              <w:rPr>
                <w:rFonts w:ascii="Arial" w:hAnsi="Arial" w:cs="Arial"/>
                <w:sz w:val="16"/>
              </w:rPr>
              <w:t>--</w:t>
            </w:r>
          </w:p>
        </w:tc>
        <w:tc>
          <w:tcPr>
            <w:tcW w:w="1985" w:type="dxa"/>
            <w:shd w:val="clear" w:color="auto" w:fill="FFFFFF" w:themeFill="background1"/>
            <w:vAlign w:val="center"/>
          </w:tcPr>
          <w:p w14:paraId="2DC8F8B2" w14:textId="2B01110F" w:rsidR="00901184" w:rsidRPr="00AC0BA6" w:rsidRDefault="00901184" w:rsidP="00F83BB9">
            <w:pPr>
              <w:spacing w:after="0"/>
              <w:jc w:val="center"/>
              <w:rPr>
                <w:rFonts w:ascii="Arial" w:hAnsi="Arial" w:cs="Arial"/>
                <w:sz w:val="16"/>
              </w:rPr>
            </w:pPr>
            <w:r>
              <w:rPr>
                <w:rFonts w:ascii="Arial" w:hAnsi="Arial" w:cs="Arial"/>
                <w:sz w:val="16"/>
              </w:rPr>
              <w:t>81</w:t>
            </w:r>
          </w:p>
        </w:tc>
        <w:tc>
          <w:tcPr>
            <w:tcW w:w="2520" w:type="dxa"/>
            <w:shd w:val="clear" w:color="auto" w:fill="FFFFFF" w:themeFill="background1"/>
            <w:vAlign w:val="center"/>
          </w:tcPr>
          <w:p w14:paraId="34BC9F14" w14:textId="6C2C346B" w:rsidR="00901184" w:rsidRPr="00AC0BA6" w:rsidRDefault="00901184" w:rsidP="00901184">
            <w:pPr>
              <w:spacing w:after="0"/>
              <w:jc w:val="center"/>
              <w:rPr>
                <w:rFonts w:ascii="Arial" w:hAnsi="Arial" w:cs="Arial"/>
                <w:sz w:val="16"/>
              </w:rPr>
            </w:pPr>
            <w:r>
              <w:rPr>
                <w:rFonts w:ascii="Arial" w:hAnsi="Arial" w:cs="Arial"/>
                <w:sz w:val="16"/>
              </w:rPr>
              <w:t>33</w:t>
            </w:r>
          </w:p>
        </w:tc>
      </w:tr>
      <w:tr w:rsidR="00901184" w:rsidRPr="00EA4BAF" w14:paraId="3B3538FE" w14:textId="77777777" w:rsidTr="00901184">
        <w:trPr>
          <w:trHeight w:val="263"/>
        </w:trPr>
        <w:tc>
          <w:tcPr>
            <w:tcW w:w="1530" w:type="dxa"/>
            <w:shd w:val="clear" w:color="auto" w:fill="FFFFFF" w:themeFill="background1"/>
            <w:vAlign w:val="center"/>
          </w:tcPr>
          <w:p w14:paraId="416223BA" w14:textId="73ECCE68" w:rsidR="00901184" w:rsidRDefault="00901184" w:rsidP="00F83BB9">
            <w:pPr>
              <w:spacing w:after="0"/>
              <w:rPr>
                <w:rFonts w:ascii="Arial" w:hAnsi="Arial" w:cs="Arial"/>
                <w:b/>
                <w:sz w:val="16"/>
              </w:rPr>
            </w:pPr>
            <w:r>
              <w:rPr>
                <w:rFonts w:ascii="Arial" w:hAnsi="Arial" w:cs="Arial"/>
                <w:b/>
                <w:sz w:val="16"/>
              </w:rPr>
              <w:t>PreP</w:t>
            </w:r>
          </w:p>
        </w:tc>
        <w:tc>
          <w:tcPr>
            <w:tcW w:w="1705" w:type="dxa"/>
            <w:shd w:val="clear" w:color="auto" w:fill="FFFFFF" w:themeFill="background1"/>
            <w:vAlign w:val="center"/>
          </w:tcPr>
          <w:p w14:paraId="6D016FE2" w14:textId="56A947C3" w:rsidR="00901184" w:rsidRPr="00EA4BAF" w:rsidRDefault="00901184" w:rsidP="00F83BB9">
            <w:pPr>
              <w:spacing w:after="0"/>
              <w:jc w:val="center"/>
              <w:rPr>
                <w:rFonts w:ascii="Arial" w:hAnsi="Arial" w:cs="Arial"/>
                <w:b/>
                <w:bCs/>
                <w:sz w:val="18"/>
                <w:szCs w:val="22"/>
              </w:rPr>
            </w:pPr>
            <w:r w:rsidRPr="00EA4BAF">
              <w:rPr>
                <w:rFonts w:ascii="Arial" w:hAnsi="Arial" w:cs="Arial"/>
                <w:b/>
                <w:bCs/>
                <w:sz w:val="18"/>
                <w:szCs w:val="22"/>
              </w:rPr>
              <w:t>-</w:t>
            </w:r>
          </w:p>
        </w:tc>
        <w:tc>
          <w:tcPr>
            <w:tcW w:w="2065" w:type="dxa"/>
            <w:shd w:val="clear" w:color="auto" w:fill="FFFFFF" w:themeFill="background1"/>
            <w:vAlign w:val="center"/>
          </w:tcPr>
          <w:p w14:paraId="635D6F27" w14:textId="1B3BEFC9" w:rsidR="00901184" w:rsidRPr="00EA4BAF" w:rsidRDefault="00901184" w:rsidP="00901184">
            <w:pPr>
              <w:spacing w:after="0"/>
              <w:jc w:val="center"/>
              <w:rPr>
                <w:rFonts w:ascii="Arial" w:hAnsi="Arial" w:cs="Arial"/>
                <w:b/>
                <w:bCs/>
                <w:sz w:val="18"/>
                <w:szCs w:val="22"/>
              </w:rPr>
            </w:pPr>
            <w:r w:rsidRPr="00EA4BAF">
              <w:rPr>
                <w:rFonts w:ascii="Arial" w:hAnsi="Arial" w:cs="Arial"/>
                <w:b/>
                <w:bCs/>
                <w:sz w:val="18"/>
                <w:szCs w:val="22"/>
              </w:rPr>
              <w:t>-</w:t>
            </w:r>
          </w:p>
        </w:tc>
        <w:tc>
          <w:tcPr>
            <w:tcW w:w="1985" w:type="dxa"/>
            <w:shd w:val="clear" w:color="auto" w:fill="FFFFFF" w:themeFill="background1"/>
            <w:vAlign w:val="center"/>
          </w:tcPr>
          <w:p w14:paraId="127E242E" w14:textId="37355973" w:rsidR="00901184" w:rsidRPr="00EA4BAF" w:rsidRDefault="00901184" w:rsidP="00F83BB9">
            <w:pPr>
              <w:spacing w:after="0"/>
              <w:jc w:val="center"/>
              <w:rPr>
                <w:rFonts w:ascii="Arial" w:hAnsi="Arial" w:cs="Arial"/>
                <w:b/>
                <w:bCs/>
                <w:sz w:val="18"/>
                <w:szCs w:val="22"/>
              </w:rPr>
            </w:pPr>
            <w:r w:rsidRPr="00EA4BAF">
              <w:rPr>
                <w:rFonts w:ascii="Arial" w:hAnsi="Arial" w:cs="Arial"/>
                <w:b/>
                <w:bCs/>
                <w:sz w:val="18"/>
                <w:szCs w:val="22"/>
              </w:rPr>
              <w:t>-</w:t>
            </w:r>
          </w:p>
        </w:tc>
        <w:tc>
          <w:tcPr>
            <w:tcW w:w="2520" w:type="dxa"/>
            <w:shd w:val="clear" w:color="auto" w:fill="FFFFFF" w:themeFill="background1"/>
            <w:vAlign w:val="center"/>
          </w:tcPr>
          <w:p w14:paraId="5D6307F5" w14:textId="76E3D8D7" w:rsidR="00901184" w:rsidRPr="00EA4BAF" w:rsidRDefault="00901184" w:rsidP="00901184">
            <w:pPr>
              <w:spacing w:after="0"/>
              <w:jc w:val="center"/>
              <w:rPr>
                <w:rFonts w:ascii="Arial" w:hAnsi="Arial" w:cs="Arial"/>
                <w:b/>
                <w:bCs/>
                <w:sz w:val="18"/>
                <w:szCs w:val="22"/>
              </w:rPr>
            </w:pPr>
            <w:r w:rsidRPr="00EA4BAF">
              <w:rPr>
                <w:rFonts w:ascii="Arial" w:hAnsi="Arial" w:cs="Arial"/>
                <w:b/>
                <w:bCs/>
                <w:sz w:val="18"/>
                <w:szCs w:val="22"/>
              </w:rPr>
              <w:t>-</w:t>
            </w:r>
          </w:p>
        </w:tc>
      </w:tr>
    </w:tbl>
    <w:p w14:paraId="62441187" w14:textId="4108B33C" w:rsidR="00201A39" w:rsidRPr="00201A39" w:rsidRDefault="00201A39" w:rsidP="00201A39">
      <w:pPr>
        <w:rPr>
          <w:rFonts w:ascii="Arial" w:hAnsi="Arial" w:cs="Arial"/>
          <w:i/>
          <w:color w:val="000000" w:themeColor="text1"/>
        </w:rPr>
      </w:pPr>
      <w:r w:rsidRPr="00201A39">
        <w:rPr>
          <w:rFonts w:ascii="Arial" w:hAnsi="Arial" w:cs="Arial"/>
        </w:rPr>
        <w:t>The cost-effectiveness values were based on Tanzania unit costs, so it is possible that the relative cost-effectiveness of the interventions could change over time.</w:t>
      </w:r>
      <w:r w:rsidR="004948E4">
        <w:rPr>
          <w:rFonts w:ascii="Arial" w:hAnsi="Arial" w:cs="Arial"/>
        </w:rPr>
        <w:t xml:space="preserve"> This prioritization analysis could be re-assessed in the future.</w:t>
      </w:r>
    </w:p>
    <w:p w14:paraId="3D373D20" w14:textId="77777777" w:rsidR="00CC2044" w:rsidRDefault="00CC2044" w:rsidP="00534FF7">
      <w:pPr>
        <w:pStyle w:val="Heading3"/>
        <w:rPr>
          <w:rFonts w:ascii="Arial" w:hAnsi="Arial" w:cs="Arial"/>
          <w:i/>
          <w:color w:val="000000" w:themeColor="text1"/>
        </w:rPr>
      </w:pPr>
    </w:p>
    <w:p w14:paraId="643572DC" w14:textId="562DFC5C" w:rsidR="00585397" w:rsidRPr="00534FF7" w:rsidRDefault="00585397" w:rsidP="00534FF7">
      <w:pPr>
        <w:pStyle w:val="Heading3"/>
        <w:rPr>
          <w:rFonts w:ascii="Arial" w:hAnsi="Arial" w:cs="Arial"/>
          <w:i/>
          <w:color w:val="000000" w:themeColor="text1"/>
        </w:rPr>
      </w:pPr>
      <w:bookmarkStart w:id="85" w:name="_Toc57035179"/>
      <w:r w:rsidRPr="00534FF7">
        <w:rPr>
          <w:rFonts w:ascii="Arial" w:hAnsi="Arial" w:cs="Arial"/>
          <w:i/>
          <w:color w:val="000000" w:themeColor="text1"/>
        </w:rPr>
        <w:t>Prioritization of geographies</w:t>
      </w:r>
      <w:bookmarkEnd w:id="85"/>
      <w:r w:rsidRPr="00534FF7">
        <w:rPr>
          <w:rFonts w:ascii="Arial" w:hAnsi="Arial" w:cs="Arial"/>
          <w:i/>
          <w:color w:val="000000" w:themeColor="text1"/>
        </w:rPr>
        <w:t xml:space="preserve">  </w:t>
      </w:r>
    </w:p>
    <w:p w14:paraId="55B86C9F" w14:textId="1F2C02DB" w:rsidR="007D3C04" w:rsidRDefault="007D3C04" w:rsidP="0051624C">
      <w:pPr>
        <w:spacing w:after="0"/>
        <w:rPr>
          <w:rFonts w:ascii="Arial" w:hAnsi="Arial" w:cs="Arial"/>
        </w:rPr>
      </w:pPr>
    </w:p>
    <w:p w14:paraId="78FF0D08" w14:textId="64B23435" w:rsidR="0096724A" w:rsidRPr="005958EF" w:rsidRDefault="00E54015" w:rsidP="00505F88">
      <w:pPr>
        <w:spacing w:after="0"/>
        <w:rPr>
          <w:rFonts w:ascii="Arial" w:hAnsi="Arial" w:cs="Arial"/>
        </w:rPr>
      </w:pPr>
      <w:r>
        <w:rPr>
          <w:rFonts w:ascii="Arial" w:hAnsi="Arial" w:cs="Arial"/>
        </w:rPr>
        <w:t xml:space="preserve">As described in Chapter </w:t>
      </w:r>
      <w:r w:rsidR="00AC1C3A">
        <w:rPr>
          <w:rFonts w:ascii="Arial" w:hAnsi="Arial" w:cs="Arial"/>
        </w:rPr>
        <w:t>3</w:t>
      </w:r>
      <w:r>
        <w:rPr>
          <w:rFonts w:ascii="Arial" w:hAnsi="Arial" w:cs="Arial"/>
        </w:rPr>
        <w:t>, g</w:t>
      </w:r>
      <w:r w:rsidR="005958EF">
        <w:rPr>
          <w:rFonts w:ascii="Arial" w:hAnsi="Arial" w:cs="Arial"/>
        </w:rPr>
        <w:t xml:space="preserve">iven the efforts by PEPFAR and partners to prioritize by geography already, </w:t>
      </w:r>
      <w:r>
        <w:rPr>
          <w:rFonts w:ascii="Arial" w:hAnsi="Arial" w:cs="Arial"/>
        </w:rPr>
        <w:t>negligible</w:t>
      </w:r>
      <w:r w:rsidR="005958EF">
        <w:rPr>
          <w:rFonts w:ascii="Arial" w:hAnsi="Arial" w:cs="Arial"/>
        </w:rPr>
        <w:t xml:space="preserve"> additional benefits </w:t>
      </w:r>
      <w:r w:rsidR="00BF1723">
        <w:rPr>
          <w:rFonts w:ascii="Arial" w:hAnsi="Arial" w:cs="Arial"/>
        </w:rPr>
        <w:t>could be gained from</w:t>
      </w:r>
      <w:r w:rsidR="005958EF">
        <w:rPr>
          <w:rFonts w:ascii="Arial" w:hAnsi="Arial" w:cs="Arial"/>
        </w:rPr>
        <w:t xml:space="preserve"> further prioritization of primary prevention interventions. Efficiency based on geography has already been near </w:t>
      </w:r>
      <w:r w:rsidR="00B06239">
        <w:rPr>
          <w:rFonts w:ascii="Arial" w:hAnsi="Arial" w:cs="Arial"/>
        </w:rPr>
        <w:t>max</w:t>
      </w:r>
      <w:r w:rsidR="00EE002C">
        <w:rPr>
          <w:rFonts w:ascii="Arial" w:hAnsi="Arial" w:cs="Arial"/>
        </w:rPr>
        <w:t>i</w:t>
      </w:r>
      <w:r w:rsidR="00B06239">
        <w:rPr>
          <w:rFonts w:ascii="Arial" w:hAnsi="Arial" w:cs="Arial"/>
        </w:rPr>
        <w:t>mized</w:t>
      </w:r>
      <w:r w:rsidR="005958EF">
        <w:rPr>
          <w:rFonts w:ascii="Arial" w:hAnsi="Arial" w:cs="Arial"/>
        </w:rPr>
        <w:t xml:space="preserve">, but efficiency gains based on resource allocation </w:t>
      </w:r>
      <w:r w:rsidR="00B06239">
        <w:rPr>
          <w:rFonts w:ascii="Arial" w:hAnsi="Arial" w:cs="Arial"/>
        </w:rPr>
        <w:t>can still be realized.</w:t>
      </w:r>
    </w:p>
    <w:p w14:paraId="7AD42240" w14:textId="77777777" w:rsidR="00FD35E7" w:rsidRDefault="00FD35E7" w:rsidP="00505F88">
      <w:pPr>
        <w:pStyle w:val="Heading2"/>
        <w:spacing w:before="0"/>
        <w:rPr>
          <w:rFonts w:ascii="Arial" w:hAnsi="Arial" w:cs="Arial"/>
          <w:b/>
          <w:color w:val="000000" w:themeColor="text1"/>
        </w:rPr>
      </w:pPr>
    </w:p>
    <w:p w14:paraId="5E470F08" w14:textId="08A29F5A" w:rsidR="00E86FB1" w:rsidRPr="00505F88" w:rsidRDefault="00BF0884" w:rsidP="00505F88">
      <w:pPr>
        <w:pStyle w:val="Heading2"/>
        <w:spacing w:before="0"/>
      </w:pPr>
      <w:bookmarkStart w:id="86" w:name="_Toc57035180"/>
      <w:r>
        <w:rPr>
          <w:rFonts w:ascii="Arial" w:hAnsi="Arial" w:cs="Arial"/>
          <w:b/>
          <w:color w:val="000000" w:themeColor="text1"/>
        </w:rPr>
        <w:t>Technical efficiencies</w:t>
      </w:r>
      <w:r w:rsidR="00901184">
        <w:rPr>
          <w:rFonts w:ascii="Arial" w:hAnsi="Arial" w:cs="Arial"/>
          <w:b/>
          <w:color w:val="000000" w:themeColor="text1"/>
        </w:rPr>
        <w:t xml:space="preserve"> in ART delivery</w:t>
      </w:r>
      <w:bookmarkEnd w:id="86"/>
    </w:p>
    <w:p w14:paraId="17C4410D" w14:textId="77777777" w:rsidR="00DB2C94" w:rsidRDefault="00DB2C94" w:rsidP="00505F88">
      <w:pPr>
        <w:spacing w:after="0"/>
        <w:rPr>
          <w:rFonts w:ascii="Arial" w:hAnsi="Arial" w:cs="Arial"/>
        </w:rPr>
      </w:pPr>
    </w:p>
    <w:p w14:paraId="7C945104" w14:textId="0F73DFD9" w:rsidR="00D36D01" w:rsidRDefault="00950828" w:rsidP="00BF0884">
      <w:pPr>
        <w:spacing w:after="0"/>
        <w:rPr>
          <w:rFonts w:ascii="Arial" w:hAnsi="Arial" w:cs="Arial"/>
        </w:rPr>
      </w:pPr>
      <w:r>
        <w:rPr>
          <w:rFonts w:ascii="Arial" w:hAnsi="Arial" w:cs="Arial"/>
        </w:rPr>
        <w:t>Prioritization alone</w:t>
      </w:r>
      <w:r w:rsidRPr="00BF0884">
        <w:rPr>
          <w:rFonts w:ascii="Arial" w:hAnsi="Arial" w:cs="Arial"/>
        </w:rPr>
        <w:t xml:space="preserve"> may not be sufficient to reach national goals if limited resources are available. </w:t>
      </w:r>
      <w:r>
        <w:rPr>
          <w:rFonts w:ascii="Arial" w:hAnsi="Arial" w:cs="Arial"/>
        </w:rPr>
        <w:t>O</w:t>
      </w:r>
      <w:r w:rsidRPr="00BF0884">
        <w:rPr>
          <w:rFonts w:ascii="Arial" w:hAnsi="Arial" w:cs="Arial"/>
        </w:rPr>
        <w:t xml:space="preserve">ther ways to stretch the value of every dollar spent might be required. Another strategy </w:t>
      </w:r>
      <w:r>
        <w:rPr>
          <w:rFonts w:ascii="Arial" w:hAnsi="Arial" w:cs="Arial"/>
        </w:rPr>
        <w:t>would</w:t>
      </w:r>
      <w:r w:rsidRPr="00BF0884">
        <w:rPr>
          <w:rFonts w:ascii="Arial" w:hAnsi="Arial" w:cs="Arial"/>
        </w:rPr>
        <w:t xml:space="preserve"> be the identification of technical efficiencies.</w:t>
      </w:r>
      <w:r>
        <w:rPr>
          <w:rFonts w:ascii="Arial" w:hAnsi="Arial" w:cs="Arial"/>
        </w:rPr>
        <w:t xml:space="preserve"> Technical efficiencies for reducing costs in the treatment program could help, since treatment accounts for a large share of total HIV spending and treatment should not de-prioritized on the basis of cost-effectiveness for ethical reasons. </w:t>
      </w:r>
      <w:r w:rsidR="00F64B72">
        <w:rPr>
          <w:rFonts w:ascii="Arial" w:hAnsi="Arial" w:cs="Arial"/>
        </w:rPr>
        <w:t>The identification of these efficiencies is described in Annex 6 and t</w:t>
      </w:r>
      <w:r w:rsidR="00D36D01">
        <w:rPr>
          <w:rFonts w:ascii="Arial" w:hAnsi="Arial" w:cs="Arial"/>
        </w:rPr>
        <w:t xml:space="preserve">he full calculations are in Annex </w:t>
      </w:r>
      <w:r w:rsidR="00E37859">
        <w:rPr>
          <w:rFonts w:ascii="Arial" w:hAnsi="Arial" w:cs="Arial"/>
        </w:rPr>
        <w:t>7</w:t>
      </w:r>
      <w:r w:rsidR="00D36D01">
        <w:rPr>
          <w:rFonts w:ascii="Arial" w:hAnsi="Arial" w:cs="Arial"/>
        </w:rPr>
        <w:t>.</w:t>
      </w:r>
    </w:p>
    <w:p w14:paraId="346E3B97" w14:textId="40E06BCC" w:rsidR="00505F88" w:rsidRPr="00505F88" w:rsidRDefault="00D36D01" w:rsidP="00BF0884">
      <w:pPr>
        <w:spacing w:after="0"/>
        <w:rPr>
          <w:rFonts w:ascii="Arial" w:hAnsi="Arial" w:cs="Arial"/>
        </w:rPr>
      </w:pPr>
      <w:r w:rsidRPr="00505F88">
        <w:rPr>
          <w:rFonts w:ascii="Arial" w:hAnsi="Arial" w:cs="Arial"/>
        </w:rPr>
        <w:t xml:space="preserve"> </w:t>
      </w:r>
    </w:p>
    <w:p w14:paraId="0919EDD3" w14:textId="06869179" w:rsidR="00DA19B8" w:rsidRPr="00F07840" w:rsidRDefault="00DA19B8" w:rsidP="00F07840">
      <w:pPr>
        <w:pStyle w:val="Heading3"/>
        <w:rPr>
          <w:rFonts w:ascii="Arial" w:hAnsi="Arial" w:cs="Arial"/>
          <w:i/>
          <w:color w:val="000000" w:themeColor="text1"/>
        </w:rPr>
      </w:pPr>
      <w:bookmarkStart w:id="87" w:name="_Toc57035181"/>
      <w:r w:rsidRPr="00F07840">
        <w:rPr>
          <w:rFonts w:ascii="Arial" w:hAnsi="Arial" w:cs="Arial"/>
          <w:i/>
          <w:color w:val="000000" w:themeColor="text1"/>
        </w:rPr>
        <w:t>Dolutegravir-switch</w:t>
      </w:r>
      <w:bookmarkEnd w:id="87"/>
    </w:p>
    <w:p w14:paraId="0F3EAD7D" w14:textId="25C150CB" w:rsidR="00DA19B8" w:rsidRDefault="00DA19B8" w:rsidP="00BF0884">
      <w:pPr>
        <w:spacing w:after="0"/>
        <w:rPr>
          <w:rFonts w:ascii="Arial" w:hAnsi="Arial" w:cs="Arial"/>
        </w:rPr>
      </w:pPr>
    </w:p>
    <w:p w14:paraId="044553A4" w14:textId="1A1AEA9F" w:rsidR="00DA19B8" w:rsidRDefault="00397642" w:rsidP="00BF0884">
      <w:pPr>
        <w:spacing w:after="0"/>
        <w:rPr>
          <w:rFonts w:ascii="Arial" w:hAnsi="Arial" w:cs="Arial"/>
        </w:rPr>
      </w:pPr>
      <w:r>
        <w:rPr>
          <w:rFonts w:ascii="Arial" w:hAnsi="Arial" w:cs="Arial"/>
        </w:rPr>
        <w:t xml:space="preserve">Dolutegravir </w:t>
      </w:r>
      <w:r w:rsidR="00EE002C">
        <w:rPr>
          <w:rFonts w:ascii="Arial" w:hAnsi="Arial" w:cs="Arial"/>
        </w:rPr>
        <w:t xml:space="preserve">(DTG) </w:t>
      </w:r>
      <w:r>
        <w:rPr>
          <w:rFonts w:ascii="Arial" w:hAnsi="Arial" w:cs="Arial"/>
        </w:rPr>
        <w:t>is registered in Tanzania</w:t>
      </w:r>
      <w:r w:rsidR="00CB2B32">
        <w:rPr>
          <w:rFonts w:ascii="Arial" w:hAnsi="Arial" w:cs="Arial"/>
        </w:rPr>
        <w:t xml:space="preserve"> and introduced,</w:t>
      </w:r>
      <w:r>
        <w:rPr>
          <w:rFonts w:ascii="Arial" w:hAnsi="Arial" w:cs="Arial"/>
        </w:rPr>
        <w:t xml:space="preserve"> but it has not been scaled nationally. </w:t>
      </w:r>
      <w:r w:rsidR="00DA19B8">
        <w:rPr>
          <w:rFonts w:ascii="Arial" w:hAnsi="Arial" w:cs="Arial"/>
        </w:rPr>
        <w:t>Switching to Dolutegravir</w:t>
      </w:r>
      <w:r w:rsidR="000E7E9D">
        <w:rPr>
          <w:rFonts w:ascii="Arial" w:hAnsi="Arial" w:cs="Arial"/>
        </w:rPr>
        <w:t xml:space="preserve"> </w:t>
      </w:r>
      <w:r w:rsidR="00DA19B8">
        <w:rPr>
          <w:rFonts w:ascii="Arial" w:hAnsi="Arial" w:cs="Arial"/>
        </w:rPr>
        <w:t xml:space="preserve">would </w:t>
      </w:r>
      <w:r w:rsidR="00EE002C">
        <w:rPr>
          <w:rFonts w:ascii="Arial" w:hAnsi="Arial" w:cs="Arial"/>
        </w:rPr>
        <w:t xml:space="preserve">lower the </w:t>
      </w:r>
      <w:r w:rsidR="00DA19B8">
        <w:rPr>
          <w:rFonts w:ascii="Arial" w:hAnsi="Arial" w:cs="Arial"/>
        </w:rPr>
        <w:t xml:space="preserve">costs of ARVs. </w:t>
      </w:r>
      <w:r w:rsidR="00DB2C94">
        <w:rPr>
          <w:rFonts w:ascii="Arial" w:hAnsi="Arial" w:cs="Arial"/>
        </w:rPr>
        <w:t xml:space="preserve">At baseline, the average cost of </w:t>
      </w:r>
      <w:r w:rsidR="0064760A">
        <w:rPr>
          <w:rFonts w:ascii="Arial" w:hAnsi="Arial" w:cs="Arial"/>
        </w:rPr>
        <w:t>first-line ARVs</w:t>
      </w:r>
      <w:r w:rsidR="000D0903">
        <w:rPr>
          <w:rFonts w:ascii="Arial" w:hAnsi="Arial" w:cs="Arial"/>
        </w:rPr>
        <w:t xml:space="preserve"> </w:t>
      </w:r>
      <w:r w:rsidR="0064760A">
        <w:rPr>
          <w:rFonts w:ascii="Arial" w:hAnsi="Arial" w:cs="Arial"/>
        </w:rPr>
        <w:t xml:space="preserve">for adults </w:t>
      </w:r>
      <w:r w:rsidR="000D0903">
        <w:rPr>
          <w:rFonts w:ascii="Arial" w:hAnsi="Arial" w:cs="Arial"/>
        </w:rPr>
        <w:t>was USD 9</w:t>
      </w:r>
      <w:r w:rsidR="0064760A">
        <w:rPr>
          <w:rFonts w:ascii="Arial" w:hAnsi="Arial" w:cs="Arial"/>
        </w:rPr>
        <w:t>1</w:t>
      </w:r>
      <w:r w:rsidR="000D0903">
        <w:rPr>
          <w:rFonts w:ascii="Arial" w:hAnsi="Arial" w:cs="Arial"/>
        </w:rPr>
        <w:t xml:space="preserve"> per patient</w:t>
      </w:r>
      <w:r w:rsidR="00607E5F">
        <w:rPr>
          <w:rFonts w:ascii="Arial" w:hAnsi="Arial" w:cs="Arial"/>
        </w:rPr>
        <w:t xml:space="preserve"> (without DTG)</w:t>
      </w:r>
      <w:r w:rsidR="0044622C">
        <w:rPr>
          <w:rFonts w:ascii="Arial" w:hAnsi="Arial" w:cs="Arial"/>
        </w:rPr>
        <w:t xml:space="preserve"> per year</w:t>
      </w:r>
      <w:r w:rsidR="00DB2C94">
        <w:rPr>
          <w:rFonts w:ascii="Arial" w:hAnsi="Arial" w:cs="Arial"/>
        </w:rPr>
        <w:t>.</w:t>
      </w:r>
      <w:r w:rsidR="000E7E9D">
        <w:rPr>
          <w:rStyle w:val="FootnoteReference"/>
          <w:rFonts w:ascii="Arial" w:hAnsi="Arial" w:cs="Arial"/>
        </w:rPr>
        <w:footnoteReference w:id="3"/>
      </w:r>
      <w:r w:rsidR="00CB2B32">
        <w:rPr>
          <w:rFonts w:ascii="Arial" w:hAnsi="Arial" w:cs="Arial"/>
        </w:rPr>
        <w:t xml:space="preserve"> </w:t>
      </w:r>
    </w:p>
    <w:p w14:paraId="06F427E4" w14:textId="5E05E377" w:rsidR="000D0903" w:rsidRPr="00EC3971" w:rsidRDefault="000D0903" w:rsidP="00BF0884">
      <w:pPr>
        <w:spacing w:after="0"/>
        <w:rPr>
          <w:rFonts w:ascii="Arial" w:hAnsi="Arial" w:cs="Arial"/>
        </w:rPr>
      </w:pPr>
    </w:p>
    <w:p w14:paraId="22F42FBD" w14:textId="18D6A3D6" w:rsidR="000D0903" w:rsidRDefault="000D0903" w:rsidP="00BF0884">
      <w:pPr>
        <w:spacing w:after="0"/>
        <w:rPr>
          <w:rFonts w:ascii="Arial" w:hAnsi="Arial" w:cs="Arial"/>
        </w:rPr>
      </w:pPr>
      <w:r w:rsidRPr="00EC3971">
        <w:rPr>
          <w:rFonts w:ascii="Arial" w:hAnsi="Arial" w:cs="Arial"/>
        </w:rPr>
        <w:t>In 2017, a global coalition announced a new price agreement to make a fixed-dose combination antiretroviral therapy regimen containing tenofovir, lamivudine and dolutegravir (TLD) more widely available at a reduced price in countries with some of the world’s most significant HIV burde</w:t>
      </w:r>
      <w:r w:rsidR="00EC3971" w:rsidRPr="00EC3971">
        <w:rPr>
          <w:rFonts w:ascii="Arial" w:hAnsi="Arial" w:cs="Arial"/>
        </w:rPr>
        <w:t>n. Ministries of Health and program managers from the 92 low- and middle-income countries covered under the agreement</w:t>
      </w:r>
      <w:r w:rsidR="00EC3971">
        <w:rPr>
          <w:rFonts w:ascii="Arial" w:hAnsi="Arial" w:cs="Arial"/>
        </w:rPr>
        <w:t xml:space="preserve">, including Tanzania would be eligible </w:t>
      </w:r>
      <w:r w:rsidR="00EC3971" w:rsidRPr="00EC3971">
        <w:rPr>
          <w:rFonts w:ascii="Arial" w:hAnsi="Arial" w:cs="Arial"/>
        </w:rPr>
        <w:t>to order TLD at a projected average price of US</w:t>
      </w:r>
      <w:r w:rsidR="001940AB">
        <w:rPr>
          <w:rFonts w:ascii="Arial" w:hAnsi="Arial" w:cs="Arial"/>
        </w:rPr>
        <w:t>D</w:t>
      </w:r>
      <w:r w:rsidR="00EC3971" w:rsidRPr="00EC3971">
        <w:rPr>
          <w:rFonts w:ascii="Arial" w:hAnsi="Arial" w:cs="Arial"/>
        </w:rPr>
        <w:t xml:space="preserve"> 75 per person per year (UNAIDS 2017).</w:t>
      </w:r>
    </w:p>
    <w:p w14:paraId="54AC1CEB" w14:textId="69DE4B85" w:rsidR="00EC3971" w:rsidRDefault="00EC3971" w:rsidP="00BF0884">
      <w:pPr>
        <w:spacing w:after="0"/>
        <w:rPr>
          <w:rFonts w:ascii="Arial" w:hAnsi="Arial" w:cs="Arial"/>
        </w:rPr>
      </w:pPr>
    </w:p>
    <w:p w14:paraId="5BC24C5F" w14:textId="15A7A0D8" w:rsidR="001940AB" w:rsidRDefault="00EC3971" w:rsidP="00BF0884">
      <w:pPr>
        <w:spacing w:after="0"/>
        <w:rPr>
          <w:rFonts w:ascii="Arial" w:hAnsi="Arial" w:cs="Arial"/>
        </w:rPr>
      </w:pPr>
      <w:r>
        <w:rPr>
          <w:rFonts w:ascii="Arial" w:hAnsi="Arial" w:cs="Arial"/>
        </w:rPr>
        <w:t xml:space="preserve">Assuming a reduction in </w:t>
      </w:r>
      <w:r w:rsidR="0064760A">
        <w:rPr>
          <w:rFonts w:ascii="Arial" w:hAnsi="Arial" w:cs="Arial"/>
        </w:rPr>
        <w:t xml:space="preserve">first-line </w:t>
      </w:r>
      <w:r>
        <w:rPr>
          <w:rFonts w:ascii="Arial" w:hAnsi="Arial" w:cs="Arial"/>
        </w:rPr>
        <w:t>A</w:t>
      </w:r>
      <w:r w:rsidR="006C23BF">
        <w:rPr>
          <w:rFonts w:ascii="Arial" w:hAnsi="Arial" w:cs="Arial"/>
        </w:rPr>
        <w:t>R</w:t>
      </w:r>
      <w:r>
        <w:rPr>
          <w:rFonts w:ascii="Arial" w:hAnsi="Arial" w:cs="Arial"/>
        </w:rPr>
        <w:t xml:space="preserve">VS </w:t>
      </w:r>
      <w:r w:rsidR="0064760A">
        <w:rPr>
          <w:rFonts w:ascii="Arial" w:hAnsi="Arial" w:cs="Arial"/>
        </w:rPr>
        <w:t xml:space="preserve">for adults </w:t>
      </w:r>
      <w:r>
        <w:rPr>
          <w:rFonts w:ascii="Arial" w:hAnsi="Arial" w:cs="Arial"/>
        </w:rPr>
        <w:t xml:space="preserve">from USD </w:t>
      </w:r>
      <w:r w:rsidR="0064760A">
        <w:rPr>
          <w:rFonts w:ascii="Arial" w:hAnsi="Arial" w:cs="Arial"/>
        </w:rPr>
        <w:t xml:space="preserve">91 </w:t>
      </w:r>
      <w:r>
        <w:rPr>
          <w:rFonts w:ascii="Arial" w:hAnsi="Arial" w:cs="Arial"/>
        </w:rPr>
        <w:t xml:space="preserve">to USD </w:t>
      </w:r>
      <w:r w:rsidR="0064760A">
        <w:rPr>
          <w:rFonts w:ascii="Arial" w:hAnsi="Arial" w:cs="Arial"/>
        </w:rPr>
        <w:t>75</w:t>
      </w:r>
      <w:r w:rsidR="00110371">
        <w:rPr>
          <w:rFonts w:ascii="Arial" w:hAnsi="Arial" w:cs="Arial"/>
        </w:rPr>
        <w:t xml:space="preserve"> per year</w:t>
      </w:r>
      <w:r>
        <w:rPr>
          <w:rFonts w:ascii="Arial" w:hAnsi="Arial" w:cs="Arial"/>
        </w:rPr>
        <w:t xml:space="preserve">, an average savings of </w:t>
      </w:r>
      <w:r w:rsidR="00EE002C">
        <w:rPr>
          <w:rFonts w:ascii="Arial" w:hAnsi="Arial" w:cs="Arial"/>
        </w:rPr>
        <w:t xml:space="preserve">approximately </w:t>
      </w:r>
      <w:r>
        <w:rPr>
          <w:rFonts w:ascii="Arial" w:hAnsi="Arial" w:cs="Arial"/>
        </w:rPr>
        <w:t>USD 1</w:t>
      </w:r>
      <w:r w:rsidR="00EE002C">
        <w:rPr>
          <w:rFonts w:ascii="Arial" w:hAnsi="Arial" w:cs="Arial"/>
        </w:rPr>
        <w:t>5</w:t>
      </w:r>
      <w:r>
        <w:rPr>
          <w:rFonts w:ascii="Arial" w:hAnsi="Arial" w:cs="Arial"/>
        </w:rPr>
        <w:t xml:space="preserve"> per patient on ART </w:t>
      </w:r>
      <w:r w:rsidR="00110371">
        <w:rPr>
          <w:rFonts w:ascii="Arial" w:hAnsi="Arial" w:cs="Arial"/>
        </w:rPr>
        <w:t xml:space="preserve">per year </w:t>
      </w:r>
      <w:r>
        <w:rPr>
          <w:rFonts w:ascii="Arial" w:hAnsi="Arial" w:cs="Arial"/>
        </w:rPr>
        <w:t>was estimated</w:t>
      </w:r>
      <w:r w:rsidR="00EE002C">
        <w:rPr>
          <w:rFonts w:ascii="Arial" w:hAnsi="Arial" w:cs="Arial"/>
        </w:rPr>
        <w:t xml:space="preserve"> when both first</w:t>
      </w:r>
      <w:r w:rsidR="00505F88">
        <w:rPr>
          <w:rFonts w:ascii="Arial" w:hAnsi="Arial" w:cs="Arial"/>
        </w:rPr>
        <w:t>-</w:t>
      </w:r>
      <w:r w:rsidR="00EE002C">
        <w:rPr>
          <w:rFonts w:ascii="Arial" w:hAnsi="Arial" w:cs="Arial"/>
        </w:rPr>
        <w:t>and second</w:t>
      </w:r>
      <w:r w:rsidR="00505F88">
        <w:rPr>
          <w:rFonts w:ascii="Arial" w:hAnsi="Arial" w:cs="Arial"/>
        </w:rPr>
        <w:t>-</w:t>
      </w:r>
      <w:r w:rsidR="00EE002C">
        <w:rPr>
          <w:rFonts w:ascii="Arial" w:hAnsi="Arial" w:cs="Arial"/>
        </w:rPr>
        <w:t xml:space="preserve">line treatment are </w:t>
      </w:r>
      <w:r w:rsidR="0064760A">
        <w:rPr>
          <w:rFonts w:ascii="Arial" w:hAnsi="Arial" w:cs="Arial"/>
        </w:rPr>
        <w:t>accounted for.</w:t>
      </w:r>
      <w:r w:rsidR="00D36D01">
        <w:rPr>
          <w:rFonts w:ascii="Arial" w:hAnsi="Arial" w:cs="Arial"/>
        </w:rPr>
        <w:t xml:space="preserve"> </w:t>
      </w:r>
    </w:p>
    <w:p w14:paraId="5AD23218" w14:textId="4CD8A254" w:rsidR="00CB2B32" w:rsidRDefault="00CB2B32" w:rsidP="00BF0884">
      <w:pPr>
        <w:spacing w:after="0"/>
        <w:rPr>
          <w:rFonts w:ascii="Arial" w:hAnsi="Arial" w:cs="Arial"/>
        </w:rPr>
      </w:pPr>
    </w:p>
    <w:p w14:paraId="2DD841AA" w14:textId="0EADD079" w:rsidR="00CB2B32" w:rsidRDefault="00CB2B32" w:rsidP="00BF0884">
      <w:pPr>
        <w:spacing w:after="0"/>
        <w:rPr>
          <w:rFonts w:ascii="Arial" w:hAnsi="Arial" w:cs="Arial"/>
        </w:rPr>
      </w:pPr>
      <w:r>
        <w:rPr>
          <w:rFonts w:ascii="Arial" w:hAnsi="Arial" w:cs="Arial"/>
        </w:rPr>
        <w:t xml:space="preserve">This technical efficiency should be relatively straightforward for Tanzania to achieve given how it is already approved policy and being implemented. Efforts to ensure </w:t>
      </w:r>
      <w:r w:rsidR="00427751">
        <w:rPr>
          <w:rFonts w:ascii="Arial" w:hAnsi="Arial" w:cs="Arial"/>
        </w:rPr>
        <w:t>TLD</w:t>
      </w:r>
      <w:r>
        <w:rPr>
          <w:rFonts w:ascii="Arial" w:hAnsi="Arial" w:cs="Arial"/>
        </w:rPr>
        <w:t xml:space="preserve"> is implemented at scale should be a priority.</w:t>
      </w:r>
    </w:p>
    <w:p w14:paraId="11EA0BBD" w14:textId="77777777" w:rsidR="0044622C" w:rsidRDefault="0044622C" w:rsidP="00BF0884">
      <w:pPr>
        <w:spacing w:after="0"/>
        <w:rPr>
          <w:rFonts w:ascii="Arial" w:hAnsi="Arial" w:cs="Arial"/>
        </w:rPr>
      </w:pPr>
    </w:p>
    <w:p w14:paraId="46B5FFAB" w14:textId="68EF3704" w:rsidR="00436EF4" w:rsidRPr="0044622C" w:rsidRDefault="00E21CE8" w:rsidP="00F07840">
      <w:pPr>
        <w:pStyle w:val="Heading3"/>
        <w:rPr>
          <w:rFonts w:ascii="Arial" w:hAnsi="Arial" w:cs="Arial"/>
          <w:i/>
          <w:color w:val="000000" w:themeColor="text1"/>
        </w:rPr>
      </w:pPr>
      <w:bookmarkStart w:id="88" w:name="_Toc57035182"/>
      <w:r>
        <w:rPr>
          <w:rFonts w:ascii="Arial" w:hAnsi="Arial" w:cs="Arial"/>
          <w:i/>
          <w:color w:val="000000" w:themeColor="text1"/>
        </w:rPr>
        <w:t>Simplified lab testing algorithm for stable patients</w:t>
      </w:r>
      <w:bookmarkEnd w:id="88"/>
    </w:p>
    <w:p w14:paraId="0F0FA712" w14:textId="66891B6E" w:rsidR="00F94B62" w:rsidRDefault="00F94B62" w:rsidP="00BF0884">
      <w:pPr>
        <w:spacing w:after="0"/>
        <w:rPr>
          <w:rFonts w:ascii="Arial" w:hAnsi="Arial" w:cs="Arial"/>
        </w:rPr>
      </w:pPr>
    </w:p>
    <w:p w14:paraId="727B656D" w14:textId="429EE58E" w:rsidR="00BD2E89" w:rsidRDefault="00686B00" w:rsidP="00BF0884">
      <w:pPr>
        <w:spacing w:after="0"/>
        <w:rPr>
          <w:rFonts w:ascii="Arial" w:hAnsi="Arial" w:cs="Arial"/>
        </w:rPr>
      </w:pPr>
      <w:r>
        <w:rPr>
          <w:rFonts w:ascii="Arial" w:hAnsi="Arial" w:cs="Arial"/>
        </w:rPr>
        <w:t>PEPFAR issued recommendations for differentiated service delivery models</w:t>
      </w:r>
      <w:r w:rsidR="00950828">
        <w:rPr>
          <w:rFonts w:ascii="Arial" w:hAnsi="Arial" w:cs="Arial"/>
        </w:rPr>
        <w:t xml:space="preserve"> (DSDM)</w:t>
      </w:r>
      <w:r>
        <w:rPr>
          <w:rFonts w:ascii="Arial" w:hAnsi="Arial" w:cs="Arial"/>
        </w:rPr>
        <w:t xml:space="preserve"> as part of the COP </w:t>
      </w:r>
      <w:r w:rsidR="00AB17F8">
        <w:rPr>
          <w:rFonts w:ascii="Arial" w:hAnsi="Arial" w:cs="Arial"/>
        </w:rPr>
        <w:t>2016.</w:t>
      </w:r>
      <w:r w:rsidR="00950828">
        <w:rPr>
          <w:rFonts w:ascii="Arial" w:hAnsi="Arial" w:cs="Arial"/>
        </w:rPr>
        <w:t xml:space="preserve"> </w:t>
      </w:r>
      <w:r w:rsidR="00A06CE7">
        <w:rPr>
          <w:rFonts w:ascii="Arial" w:hAnsi="Arial" w:cs="Arial"/>
        </w:rPr>
        <w:t>These recommendations involved both longer ARV prescription lengths and simplified lab algorithms for stable patients</w:t>
      </w:r>
      <w:r w:rsidR="007F477B">
        <w:rPr>
          <w:rFonts w:ascii="Arial" w:hAnsi="Arial" w:cs="Arial"/>
        </w:rPr>
        <w:t xml:space="preserve"> at the facility-level</w:t>
      </w:r>
      <w:r w:rsidR="00A06CE7">
        <w:rPr>
          <w:rFonts w:ascii="Arial" w:hAnsi="Arial" w:cs="Arial"/>
        </w:rPr>
        <w:t xml:space="preserve">. </w:t>
      </w:r>
      <w:r w:rsidR="00AB17F8">
        <w:rPr>
          <w:rFonts w:ascii="Arial" w:hAnsi="Arial" w:cs="Arial"/>
        </w:rPr>
        <w:t xml:space="preserve">The full recommendations are in Annex </w:t>
      </w:r>
      <w:r w:rsidR="0071346A">
        <w:rPr>
          <w:rFonts w:ascii="Arial" w:hAnsi="Arial" w:cs="Arial"/>
        </w:rPr>
        <w:t>8</w:t>
      </w:r>
      <w:r w:rsidR="00AB17F8">
        <w:rPr>
          <w:rFonts w:ascii="Arial" w:hAnsi="Arial" w:cs="Arial"/>
        </w:rPr>
        <w:t xml:space="preserve">. </w:t>
      </w:r>
      <w:r w:rsidR="008B1B37">
        <w:rPr>
          <w:rFonts w:ascii="Arial" w:hAnsi="Arial" w:cs="Arial"/>
        </w:rPr>
        <w:t xml:space="preserve">Health Policy Plus analyzed </w:t>
      </w:r>
      <w:r w:rsidR="008B1B37" w:rsidRPr="008B1B37">
        <w:rPr>
          <w:rFonts w:ascii="Arial" w:hAnsi="Arial" w:cs="Arial"/>
          <w:bCs/>
        </w:rPr>
        <w:t xml:space="preserve">the potential cost savings of differentiated service delivery </w:t>
      </w:r>
      <w:r w:rsidR="00E8612E">
        <w:rPr>
          <w:rFonts w:ascii="Arial" w:hAnsi="Arial" w:cs="Arial"/>
          <w:bCs/>
        </w:rPr>
        <w:t>(including moving from 1</w:t>
      </w:r>
      <w:r w:rsidR="00BD2E89">
        <w:rPr>
          <w:rFonts w:ascii="Arial" w:hAnsi="Arial" w:cs="Arial"/>
          <w:bCs/>
        </w:rPr>
        <w:t xml:space="preserve">- </w:t>
      </w:r>
      <w:r w:rsidR="00E8612E">
        <w:rPr>
          <w:rFonts w:ascii="Arial" w:hAnsi="Arial" w:cs="Arial"/>
          <w:bCs/>
        </w:rPr>
        <w:t>to 3</w:t>
      </w:r>
      <w:r w:rsidR="00BD2E89">
        <w:rPr>
          <w:rFonts w:ascii="Arial" w:hAnsi="Arial" w:cs="Arial"/>
          <w:bCs/>
        </w:rPr>
        <w:t>-</w:t>
      </w:r>
      <w:r w:rsidR="00E8612E">
        <w:rPr>
          <w:rFonts w:ascii="Arial" w:hAnsi="Arial" w:cs="Arial"/>
          <w:bCs/>
        </w:rPr>
        <w:t xml:space="preserve">month prescriptions) </w:t>
      </w:r>
      <w:r w:rsidR="008B1B37" w:rsidRPr="008B1B37">
        <w:rPr>
          <w:rFonts w:ascii="Arial" w:hAnsi="Arial" w:cs="Arial"/>
          <w:bCs/>
        </w:rPr>
        <w:t xml:space="preserve">and found that it could save the national program </w:t>
      </w:r>
      <w:r w:rsidR="00474D3B">
        <w:rPr>
          <w:rFonts w:ascii="Arial" w:hAnsi="Arial" w:cs="Arial"/>
          <w:bCs/>
        </w:rPr>
        <w:t xml:space="preserve">USD </w:t>
      </w:r>
      <w:r w:rsidR="008B1B37" w:rsidRPr="008B1B37">
        <w:rPr>
          <w:rFonts w:ascii="Arial" w:hAnsi="Arial" w:cs="Arial"/>
          <w:bCs/>
        </w:rPr>
        <w:t>250 M over 4 y</w:t>
      </w:r>
      <w:r w:rsidR="00422204">
        <w:rPr>
          <w:rFonts w:ascii="Arial" w:hAnsi="Arial" w:cs="Arial"/>
          <w:bCs/>
        </w:rPr>
        <w:t xml:space="preserve">ear </w:t>
      </w:r>
      <w:r w:rsidR="00E42EF2">
        <w:rPr>
          <w:rFonts w:ascii="Arial" w:hAnsi="Arial" w:cs="Arial"/>
          <w:bCs/>
        </w:rPr>
        <w:t>(</w:t>
      </w:r>
      <w:r w:rsidR="00474D3B">
        <w:rPr>
          <w:rFonts w:ascii="Arial" w:hAnsi="Arial" w:cs="Arial"/>
          <w:bCs/>
        </w:rPr>
        <w:t>Fors</w:t>
      </w:r>
      <w:r w:rsidR="00121628">
        <w:rPr>
          <w:rFonts w:ascii="Arial" w:hAnsi="Arial" w:cs="Arial"/>
          <w:bCs/>
        </w:rPr>
        <w:t>y</w:t>
      </w:r>
      <w:r w:rsidR="00474D3B">
        <w:rPr>
          <w:rFonts w:ascii="Arial" w:hAnsi="Arial" w:cs="Arial"/>
          <w:bCs/>
        </w:rPr>
        <w:t>the et al 2016</w:t>
      </w:r>
      <w:r w:rsidR="00E42EF2">
        <w:rPr>
          <w:rFonts w:ascii="Arial" w:hAnsi="Arial" w:cs="Arial"/>
          <w:bCs/>
        </w:rPr>
        <w:t>)</w:t>
      </w:r>
      <w:r w:rsidR="008B1B37" w:rsidRPr="008B1B37">
        <w:rPr>
          <w:rFonts w:ascii="Arial" w:hAnsi="Arial" w:cs="Arial"/>
          <w:bCs/>
        </w:rPr>
        <w:t>.</w:t>
      </w:r>
      <w:r w:rsidR="008B1B37">
        <w:rPr>
          <w:rFonts w:ascii="Arial" w:hAnsi="Arial" w:cs="Arial"/>
        </w:rPr>
        <w:t xml:space="preserve"> In 2018</w:t>
      </w:r>
      <w:r w:rsidR="00C0234D">
        <w:rPr>
          <w:rFonts w:ascii="Arial" w:hAnsi="Arial" w:cs="Arial"/>
        </w:rPr>
        <w:t xml:space="preserve">, two- to three-month prescriptions </w:t>
      </w:r>
      <w:r w:rsidR="008B1B37">
        <w:rPr>
          <w:rFonts w:ascii="Arial" w:hAnsi="Arial" w:cs="Arial"/>
        </w:rPr>
        <w:t>were already being</w:t>
      </w:r>
      <w:r w:rsidR="00C0234D">
        <w:rPr>
          <w:rFonts w:ascii="Arial" w:hAnsi="Arial" w:cs="Arial"/>
        </w:rPr>
        <w:t xml:space="preserve"> implemented</w:t>
      </w:r>
      <w:r w:rsidR="008B1B37">
        <w:rPr>
          <w:rFonts w:ascii="Arial" w:hAnsi="Arial" w:cs="Arial"/>
        </w:rPr>
        <w:t xml:space="preserve"> for s</w:t>
      </w:r>
      <w:r w:rsidR="0028213B">
        <w:rPr>
          <w:rFonts w:ascii="Arial" w:hAnsi="Arial" w:cs="Arial"/>
        </w:rPr>
        <w:t>table</w:t>
      </w:r>
      <w:r w:rsidR="008B1B37">
        <w:rPr>
          <w:rFonts w:ascii="Arial" w:hAnsi="Arial" w:cs="Arial"/>
        </w:rPr>
        <w:t xml:space="preserve"> patients. In 2019, PEPFAR ha</w:t>
      </w:r>
      <w:r w:rsidR="00E42EF2">
        <w:rPr>
          <w:rFonts w:ascii="Arial" w:hAnsi="Arial" w:cs="Arial"/>
        </w:rPr>
        <w:t>s</w:t>
      </w:r>
      <w:r w:rsidR="008B1B37">
        <w:rPr>
          <w:rFonts w:ascii="Arial" w:hAnsi="Arial" w:cs="Arial"/>
        </w:rPr>
        <w:t xml:space="preserve"> plans to implement 6-month prescriptions in 3 regions.</w:t>
      </w:r>
      <w:r w:rsidR="00E42EF2">
        <w:rPr>
          <w:rFonts w:ascii="Arial" w:hAnsi="Arial" w:cs="Arial"/>
        </w:rPr>
        <w:t xml:space="preserve"> The cost savings for multi-month scripts are likely related to patient time and reduced clinic </w:t>
      </w:r>
      <w:r w:rsidR="00950828">
        <w:rPr>
          <w:rFonts w:ascii="Arial" w:hAnsi="Arial" w:cs="Arial"/>
        </w:rPr>
        <w:t>burden (which may improve quality of care but is not likely to lower clinic operating costs)</w:t>
      </w:r>
      <w:r w:rsidR="00A06CE7">
        <w:rPr>
          <w:rFonts w:ascii="Arial" w:hAnsi="Arial" w:cs="Arial"/>
        </w:rPr>
        <w:t xml:space="preserve"> (Forsythe et al 2016). The</w:t>
      </w:r>
      <w:r w:rsidR="00950828">
        <w:rPr>
          <w:rFonts w:ascii="Arial" w:hAnsi="Arial" w:cs="Arial"/>
        </w:rPr>
        <w:t xml:space="preserve"> real financial savings to (government) providers</w:t>
      </w:r>
      <w:r w:rsidR="00474D3B">
        <w:rPr>
          <w:rFonts w:ascii="Arial" w:hAnsi="Arial" w:cs="Arial"/>
        </w:rPr>
        <w:t xml:space="preserve"> </w:t>
      </w:r>
      <w:r w:rsidR="00A06CE7">
        <w:rPr>
          <w:rFonts w:ascii="Arial" w:hAnsi="Arial" w:cs="Arial"/>
        </w:rPr>
        <w:t>would be from</w:t>
      </w:r>
      <w:r w:rsidR="00474D3B">
        <w:rPr>
          <w:rFonts w:ascii="Arial" w:hAnsi="Arial" w:cs="Arial"/>
        </w:rPr>
        <w:t xml:space="preserve"> implementing the full DSDM lab recommendations</w:t>
      </w:r>
      <w:r w:rsidR="00A06CE7">
        <w:rPr>
          <w:rFonts w:ascii="Arial" w:hAnsi="Arial" w:cs="Arial"/>
        </w:rPr>
        <w:t xml:space="preserve">, which would reduce the volume of lab commodities used. For stable patients, the streamlined lab algorithm would forgo </w:t>
      </w:r>
      <w:r w:rsidR="00E54015">
        <w:rPr>
          <w:rFonts w:ascii="Arial" w:hAnsi="Arial" w:cs="Arial"/>
        </w:rPr>
        <w:t xml:space="preserve">routine </w:t>
      </w:r>
      <w:r w:rsidR="00A06CE7">
        <w:rPr>
          <w:rFonts w:ascii="Arial" w:hAnsi="Arial" w:cs="Arial"/>
        </w:rPr>
        <w:t>CD4, clinical chemistry, and hematology lab tests and would only require one viral load test annually.</w:t>
      </w:r>
    </w:p>
    <w:p w14:paraId="229D8992" w14:textId="77777777" w:rsidR="00BD2E89" w:rsidRDefault="00BD2E89" w:rsidP="00BF0884">
      <w:pPr>
        <w:spacing w:after="0"/>
        <w:rPr>
          <w:rFonts w:ascii="Arial" w:hAnsi="Arial" w:cs="Arial"/>
        </w:rPr>
      </w:pPr>
    </w:p>
    <w:p w14:paraId="61F614D4" w14:textId="2D17AD40" w:rsidR="00436EF4" w:rsidRDefault="00F07840" w:rsidP="00BF0884">
      <w:pPr>
        <w:spacing w:after="0"/>
        <w:rPr>
          <w:rFonts w:ascii="Arial" w:hAnsi="Arial" w:cs="Arial"/>
        </w:rPr>
      </w:pPr>
      <w:r>
        <w:rPr>
          <w:rFonts w:ascii="Arial" w:hAnsi="Arial" w:cs="Arial"/>
        </w:rPr>
        <w:t>On average, the savings f</w:t>
      </w:r>
      <w:r w:rsidR="00110371">
        <w:rPr>
          <w:rFonts w:ascii="Arial" w:hAnsi="Arial" w:cs="Arial"/>
        </w:rPr>
        <w:t>rom</w:t>
      </w:r>
      <w:r>
        <w:rPr>
          <w:rFonts w:ascii="Arial" w:hAnsi="Arial" w:cs="Arial"/>
        </w:rPr>
        <w:t xml:space="preserve"> </w:t>
      </w:r>
      <w:r w:rsidR="00110371">
        <w:rPr>
          <w:rFonts w:ascii="Arial" w:hAnsi="Arial" w:cs="Arial"/>
        </w:rPr>
        <w:t xml:space="preserve">implementing a </w:t>
      </w:r>
      <w:r>
        <w:rPr>
          <w:rFonts w:ascii="Arial" w:hAnsi="Arial" w:cs="Arial"/>
        </w:rPr>
        <w:t xml:space="preserve">simplified lab algorithm for stable </w:t>
      </w:r>
      <w:r w:rsidR="00197A36">
        <w:rPr>
          <w:rFonts w:ascii="Arial" w:hAnsi="Arial" w:cs="Arial"/>
        </w:rPr>
        <w:t>patients</w:t>
      </w:r>
      <w:r>
        <w:rPr>
          <w:rFonts w:ascii="Arial" w:hAnsi="Arial" w:cs="Arial"/>
        </w:rPr>
        <w:t xml:space="preserve"> would be USD 1</w:t>
      </w:r>
      <w:r w:rsidR="00667C88">
        <w:rPr>
          <w:rFonts w:ascii="Arial" w:hAnsi="Arial" w:cs="Arial"/>
        </w:rPr>
        <w:t>4</w:t>
      </w:r>
      <w:r w:rsidR="00197A36">
        <w:rPr>
          <w:rFonts w:ascii="Arial" w:hAnsi="Arial" w:cs="Arial"/>
        </w:rPr>
        <w:t xml:space="preserve"> on average per patient</w:t>
      </w:r>
      <w:r>
        <w:rPr>
          <w:rFonts w:ascii="Arial" w:hAnsi="Arial" w:cs="Arial"/>
        </w:rPr>
        <w:t>.</w:t>
      </w:r>
    </w:p>
    <w:p w14:paraId="005E29B9" w14:textId="37735DE6" w:rsidR="00CB2B32" w:rsidRDefault="00CB2B32" w:rsidP="00BF0884">
      <w:pPr>
        <w:spacing w:after="0"/>
        <w:rPr>
          <w:rFonts w:ascii="Arial" w:hAnsi="Arial" w:cs="Arial"/>
        </w:rPr>
      </w:pPr>
    </w:p>
    <w:p w14:paraId="5FE6032A" w14:textId="639F9A53" w:rsidR="00CB2B32" w:rsidRDefault="00CB2B32" w:rsidP="00BF0884">
      <w:pPr>
        <w:spacing w:after="0"/>
        <w:rPr>
          <w:rFonts w:ascii="Arial" w:hAnsi="Arial" w:cs="Arial"/>
        </w:rPr>
      </w:pPr>
      <w:r>
        <w:rPr>
          <w:rFonts w:ascii="Arial" w:hAnsi="Arial" w:cs="Arial"/>
        </w:rPr>
        <w:t>Differentiated care models are widely endorsed across Tanzania and</w:t>
      </w:r>
      <w:r w:rsidR="00427751">
        <w:rPr>
          <w:rFonts w:ascii="Arial" w:hAnsi="Arial" w:cs="Arial"/>
        </w:rPr>
        <w:t xml:space="preserve"> progress in scaling up multi-month scripts seems to be well tracked.</w:t>
      </w:r>
      <w:r>
        <w:rPr>
          <w:rFonts w:ascii="Arial" w:hAnsi="Arial" w:cs="Arial"/>
        </w:rPr>
        <w:t xml:space="preserve"> Progress in </w:t>
      </w:r>
      <w:r w:rsidR="00427751">
        <w:rPr>
          <w:rFonts w:ascii="Arial" w:hAnsi="Arial" w:cs="Arial"/>
        </w:rPr>
        <w:t xml:space="preserve">scaling </w:t>
      </w:r>
      <w:r>
        <w:rPr>
          <w:rFonts w:ascii="Arial" w:hAnsi="Arial" w:cs="Arial"/>
        </w:rPr>
        <w:t>simplif</w:t>
      </w:r>
      <w:r w:rsidR="00427751">
        <w:rPr>
          <w:rFonts w:ascii="Arial" w:hAnsi="Arial" w:cs="Arial"/>
        </w:rPr>
        <w:t>ied</w:t>
      </w:r>
      <w:r>
        <w:rPr>
          <w:rFonts w:ascii="Arial" w:hAnsi="Arial" w:cs="Arial"/>
        </w:rPr>
        <w:t xml:space="preserve"> lab algorithms is less documented</w:t>
      </w:r>
      <w:r w:rsidR="00427751">
        <w:rPr>
          <w:rFonts w:ascii="Arial" w:hAnsi="Arial" w:cs="Arial"/>
        </w:rPr>
        <w:t xml:space="preserve"> but could offer additional savings.</w:t>
      </w:r>
    </w:p>
    <w:p w14:paraId="370430B8" w14:textId="77777777" w:rsidR="00FD35E7" w:rsidRDefault="00FD35E7" w:rsidP="00F07840">
      <w:pPr>
        <w:pStyle w:val="Heading3"/>
        <w:rPr>
          <w:rFonts w:ascii="Arial" w:hAnsi="Arial" w:cs="Arial"/>
          <w:i/>
          <w:color w:val="000000" w:themeColor="text1"/>
        </w:rPr>
      </w:pPr>
    </w:p>
    <w:p w14:paraId="4E49157B" w14:textId="3732E83D" w:rsidR="00436EF4" w:rsidRPr="00F07840" w:rsidRDefault="00436EF4" w:rsidP="00F07840">
      <w:pPr>
        <w:pStyle w:val="Heading3"/>
        <w:rPr>
          <w:rFonts w:ascii="Arial" w:hAnsi="Arial" w:cs="Arial"/>
          <w:i/>
          <w:color w:val="000000" w:themeColor="text1"/>
        </w:rPr>
      </w:pPr>
      <w:bookmarkStart w:id="89" w:name="_Toc57035183"/>
      <w:r w:rsidRPr="00F07840">
        <w:rPr>
          <w:rFonts w:ascii="Arial" w:hAnsi="Arial" w:cs="Arial"/>
          <w:i/>
          <w:color w:val="000000" w:themeColor="text1"/>
        </w:rPr>
        <w:t>Community-based support services</w:t>
      </w:r>
      <w:r w:rsidR="00E21CE8">
        <w:rPr>
          <w:rFonts w:ascii="Arial" w:hAnsi="Arial" w:cs="Arial"/>
          <w:i/>
          <w:color w:val="000000" w:themeColor="text1"/>
        </w:rPr>
        <w:t xml:space="preserve"> for stable patients</w:t>
      </w:r>
      <w:bookmarkEnd w:id="89"/>
    </w:p>
    <w:p w14:paraId="2FA680A0" w14:textId="21A14488" w:rsidR="00436EF4" w:rsidRPr="00436EF4" w:rsidRDefault="00436EF4" w:rsidP="00BF0884">
      <w:pPr>
        <w:spacing w:after="0"/>
        <w:rPr>
          <w:rFonts w:ascii="Arial" w:hAnsi="Arial" w:cs="Arial"/>
        </w:rPr>
      </w:pPr>
    </w:p>
    <w:p w14:paraId="089DFDF2" w14:textId="77777777" w:rsidR="00BD2E89" w:rsidRDefault="00377124" w:rsidP="00F07840">
      <w:pPr>
        <w:spacing w:after="0"/>
        <w:rPr>
          <w:rFonts w:ascii="Arial" w:hAnsi="Arial" w:cs="Arial"/>
          <w:bCs/>
        </w:rPr>
      </w:pPr>
      <w:r>
        <w:rPr>
          <w:rFonts w:ascii="Arial" w:hAnsi="Arial" w:cs="Arial"/>
          <w:bCs/>
        </w:rPr>
        <w:t>Community-based s</w:t>
      </w:r>
      <w:r w:rsidRPr="00436EF4">
        <w:rPr>
          <w:rFonts w:ascii="Arial" w:hAnsi="Arial" w:cs="Arial"/>
          <w:bCs/>
        </w:rPr>
        <w:t>upport services include peer support and support groups (adherence support, treatment literacy, well-being checks, follow-up for defaulting patients, etc)</w:t>
      </w:r>
      <w:r w:rsidR="00427625">
        <w:rPr>
          <w:rFonts w:ascii="Arial" w:hAnsi="Arial" w:cs="Arial"/>
          <w:bCs/>
        </w:rPr>
        <w:t xml:space="preserve">. </w:t>
      </w:r>
      <w:r w:rsidR="00EA1C74">
        <w:rPr>
          <w:rFonts w:ascii="Arial" w:hAnsi="Arial" w:cs="Arial"/>
          <w:bCs/>
        </w:rPr>
        <w:t xml:space="preserve">Currently, all ART support services are delivered either through facility- or a mix of facility-community platforms. </w:t>
      </w:r>
      <w:r w:rsidR="00427625">
        <w:rPr>
          <w:rFonts w:ascii="Arial" w:hAnsi="Arial" w:cs="Arial"/>
          <w:bCs/>
        </w:rPr>
        <w:t>The impact of c</w:t>
      </w:r>
      <w:r>
        <w:rPr>
          <w:rFonts w:ascii="Arial" w:hAnsi="Arial" w:cs="Arial"/>
          <w:bCs/>
        </w:rPr>
        <w:t>ommunity-based support services w</w:t>
      </w:r>
      <w:r w:rsidR="00427625">
        <w:rPr>
          <w:rFonts w:ascii="Arial" w:hAnsi="Arial" w:cs="Arial"/>
          <w:bCs/>
        </w:rPr>
        <w:t>as</w:t>
      </w:r>
      <w:r>
        <w:rPr>
          <w:rFonts w:ascii="Arial" w:hAnsi="Arial" w:cs="Arial"/>
          <w:bCs/>
        </w:rPr>
        <w:t xml:space="preserve"> m</w:t>
      </w:r>
      <w:r w:rsidR="00436EF4">
        <w:rPr>
          <w:rFonts w:ascii="Arial" w:hAnsi="Arial" w:cs="Arial"/>
          <w:bCs/>
        </w:rPr>
        <w:t>odeled in</w:t>
      </w:r>
      <w:r>
        <w:rPr>
          <w:rFonts w:ascii="Arial" w:hAnsi="Arial" w:cs="Arial"/>
          <w:bCs/>
        </w:rPr>
        <w:t xml:space="preserve"> the</w:t>
      </w:r>
      <w:r w:rsidR="00436EF4">
        <w:rPr>
          <w:rFonts w:ascii="Arial" w:hAnsi="Arial" w:cs="Arial"/>
          <w:bCs/>
        </w:rPr>
        <w:t xml:space="preserve"> 2016 investment case, but only from </w:t>
      </w:r>
      <w:r w:rsidR="00E8612E">
        <w:rPr>
          <w:rFonts w:ascii="Arial" w:hAnsi="Arial" w:cs="Arial"/>
          <w:bCs/>
        </w:rPr>
        <w:t xml:space="preserve">the </w:t>
      </w:r>
      <w:r w:rsidR="00436EF4">
        <w:rPr>
          <w:rFonts w:ascii="Arial" w:hAnsi="Arial" w:cs="Arial"/>
          <w:bCs/>
        </w:rPr>
        <w:t>perspective of greater adherence.</w:t>
      </w:r>
      <w:r>
        <w:rPr>
          <w:rFonts w:ascii="Arial" w:hAnsi="Arial" w:cs="Arial"/>
          <w:bCs/>
        </w:rPr>
        <w:t xml:space="preserve"> </w:t>
      </w:r>
      <w:r w:rsidR="00436EF4" w:rsidRPr="00436EF4">
        <w:rPr>
          <w:rFonts w:ascii="Arial" w:hAnsi="Arial" w:cs="Arial"/>
          <w:bCs/>
        </w:rPr>
        <w:t xml:space="preserve">Recent evidence in Tanzania of piloting community-based support programs </w:t>
      </w:r>
      <w:r w:rsidR="00427625">
        <w:rPr>
          <w:rFonts w:ascii="Arial" w:hAnsi="Arial" w:cs="Arial"/>
          <w:bCs/>
        </w:rPr>
        <w:t>for s</w:t>
      </w:r>
      <w:r w:rsidR="0028213B">
        <w:rPr>
          <w:rFonts w:ascii="Arial" w:hAnsi="Arial" w:cs="Arial"/>
          <w:bCs/>
        </w:rPr>
        <w:t>table</w:t>
      </w:r>
      <w:r w:rsidR="00427625">
        <w:rPr>
          <w:rFonts w:ascii="Arial" w:hAnsi="Arial" w:cs="Arial"/>
          <w:bCs/>
        </w:rPr>
        <w:t xml:space="preserve"> patients </w:t>
      </w:r>
      <w:r w:rsidR="00436EF4" w:rsidRPr="00436EF4">
        <w:rPr>
          <w:rFonts w:ascii="Arial" w:hAnsi="Arial" w:cs="Arial"/>
          <w:bCs/>
        </w:rPr>
        <w:t xml:space="preserve">has not shown improvements in retention but </w:t>
      </w:r>
      <w:r>
        <w:rPr>
          <w:rFonts w:ascii="Arial" w:hAnsi="Arial" w:cs="Arial"/>
          <w:bCs/>
        </w:rPr>
        <w:t>has confirmed cost s</w:t>
      </w:r>
      <w:r w:rsidR="00427625">
        <w:rPr>
          <w:rFonts w:ascii="Arial" w:hAnsi="Arial" w:cs="Arial"/>
          <w:bCs/>
        </w:rPr>
        <w:t>a</w:t>
      </w:r>
      <w:r>
        <w:rPr>
          <w:rFonts w:ascii="Arial" w:hAnsi="Arial" w:cs="Arial"/>
          <w:bCs/>
        </w:rPr>
        <w:t>vings</w:t>
      </w:r>
      <w:r w:rsidR="00436EF4">
        <w:rPr>
          <w:rFonts w:ascii="Arial" w:hAnsi="Arial" w:cs="Arial"/>
          <w:bCs/>
        </w:rPr>
        <w:t xml:space="preserve">. </w:t>
      </w:r>
      <w:r w:rsidR="00427625">
        <w:rPr>
          <w:rFonts w:ascii="Arial" w:hAnsi="Arial" w:cs="Arial"/>
          <w:bCs/>
        </w:rPr>
        <w:t xml:space="preserve">This recent study </w:t>
      </w:r>
      <w:r w:rsidR="00436EF4" w:rsidRPr="00436EF4">
        <w:rPr>
          <w:rFonts w:ascii="Arial" w:hAnsi="Arial" w:cs="Arial"/>
          <w:bCs/>
        </w:rPr>
        <w:t xml:space="preserve">(Forsythe </w:t>
      </w:r>
      <w:r w:rsidR="00121628">
        <w:rPr>
          <w:rFonts w:ascii="Arial" w:hAnsi="Arial" w:cs="Arial"/>
          <w:bCs/>
        </w:rPr>
        <w:t>et al</w:t>
      </w:r>
      <w:r w:rsidR="00045F9F">
        <w:rPr>
          <w:rFonts w:ascii="Arial" w:hAnsi="Arial" w:cs="Arial"/>
          <w:bCs/>
        </w:rPr>
        <w:t xml:space="preserve"> 2018</w:t>
      </w:r>
      <w:r w:rsidR="00436EF4" w:rsidRPr="00436EF4">
        <w:rPr>
          <w:rFonts w:ascii="Arial" w:hAnsi="Arial" w:cs="Arial"/>
          <w:bCs/>
        </w:rPr>
        <w:t xml:space="preserve">) </w:t>
      </w:r>
      <w:r w:rsidR="00EE002C">
        <w:rPr>
          <w:rFonts w:ascii="Arial" w:hAnsi="Arial" w:cs="Arial"/>
          <w:bCs/>
        </w:rPr>
        <w:t xml:space="preserve">has suggested that </w:t>
      </w:r>
      <w:r w:rsidR="00436EF4" w:rsidRPr="00436EF4">
        <w:rPr>
          <w:rFonts w:ascii="Arial" w:hAnsi="Arial" w:cs="Arial"/>
          <w:bCs/>
        </w:rPr>
        <w:t>community-based support services reduce costs compared to</w:t>
      </w:r>
      <w:r w:rsidR="00427625">
        <w:rPr>
          <w:rFonts w:ascii="Arial" w:hAnsi="Arial" w:cs="Arial"/>
          <w:bCs/>
        </w:rPr>
        <w:t xml:space="preserve"> </w:t>
      </w:r>
      <w:r w:rsidR="00436EF4" w:rsidRPr="00436EF4">
        <w:rPr>
          <w:rFonts w:ascii="Arial" w:hAnsi="Arial" w:cs="Arial"/>
          <w:bCs/>
        </w:rPr>
        <w:t>facility-</w:t>
      </w:r>
      <w:r w:rsidR="00427625">
        <w:rPr>
          <w:rFonts w:ascii="Arial" w:hAnsi="Arial" w:cs="Arial"/>
          <w:bCs/>
        </w:rPr>
        <w:t>based services</w:t>
      </w:r>
      <w:r w:rsidR="00EE002C">
        <w:rPr>
          <w:rFonts w:ascii="Arial" w:hAnsi="Arial" w:cs="Arial"/>
          <w:bCs/>
        </w:rPr>
        <w:t xml:space="preserve"> </w:t>
      </w:r>
      <w:r w:rsidR="00427625">
        <w:rPr>
          <w:rFonts w:ascii="Arial" w:hAnsi="Arial" w:cs="Arial"/>
          <w:bCs/>
        </w:rPr>
        <w:t xml:space="preserve">and </w:t>
      </w:r>
      <w:r w:rsidR="00470627">
        <w:rPr>
          <w:rFonts w:ascii="Arial" w:hAnsi="Arial" w:cs="Arial"/>
          <w:bCs/>
        </w:rPr>
        <w:t>also</w:t>
      </w:r>
      <w:r w:rsidR="00427625">
        <w:rPr>
          <w:rFonts w:ascii="Arial" w:hAnsi="Arial" w:cs="Arial"/>
          <w:bCs/>
        </w:rPr>
        <w:t xml:space="preserve"> compared to a mix of community- and facility-based services. Th</w:t>
      </w:r>
      <w:r w:rsidR="00EE002C">
        <w:rPr>
          <w:rFonts w:ascii="Arial" w:hAnsi="Arial" w:cs="Arial"/>
          <w:bCs/>
        </w:rPr>
        <w:t>e</w:t>
      </w:r>
      <w:r w:rsidR="00427625">
        <w:rPr>
          <w:rFonts w:ascii="Arial" w:hAnsi="Arial" w:cs="Arial"/>
          <w:bCs/>
        </w:rPr>
        <w:t xml:space="preserve"> study suggested that the cost of supporting services per s</w:t>
      </w:r>
      <w:r w:rsidR="0028213B">
        <w:rPr>
          <w:rFonts w:ascii="Arial" w:hAnsi="Arial" w:cs="Arial"/>
          <w:bCs/>
        </w:rPr>
        <w:t>tabl</w:t>
      </w:r>
      <w:r w:rsidR="00C86D0D">
        <w:rPr>
          <w:rFonts w:ascii="Arial" w:hAnsi="Arial" w:cs="Arial"/>
          <w:bCs/>
        </w:rPr>
        <w:t>e</w:t>
      </w:r>
      <w:r w:rsidR="00427625">
        <w:rPr>
          <w:rFonts w:ascii="Arial" w:hAnsi="Arial" w:cs="Arial"/>
          <w:bCs/>
        </w:rPr>
        <w:t xml:space="preserve"> patient </w:t>
      </w:r>
      <w:r w:rsidR="00EE002C">
        <w:rPr>
          <w:rFonts w:ascii="Arial" w:hAnsi="Arial" w:cs="Arial"/>
          <w:bCs/>
        </w:rPr>
        <w:t>is</w:t>
      </w:r>
      <w:r w:rsidR="00427625">
        <w:rPr>
          <w:rFonts w:ascii="Arial" w:hAnsi="Arial" w:cs="Arial"/>
          <w:bCs/>
        </w:rPr>
        <w:t xml:space="preserve"> </w:t>
      </w:r>
      <w:r w:rsidR="00833D12">
        <w:rPr>
          <w:rFonts w:ascii="Arial" w:hAnsi="Arial" w:cs="Arial"/>
          <w:bCs/>
        </w:rPr>
        <w:t xml:space="preserve">USD </w:t>
      </w:r>
      <w:r w:rsidR="00436EF4" w:rsidRPr="00436EF4">
        <w:rPr>
          <w:rFonts w:ascii="Arial" w:hAnsi="Arial" w:cs="Arial"/>
          <w:bCs/>
        </w:rPr>
        <w:t>20</w:t>
      </w:r>
      <w:r w:rsidR="00427625">
        <w:rPr>
          <w:rFonts w:ascii="Arial" w:hAnsi="Arial" w:cs="Arial"/>
          <w:bCs/>
        </w:rPr>
        <w:t xml:space="preserve"> per </w:t>
      </w:r>
      <w:r w:rsidR="00436EF4" w:rsidRPr="00436EF4">
        <w:rPr>
          <w:rFonts w:ascii="Arial" w:hAnsi="Arial" w:cs="Arial"/>
          <w:bCs/>
        </w:rPr>
        <w:t>patient</w:t>
      </w:r>
      <w:r w:rsidR="00427625">
        <w:rPr>
          <w:rFonts w:ascii="Arial" w:hAnsi="Arial" w:cs="Arial"/>
          <w:bCs/>
        </w:rPr>
        <w:t xml:space="preserve"> compared to </w:t>
      </w:r>
      <w:r w:rsidR="00833D12">
        <w:rPr>
          <w:rFonts w:ascii="Arial" w:hAnsi="Arial" w:cs="Arial"/>
          <w:bCs/>
        </w:rPr>
        <w:t xml:space="preserve">USD </w:t>
      </w:r>
      <w:r w:rsidR="00427625">
        <w:rPr>
          <w:rFonts w:ascii="Arial" w:hAnsi="Arial" w:cs="Arial"/>
          <w:bCs/>
        </w:rPr>
        <w:t xml:space="preserve">45 per patient for a mix of facility-based and community-based and </w:t>
      </w:r>
      <w:r w:rsidR="00833D12">
        <w:rPr>
          <w:rFonts w:ascii="Arial" w:hAnsi="Arial" w:cs="Arial"/>
          <w:bCs/>
        </w:rPr>
        <w:t xml:space="preserve">USD </w:t>
      </w:r>
      <w:r w:rsidR="00427625">
        <w:rPr>
          <w:rFonts w:ascii="Arial" w:hAnsi="Arial" w:cs="Arial"/>
          <w:bCs/>
        </w:rPr>
        <w:t>108 for only facility-based supporting services.</w:t>
      </w:r>
    </w:p>
    <w:p w14:paraId="6CB47EDE" w14:textId="77777777" w:rsidR="00BD2E89" w:rsidRDefault="00BD2E89" w:rsidP="00F07840">
      <w:pPr>
        <w:spacing w:after="0"/>
        <w:rPr>
          <w:rFonts w:ascii="Arial" w:hAnsi="Arial" w:cs="Arial"/>
          <w:bCs/>
        </w:rPr>
      </w:pPr>
    </w:p>
    <w:p w14:paraId="6D642F4C" w14:textId="72784B70" w:rsidR="00F64B72" w:rsidRDefault="00185F66" w:rsidP="00F07840">
      <w:pPr>
        <w:spacing w:after="0"/>
        <w:rPr>
          <w:rFonts w:ascii="Arial" w:hAnsi="Arial" w:cs="Arial"/>
          <w:bCs/>
        </w:rPr>
      </w:pPr>
      <w:r>
        <w:rPr>
          <w:rFonts w:ascii="Arial" w:hAnsi="Arial" w:cs="Arial"/>
          <w:bCs/>
        </w:rPr>
        <w:t>Moving towards all patients receiving community-level support services could save USD 20 on average per patient.</w:t>
      </w:r>
      <w:r w:rsidR="00427751">
        <w:rPr>
          <w:rFonts w:ascii="Arial" w:hAnsi="Arial" w:cs="Arial"/>
          <w:bCs/>
        </w:rPr>
        <w:t xml:space="preserve"> The most recent ART costing report suggests that no patients current receive exclusively community-based support services (MoHSS, CDC, and ICF, 2016a), suggesting there is significant room to scale these services.</w:t>
      </w:r>
    </w:p>
    <w:p w14:paraId="54850EFE" w14:textId="77777777" w:rsidR="00EA1C74" w:rsidRDefault="00EA1C74" w:rsidP="00F07840">
      <w:pPr>
        <w:spacing w:after="0"/>
        <w:rPr>
          <w:rFonts w:ascii="Arial" w:hAnsi="Arial" w:cs="Arial"/>
        </w:rPr>
      </w:pPr>
    </w:p>
    <w:p w14:paraId="538FBA27" w14:textId="21C65FAC" w:rsidR="00862609" w:rsidRPr="00E45B29" w:rsidRDefault="00862609" w:rsidP="00E45B29">
      <w:pPr>
        <w:pStyle w:val="Heading3"/>
        <w:rPr>
          <w:rFonts w:ascii="Arial" w:hAnsi="Arial" w:cs="Arial"/>
          <w:i/>
          <w:color w:val="000000" w:themeColor="text1"/>
        </w:rPr>
      </w:pPr>
      <w:bookmarkStart w:id="90" w:name="_Toc57035184"/>
      <w:r w:rsidRPr="00E45B29">
        <w:rPr>
          <w:rFonts w:ascii="Arial" w:hAnsi="Arial" w:cs="Arial"/>
          <w:i/>
          <w:color w:val="000000" w:themeColor="text1"/>
        </w:rPr>
        <w:t>Combined savings</w:t>
      </w:r>
      <w:bookmarkEnd w:id="90"/>
      <w:r w:rsidRPr="00E45B29">
        <w:rPr>
          <w:rFonts w:ascii="Arial" w:hAnsi="Arial" w:cs="Arial"/>
          <w:i/>
          <w:color w:val="000000" w:themeColor="text1"/>
        </w:rPr>
        <w:t xml:space="preserve"> </w:t>
      </w:r>
    </w:p>
    <w:p w14:paraId="16C24952" w14:textId="36838902" w:rsidR="00427751" w:rsidRDefault="00427751" w:rsidP="00BF0884">
      <w:pPr>
        <w:spacing w:after="0"/>
        <w:rPr>
          <w:rFonts w:ascii="Arial" w:hAnsi="Arial" w:cs="Arial"/>
          <w:u w:val="single"/>
        </w:rPr>
      </w:pPr>
    </w:p>
    <w:p w14:paraId="03BF426E" w14:textId="4855175F" w:rsidR="00427751" w:rsidRDefault="00427751" w:rsidP="00427751">
      <w:pPr>
        <w:rPr>
          <w:rFonts w:ascii="Arial" w:hAnsi="Arial" w:cs="Arial"/>
          <w:i/>
          <w:sz w:val="18"/>
        </w:rPr>
      </w:pPr>
      <w:r w:rsidRPr="0059778C">
        <w:rPr>
          <w:rFonts w:ascii="Arial" w:hAnsi="Arial" w:cs="Arial"/>
        </w:rPr>
        <w:t>In practice, these efficiencies</w:t>
      </w:r>
      <w:r>
        <w:rPr>
          <w:rFonts w:ascii="Arial" w:hAnsi="Arial" w:cs="Arial"/>
        </w:rPr>
        <w:t xml:space="preserve"> cannot be realized overnight but will have to scaled up over time. </w:t>
      </w:r>
      <w:r w:rsidRPr="00585A95">
        <w:rPr>
          <w:rFonts w:ascii="Arial" w:hAnsi="Arial" w:cs="Arial"/>
          <w:i/>
        </w:rPr>
        <w:t>Figure 5-</w:t>
      </w:r>
      <w:r>
        <w:rPr>
          <w:rFonts w:ascii="Arial" w:hAnsi="Arial" w:cs="Arial"/>
          <w:i/>
        </w:rPr>
        <w:t>3</w:t>
      </w:r>
      <w:r>
        <w:rPr>
          <w:rFonts w:ascii="Arial" w:hAnsi="Arial" w:cs="Arial"/>
        </w:rPr>
        <w:t xml:space="preserve"> below shows the assumptions for how quickly these technical efficiencies could be scaled in Tanzania and what the assumed ART unit cost would be. </w:t>
      </w:r>
    </w:p>
    <w:p w14:paraId="5B641940" w14:textId="036E6F55" w:rsidR="00427751" w:rsidRPr="008544A5" w:rsidRDefault="00427751" w:rsidP="00427751">
      <w:pPr>
        <w:rPr>
          <w:rFonts w:ascii="Arial" w:hAnsi="Arial" w:cs="Arial"/>
          <w:i/>
          <w:sz w:val="18"/>
        </w:rPr>
      </w:pPr>
      <w:r>
        <w:rPr>
          <w:rFonts w:ascii="Arial" w:hAnsi="Arial" w:cs="Arial"/>
          <w:i/>
          <w:sz w:val="18"/>
        </w:rPr>
        <w:t>Figure</w:t>
      </w:r>
      <w:r w:rsidRPr="008544A5">
        <w:rPr>
          <w:rFonts w:ascii="Arial" w:hAnsi="Arial" w:cs="Arial"/>
          <w:i/>
          <w:sz w:val="18"/>
        </w:rPr>
        <w:t xml:space="preserve"> </w:t>
      </w:r>
      <w:r>
        <w:rPr>
          <w:rFonts w:ascii="Arial" w:hAnsi="Arial" w:cs="Arial"/>
          <w:i/>
          <w:sz w:val="18"/>
        </w:rPr>
        <w:t>5-3</w:t>
      </w:r>
      <w:r w:rsidRPr="008544A5">
        <w:rPr>
          <w:rFonts w:ascii="Arial" w:hAnsi="Arial" w:cs="Arial"/>
          <w:i/>
          <w:sz w:val="18"/>
        </w:rPr>
        <w:t>. Assumptions on time to scale technical efficiencies</w:t>
      </w:r>
      <w:r>
        <w:rPr>
          <w:rFonts w:ascii="Arial" w:hAnsi="Arial" w:cs="Arial"/>
          <w:i/>
          <w:sz w:val="18"/>
        </w:rPr>
        <w:t xml:space="preserve"> and assumed unit cost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758"/>
        <w:gridCol w:w="765"/>
        <w:gridCol w:w="839"/>
        <w:gridCol w:w="839"/>
        <w:gridCol w:w="1744"/>
      </w:tblGrid>
      <w:tr w:rsidR="00427751" w:rsidRPr="00444084" w14:paraId="02FDA619" w14:textId="77777777" w:rsidTr="00E5101A">
        <w:trPr>
          <w:trHeight w:val="376"/>
        </w:trPr>
        <w:tc>
          <w:tcPr>
            <w:tcW w:w="4405" w:type="dxa"/>
            <w:shd w:val="clear" w:color="auto" w:fill="C00000"/>
            <w:noWrap/>
            <w:vAlign w:val="bottom"/>
            <w:hideMark/>
          </w:tcPr>
          <w:p w14:paraId="2A299B4C" w14:textId="77777777" w:rsidR="00427751" w:rsidRPr="00444084" w:rsidRDefault="00427751" w:rsidP="00E5101A">
            <w:pPr>
              <w:spacing w:after="0" w:line="240" w:lineRule="auto"/>
              <w:rPr>
                <w:rFonts w:ascii="Arial" w:eastAsia="Times New Roman" w:hAnsi="Arial" w:cs="Arial"/>
                <w:b/>
                <w:bCs/>
                <w:color w:val="FFFFFF" w:themeColor="background1"/>
                <w:sz w:val="18"/>
                <w:szCs w:val="22"/>
              </w:rPr>
            </w:pPr>
            <w:r w:rsidRPr="00444084">
              <w:rPr>
                <w:rFonts w:ascii="Arial" w:eastAsia="Times New Roman" w:hAnsi="Arial" w:cs="Arial"/>
                <w:b/>
                <w:bCs/>
                <w:color w:val="FFFFFF" w:themeColor="background1"/>
                <w:sz w:val="18"/>
                <w:szCs w:val="22"/>
              </w:rPr>
              <w:t>Time to scale technical efficiencies</w:t>
            </w:r>
          </w:p>
        </w:tc>
        <w:tc>
          <w:tcPr>
            <w:tcW w:w="758" w:type="dxa"/>
            <w:shd w:val="clear" w:color="auto" w:fill="C00000"/>
            <w:vAlign w:val="bottom"/>
          </w:tcPr>
          <w:p w14:paraId="19376D6E" w14:textId="77777777" w:rsidR="00427751" w:rsidRPr="00444084" w:rsidRDefault="00427751" w:rsidP="00E5101A">
            <w:pPr>
              <w:spacing w:after="0" w:line="240" w:lineRule="auto"/>
              <w:jc w:val="right"/>
              <w:rPr>
                <w:rFonts w:ascii="Arial" w:eastAsia="Times New Roman" w:hAnsi="Arial" w:cs="Arial"/>
                <w:b/>
                <w:bCs/>
                <w:color w:val="FFFFFF" w:themeColor="background1"/>
                <w:sz w:val="18"/>
                <w:szCs w:val="22"/>
              </w:rPr>
            </w:pPr>
            <w:r w:rsidRPr="00444084">
              <w:rPr>
                <w:rFonts w:ascii="Arial" w:eastAsia="Times New Roman" w:hAnsi="Arial" w:cs="Arial"/>
                <w:b/>
                <w:bCs/>
                <w:color w:val="FFFFFF" w:themeColor="background1"/>
                <w:sz w:val="18"/>
                <w:szCs w:val="22"/>
              </w:rPr>
              <w:t>2019</w:t>
            </w:r>
          </w:p>
        </w:tc>
        <w:tc>
          <w:tcPr>
            <w:tcW w:w="0" w:type="auto"/>
            <w:shd w:val="clear" w:color="auto" w:fill="C00000"/>
            <w:noWrap/>
            <w:vAlign w:val="bottom"/>
            <w:hideMark/>
          </w:tcPr>
          <w:p w14:paraId="7E6DDEFD" w14:textId="77777777" w:rsidR="00427751" w:rsidRPr="00444084" w:rsidRDefault="00427751" w:rsidP="00E5101A">
            <w:pPr>
              <w:spacing w:after="0" w:line="240" w:lineRule="auto"/>
              <w:jc w:val="right"/>
              <w:rPr>
                <w:rFonts w:ascii="Arial" w:eastAsia="Times New Roman" w:hAnsi="Arial" w:cs="Arial"/>
                <w:b/>
                <w:bCs/>
                <w:color w:val="FFFFFF" w:themeColor="background1"/>
                <w:sz w:val="18"/>
                <w:szCs w:val="22"/>
              </w:rPr>
            </w:pPr>
            <w:r w:rsidRPr="00444084">
              <w:rPr>
                <w:rFonts w:ascii="Arial" w:eastAsia="Times New Roman" w:hAnsi="Arial" w:cs="Arial"/>
                <w:b/>
                <w:bCs/>
                <w:color w:val="FFFFFF" w:themeColor="background1"/>
                <w:sz w:val="18"/>
                <w:szCs w:val="22"/>
              </w:rPr>
              <w:t>2020</w:t>
            </w:r>
          </w:p>
        </w:tc>
        <w:tc>
          <w:tcPr>
            <w:tcW w:w="0" w:type="auto"/>
            <w:shd w:val="clear" w:color="auto" w:fill="C00000"/>
            <w:noWrap/>
            <w:vAlign w:val="bottom"/>
            <w:hideMark/>
          </w:tcPr>
          <w:p w14:paraId="58107B6E" w14:textId="77777777" w:rsidR="00427751" w:rsidRPr="00444084" w:rsidRDefault="00427751" w:rsidP="00E5101A">
            <w:pPr>
              <w:spacing w:after="0" w:line="240" w:lineRule="auto"/>
              <w:jc w:val="right"/>
              <w:rPr>
                <w:rFonts w:ascii="Arial" w:eastAsia="Times New Roman" w:hAnsi="Arial" w:cs="Arial"/>
                <w:b/>
                <w:bCs/>
                <w:color w:val="FFFFFF" w:themeColor="background1"/>
                <w:sz w:val="18"/>
                <w:szCs w:val="22"/>
              </w:rPr>
            </w:pPr>
            <w:r w:rsidRPr="00444084">
              <w:rPr>
                <w:rFonts w:ascii="Arial" w:eastAsia="Times New Roman" w:hAnsi="Arial" w:cs="Arial"/>
                <w:b/>
                <w:bCs/>
                <w:color w:val="FFFFFF" w:themeColor="background1"/>
                <w:sz w:val="18"/>
                <w:szCs w:val="22"/>
              </w:rPr>
              <w:t>2021</w:t>
            </w:r>
          </w:p>
        </w:tc>
        <w:tc>
          <w:tcPr>
            <w:tcW w:w="0" w:type="auto"/>
            <w:shd w:val="clear" w:color="auto" w:fill="C00000"/>
            <w:noWrap/>
            <w:vAlign w:val="bottom"/>
            <w:hideMark/>
          </w:tcPr>
          <w:p w14:paraId="0B5C1DFB" w14:textId="77777777" w:rsidR="00427751" w:rsidRPr="00444084" w:rsidRDefault="00427751" w:rsidP="00E5101A">
            <w:pPr>
              <w:spacing w:after="0" w:line="240" w:lineRule="auto"/>
              <w:jc w:val="right"/>
              <w:rPr>
                <w:rFonts w:ascii="Arial" w:eastAsia="Times New Roman" w:hAnsi="Arial" w:cs="Arial"/>
                <w:b/>
                <w:bCs/>
                <w:color w:val="FFFFFF" w:themeColor="background1"/>
                <w:sz w:val="18"/>
                <w:szCs w:val="22"/>
              </w:rPr>
            </w:pPr>
            <w:r w:rsidRPr="00444084">
              <w:rPr>
                <w:rFonts w:ascii="Arial" w:eastAsia="Times New Roman" w:hAnsi="Arial" w:cs="Arial"/>
                <w:b/>
                <w:bCs/>
                <w:color w:val="FFFFFF" w:themeColor="background1"/>
                <w:sz w:val="18"/>
                <w:szCs w:val="22"/>
              </w:rPr>
              <w:t>2022</w:t>
            </w:r>
          </w:p>
        </w:tc>
        <w:tc>
          <w:tcPr>
            <w:tcW w:w="0" w:type="auto"/>
            <w:shd w:val="clear" w:color="auto" w:fill="C00000"/>
            <w:noWrap/>
            <w:vAlign w:val="bottom"/>
            <w:hideMark/>
          </w:tcPr>
          <w:p w14:paraId="67F6D2B0" w14:textId="77777777" w:rsidR="00427751" w:rsidRPr="00444084" w:rsidRDefault="00427751" w:rsidP="00E5101A">
            <w:pPr>
              <w:spacing w:after="0" w:line="240" w:lineRule="auto"/>
              <w:jc w:val="right"/>
              <w:rPr>
                <w:rFonts w:ascii="Arial" w:eastAsia="Times New Roman" w:hAnsi="Arial" w:cs="Arial"/>
                <w:b/>
                <w:bCs/>
                <w:color w:val="FFFFFF" w:themeColor="background1"/>
                <w:sz w:val="18"/>
                <w:szCs w:val="22"/>
              </w:rPr>
            </w:pPr>
            <w:r w:rsidRPr="00444084">
              <w:rPr>
                <w:rFonts w:ascii="Arial" w:eastAsia="Times New Roman" w:hAnsi="Arial" w:cs="Arial"/>
                <w:b/>
                <w:bCs/>
                <w:color w:val="FFFFFF" w:themeColor="background1"/>
                <w:sz w:val="18"/>
                <w:szCs w:val="22"/>
              </w:rPr>
              <w:t>2023 onwards</w:t>
            </w:r>
          </w:p>
        </w:tc>
      </w:tr>
      <w:tr w:rsidR="00427751" w:rsidRPr="00444084" w14:paraId="53D6EAAA" w14:textId="77777777" w:rsidTr="00E5101A">
        <w:trPr>
          <w:trHeight w:val="376"/>
        </w:trPr>
        <w:tc>
          <w:tcPr>
            <w:tcW w:w="4405" w:type="dxa"/>
            <w:shd w:val="clear" w:color="auto" w:fill="FFFFFF" w:themeFill="background1"/>
            <w:noWrap/>
            <w:vAlign w:val="center"/>
            <w:hideMark/>
          </w:tcPr>
          <w:p w14:paraId="57D9BFBC" w14:textId="77777777" w:rsidR="00427751" w:rsidRPr="00444084" w:rsidRDefault="00427751" w:rsidP="00E5101A">
            <w:pPr>
              <w:spacing w:after="0" w:line="240" w:lineRule="auto"/>
              <w:rPr>
                <w:rFonts w:ascii="Arial" w:eastAsia="Times New Roman" w:hAnsi="Arial" w:cs="Arial"/>
                <w:color w:val="000000"/>
                <w:sz w:val="18"/>
                <w:szCs w:val="22"/>
              </w:rPr>
            </w:pPr>
            <w:r w:rsidRPr="00444084">
              <w:rPr>
                <w:rFonts w:ascii="Arial" w:eastAsia="Times New Roman" w:hAnsi="Arial" w:cs="Arial"/>
                <w:color w:val="000000"/>
                <w:sz w:val="18"/>
                <w:szCs w:val="22"/>
              </w:rPr>
              <w:t>Community-based support</w:t>
            </w:r>
            <w:r>
              <w:rPr>
                <w:rFonts w:ascii="Arial" w:eastAsia="Times New Roman" w:hAnsi="Arial" w:cs="Arial"/>
                <w:color w:val="000000"/>
                <w:sz w:val="18"/>
                <w:szCs w:val="22"/>
              </w:rPr>
              <w:t xml:space="preserve"> services</w:t>
            </w:r>
          </w:p>
        </w:tc>
        <w:tc>
          <w:tcPr>
            <w:tcW w:w="758" w:type="dxa"/>
            <w:shd w:val="clear" w:color="auto" w:fill="FFFFFF" w:themeFill="background1"/>
            <w:vAlign w:val="center"/>
          </w:tcPr>
          <w:p w14:paraId="579D610B"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0%</w:t>
            </w:r>
          </w:p>
        </w:tc>
        <w:tc>
          <w:tcPr>
            <w:tcW w:w="0" w:type="auto"/>
            <w:shd w:val="clear" w:color="auto" w:fill="FFFFFF" w:themeFill="background1"/>
            <w:noWrap/>
            <w:vAlign w:val="center"/>
            <w:hideMark/>
          </w:tcPr>
          <w:p w14:paraId="4BA0DA5B"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25%</w:t>
            </w:r>
          </w:p>
        </w:tc>
        <w:tc>
          <w:tcPr>
            <w:tcW w:w="0" w:type="auto"/>
            <w:shd w:val="clear" w:color="auto" w:fill="FFFFFF" w:themeFill="background1"/>
            <w:noWrap/>
            <w:vAlign w:val="center"/>
            <w:hideMark/>
          </w:tcPr>
          <w:p w14:paraId="74E5BC75"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50%</w:t>
            </w:r>
          </w:p>
        </w:tc>
        <w:tc>
          <w:tcPr>
            <w:tcW w:w="0" w:type="auto"/>
            <w:shd w:val="clear" w:color="auto" w:fill="FFFFFF" w:themeFill="background1"/>
            <w:noWrap/>
            <w:vAlign w:val="center"/>
            <w:hideMark/>
          </w:tcPr>
          <w:p w14:paraId="2C7BC7D2"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75%</w:t>
            </w:r>
          </w:p>
        </w:tc>
        <w:tc>
          <w:tcPr>
            <w:tcW w:w="0" w:type="auto"/>
            <w:shd w:val="clear" w:color="auto" w:fill="FFFFFF" w:themeFill="background1"/>
            <w:noWrap/>
            <w:vAlign w:val="center"/>
            <w:hideMark/>
          </w:tcPr>
          <w:p w14:paraId="23AD8BBF"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100%</w:t>
            </w:r>
          </w:p>
        </w:tc>
      </w:tr>
      <w:tr w:rsidR="00427751" w:rsidRPr="00444084" w14:paraId="661A0CF3" w14:textId="77777777" w:rsidTr="00E5101A">
        <w:trPr>
          <w:trHeight w:val="376"/>
        </w:trPr>
        <w:tc>
          <w:tcPr>
            <w:tcW w:w="4405" w:type="dxa"/>
            <w:tcBorders>
              <w:bottom w:val="single" w:sz="4" w:space="0" w:color="auto"/>
            </w:tcBorders>
            <w:shd w:val="clear" w:color="auto" w:fill="FFFFFF" w:themeFill="background1"/>
            <w:noWrap/>
            <w:vAlign w:val="center"/>
            <w:hideMark/>
          </w:tcPr>
          <w:p w14:paraId="76F55226" w14:textId="77777777" w:rsidR="00427751" w:rsidRPr="00444084" w:rsidRDefault="00427751" w:rsidP="00E5101A">
            <w:pPr>
              <w:spacing w:after="0" w:line="240" w:lineRule="auto"/>
              <w:rPr>
                <w:rFonts w:ascii="Arial" w:eastAsia="Times New Roman" w:hAnsi="Arial" w:cs="Arial"/>
                <w:color w:val="000000"/>
                <w:sz w:val="18"/>
                <w:szCs w:val="22"/>
              </w:rPr>
            </w:pPr>
            <w:r w:rsidRPr="00444084">
              <w:rPr>
                <w:rFonts w:ascii="Arial" w:eastAsia="Times New Roman" w:hAnsi="Arial" w:cs="Arial"/>
                <w:color w:val="000000"/>
                <w:sz w:val="18"/>
                <w:szCs w:val="22"/>
              </w:rPr>
              <w:t>DTG Switch</w:t>
            </w:r>
          </w:p>
        </w:tc>
        <w:tc>
          <w:tcPr>
            <w:tcW w:w="758" w:type="dxa"/>
            <w:tcBorders>
              <w:bottom w:val="single" w:sz="4" w:space="0" w:color="auto"/>
            </w:tcBorders>
            <w:shd w:val="clear" w:color="auto" w:fill="FFFFFF" w:themeFill="background1"/>
            <w:vAlign w:val="center"/>
          </w:tcPr>
          <w:p w14:paraId="3C5D6634"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0%</w:t>
            </w:r>
          </w:p>
        </w:tc>
        <w:tc>
          <w:tcPr>
            <w:tcW w:w="0" w:type="auto"/>
            <w:tcBorders>
              <w:bottom w:val="single" w:sz="4" w:space="0" w:color="auto"/>
            </w:tcBorders>
            <w:shd w:val="clear" w:color="auto" w:fill="FFFFFF" w:themeFill="background1"/>
            <w:noWrap/>
            <w:vAlign w:val="center"/>
            <w:hideMark/>
          </w:tcPr>
          <w:p w14:paraId="6626B008"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50%</w:t>
            </w:r>
          </w:p>
        </w:tc>
        <w:tc>
          <w:tcPr>
            <w:tcW w:w="0" w:type="auto"/>
            <w:tcBorders>
              <w:bottom w:val="single" w:sz="4" w:space="0" w:color="auto"/>
            </w:tcBorders>
            <w:shd w:val="clear" w:color="auto" w:fill="FFFFFF" w:themeFill="background1"/>
            <w:noWrap/>
            <w:vAlign w:val="center"/>
            <w:hideMark/>
          </w:tcPr>
          <w:p w14:paraId="753C0642"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100%</w:t>
            </w:r>
          </w:p>
        </w:tc>
        <w:tc>
          <w:tcPr>
            <w:tcW w:w="0" w:type="auto"/>
            <w:tcBorders>
              <w:bottom w:val="single" w:sz="4" w:space="0" w:color="auto"/>
            </w:tcBorders>
            <w:shd w:val="clear" w:color="auto" w:fill="FFFFFF" w:themeFill="background1"/>
            <w:noWrap/>
            <w:vAlign w:val="center"/>
            <w:hideMark/>
          </w:tcPr>
          <w:p w14:paraId="1AC90CA3"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100%</w:t>
            </w:r>
          </w:p>
        </w:tc>
        <w:tc>
          <w:tcPr>
            <w:tcW w:w="0" w:type="auto"/>
            <w:tcBorders>
              <w:bottom w:val="single" w:sz="4" w:space="0" w:color="auto"/>
            </w:tcBorders>
            <w:shd w:val="clear" w:color="auto" w:fill="FFFFFF" w:themeFill="background1"/>
            <w:noWrap/>
            <w:vAlign w:val="center"/>
            <w:hideMark/>
          </w:tcPr>
          <w:p w14:paraId="2DF68A07"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100%</w:t>
            </w:r>
          </w:p>
        </w:tc>
      </w:tr>
      <w:tr w:rsidR="00427751" w:rsidRPr="00444084" w14:paraId="08682FA1" w14:textId="77777777" w:rsidTr="00E5101A">
        <w:trPr>
          <w:trHeight w:val="376"/>
        </w:trPr>
        <w:tc>
          <w:tcPr>
            <w:tcW w:w="4405" w:type="dxa"/>
            <w:tcBorders>
              <w:bottom w:val="dashed" w:sz="4" w:space="0" w:color="auto"/>
            </w:tcBorders>
            <w:shd w:val="clear" w:color="auto" w:fill="FFFFFF" w:themeFill="background1"/>
            <w:noWrap/>
            <w:vAlign w:val="center"/>
            <w:hideMark/>
          </w:tcPr>
          <w:p w14:paraId="106FC163" w14:textId="77777777" w:rsidR="00427751" w:rsidRPr="00444084" w:rsidRDefault="00427751" w:rsidP="00E5101A">
            <w:pPr>
              <w:spacing w:after="0" w:line="240" w:lineRule="auto"/>
              <w:rPr>
                <w:rFonts w:ascii="Arial" w:eastAsia="Times New Roman" w:hAnsi="Arial" w:cs="Arial"/>
                <w:color w:val="000000"/>
                <w:sz w:val="18"/>
                <w:szCs w:val="22"/>
              </w:rPr>
            </w:pPr>
            <w:r>
              <w:rPr>
                <w:rFonts w:ascii="Arial" w:eastAsia="Times New Roman" w:hAnsi="Arial" w:cs="Arial"/>
                <w:color w:val="000000"/>
                <w:sz w:val="18"/>
                <w:szCs w:val="22"/>
              </w:rPr>
              <w:t>Simplified lab algorithm for stable patients</w:t>
            </w:r>
          </w:p>
        </w:tc>
        <w:tc>
          <w:tcPr>
            <w:tcW w:w="758" w:type="dxa"/>
            <w:tcBorders>
              <w:bottom w:val="dashed" w:sz="4" w:space="0" w:color="auto"/>
            </w:tcBorders>
            <w:shd w:val="clear" w:color="auto" w:fill="FFFFFF" w:themeFill="background1"/>
            <w:vAlign w:val="center"/>
          </w:tcPr>
          <w:p w14:paraId="2A5AB727" w14:textId="77777777" w:rsidR="00427751" w:rsidRPr="00444084" w:rsidRDefault="00427751" w:rsidP="00E5101A">
            <w:pPr>
              <w:spacing w:after="0" w:line="240" w:lineRule="auto"/>
              <w:jc w:val="right"/>
              <w:rPr>
                <w:rFonts w:ascii="Arial" w:eastAsia="Times New Roman" w:hAnsi="Arial" w:cs="Arial"/>
                <w:color w:val="000000"/>
                <w:sz w:val="18"/>
                <w:szCs w:val="22"/>
              </w:rPr>
            </w:pPr>
            <w:r>
              <w:rPr>
                <w:rFonts w:ascii="Arial" w:eastAsia="Times New Roman" w:hAnsi="Arial" w:cs="Arial"/>
                <w:color w:val="000000"/>
                <w:sz w:val="18"/>
                <w:szCs w:val="22"/>
              </w:rPr>
              <w:t>NA</w:t>
            </w:r>
          </w:p>
        </w:tc>
        <w:tc>
          <w:tcPr>
            <w:tcW w:w="0" w:type="auto"/>
            <w:tcBorders>
              <w:bottom w:val="dashed" w:sz="4" w:space="0" w:color="auto"/>
            </w:tcBorders>
            <w:shd w:val="clear" w:color="auto" w:fill="FFFFFF" w:themeFill="background1"/>
            <w:noWrap/>
            <w:vAlign w:val="center"/>
            <w:hideMark/>
          </w:tcPr>
          <w:p w14:paraId="753111E1"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25%</w:t>
            </w:r>
          </w:p>
        </w:tc>
        <w:tc>
          <w:tcPr>
            <w:tcW w:w="0" w:type="auto"/>
            <w:tcBorders>
              <w:bottom w:val="dashed" w:sz="4" w:space="0" w:color="auto"/>
            </w:tcBorders>
            <w:shd w:val="clear" w:color="auto" w:fill="FFFFFF" w:themeFill="background1"/>
            <w:noWrap/>
            <w:vAlign w:val="center"/>
            <w:hideMark/>
          </w:tcPr>
          <w:p w14:paraId="7687E636"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50%</w:t>
            </w:r>
          </w:p>
        </w:tc>
        <w:tc>
          <w:tcPr>
            <w:tcW w:w="0" w:type="auto"/>
            <w:tcBorders>
              <w:bottom w:val="dashed" w:sz="4" w:space="0" w:color="auto"/>
            </w:tcBorders>
            <w:shd w:val="clear" w:color="auto" w:fill="FFFFFF" w:themeFill="background1"/>
            <w:noWrap/>
            <w:vAlign w:val="center"/>
            <w:hideMark/>
          </w:tcPr>
          <w:p w14:paraId="5697A106"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75%</w:t>
            </w:r>
          </w:p>
        </w:tc>
        <w:tc>
          <w:tcPr>
            <w:tcW w:w="0" w:type="auto"/>
            <w:tcBorders>
              <w:bottom w:val="dashed" w:sz="4" w:space="0" w:color="auto"/>
            </w:tcBorders>
            <w:shd w:val="clear" w:color="auto" w:fill="FFFFFF" w:themeFill="background1"/>
            <w:noWrap/>
            <w:vAlign w:val="center"/>
            <w:hideMark/>
          </w:tcPr>
          <w:p w14:paraId="12094351" w14:textId="77777777" w:rsidR="00427751" w:rsidRPr="00444084" w:rsidRDefault="00427751" w:rsidP="00E5101A">
            <w:pPr>
              <w:spacing w:after="0" w:line="240" w:lineRule="auto"/>
              <w:jc w:val="right"/>
              <w:rPr>
                <w:rFonts w:ascii="Arial" w:eastAsia="Times New Roman" w:hAnsi="Arial" w:cs="Arial"/>
                <w:color w:val="000000"/>
                <w:sz w:val="18"/>
                <w:szCs w:val="22"/>
              </w:rPr>
            </w:pPr>
            <w:r w:rsidRPr="00444084">
              <w:rPr>
                <w:rFonts w:ascii="Arial" w:eastAsia="Times New Roman" w:hAnsi="Arial" w:cs="Arial"/>
                <w:color w:val="000000"/>
                <w:sz w:val="18"/>
                <w:szCs w:val="22"/>
              </w:rPr>
              <w:t>100%</w:t>
            </w:r>
          </w:p>
        </w:tc>
      </w:tr>
      <w:tr w:rsidR="00427751" w:rsidRPr="00444084" w14:paraId="618EC396" w14:textId="77777777" w:rsidTr="00E5101A">
        <w:trPr>
          <w:trHeight w:val="404"/>
        </w:trPr>
        <w:tc>
          <w:tcPr>
            <w:tcW w:w="4405" w:type="dxa"/>
            <w:tcBorders>
              <w:top w:val="dashed" w:sz="4" w:space="0" w:color="auto"/>
            </w:tcBorders>
            <w:shd w:val="clear" w:color="auto" w:fill="F2F2F2" w:themeFill="background1" w:themeFillShade="F2"/>
            <w:noWrap/>
            <w:vAlign w:val="center"/>
          </w:tcPr>
          <w:p w14:paraId="1FF7E59E" w14:textId="12C609CE" w:rsidR="00427751" w:rsidRPr="00444084" w:rsidRDefault="00427751" w:rsidP="00E5101A">
            <w:pPr>
              <w:spacing w:after="0" w:line="240" w:lineRule="auto"/>
              <w:rPr>
                <w:rFonts w:ascii="Arial" w:eastAsia="Times New Roman" w:hAnsi="Arial" w:cs="Arial"/>
                <w:b/>
                <w:color w:val="000000"/>
                <w:sz w:val="18"/>
                <w:szCs w:val="22"/>
              </w:rPr>
            </w:pPr>
            <w:r w:rsidRPr="00444084">
              <w:rPr>
                <w:rFonts w:ascii="Arial" w:eastAsia="Times New Roman" w:hAnsi="Arial" w:cs="Arial"/>
                <w:b/>
                <w:color w:val="000000"/>
                <w:sz w:val="18"/>
                <w:szCs w:val="22"/>
              </w:rPr>
              <w:t>ART unit cost</w:t>
            </w:r>
            <w:r w:rsidR="00007844">
              <w:rPr>
                <w:rFonts w:ascii="Arial" w:eastAsia="Times New Roman" w:hAnsi="Arial" w:cs="Arial"/>
                <w:b/>
                <w:color w:val="000000"/>
                <w:sz w:val="18"/>
                <w:szCs w:val="22"/>
              </w:rPr>
              <w:t xml:space="preserve"> (per patient/year)</w:t>
            </w:r>
            <w:r w:rsidRPr="00444084">
              <w:rPr>
                <w:rFonts w:ascii="Arial" w:eastAsia="Times New Roman" w:hAnsi="Arial" w:cs="Arial"/>
                <w:b/>
                <w:color w:val="000000"/>
                <w:sz w:val="18"/>
                <w:szCs w:val="22"/>
              </w:rPr>
              <w:t xml:space="preserve"> + TEs</w:t>
            </w:r>
          </w:p>
        </w:tc>
        <w:tc>
          <w:tcPr>
            <w:tcW w:w="758" w:type="dxa"/>
            <w:tcBorders>
              <w:top w:val="dashed" w:sz="4" w:space="0" w:color="auto"/>
            </w:tcBorders>
            <w:shd w:val="clear" w:color="auto" w:fill="F2F2F2" w:themeFill="background1" w:themeFillShade="F2"/>
            <w:vAlign w:val="center"/>
          </w:tcPr>
          <w:p w14:paraId="0430A5BC" w14:textId="77777777" w:rsidR="00427751" w:rsidRPr="00444084" w:rsidRDefault="00427751" w:rsidP="00E5101A">
            <w:pPr>
              <w:spacing w:after="0" w:line="240" w:lineRule="auto"/>
              <w:jc w:val="right"/>
              <w:rPr>
                <w:rFonts w:ascii="Arial" w:eastAsia="Times New Roman" w:hAnsi="Arial" w:cs="Arial"/>
                <w:b/>
                <w:color w:val="000000"/>
                <w:sz w:val="18"/>
                <w:szCs w:val="22"/>
              </w:rPr>
            </w:pPr>
            <w:r w:rsidRPr="00444084">
              <w:rPr>
                <w:rFonts w:ascii="Arial" w:eastAsia="Times New Roman" w:hAnsi="Arial" w:cs="Arial"/>
                <w:b/>
                <w:color w:val="000000"/>
                <w:sz w:val="18"/>
                <w:szCs w:val="22"/>
              </w:rPr>
              <w:t>205</w:t>
            </w:r>
          </w:p>
        </w:tc>
        <w:tc>
          <w:tcPr>
            <w:tcW w:w="0" w:type="auto"/>
            <w:tcBorders>
              <w:top w:val="dashed" w:sz="4" w:space="0" w:color="auto"/>
            </w:tcBorders>
            <w:shd w:val="clear" w:color="auto" w:fill="F2F2F2" w:themeFill="background1" w:themeFillShade="F2"/>
            <w:noWrap/>
            <w:vAlign w:val="center"/>
          </w:tcPr>
          <w:p w14:paraId="5952CDC6" w14:textId="77777777" w:rsidR="00427751" w:rsidRPr="00444084" w:rsidRDefault="00427751" w:rsidP="00E5101A">
            <w:pPr>
              <w:spacing w:after="0" w:line="240" w:lineRule="auto"/>
              <w:jc w:val="right"/>
              <w:rPr>
                <w:rFonts w:ascii="Arial" w:eastAsia="Times New Roman" w:hAnsi="Arial" w:cs="Arial"/>
                <w:b/>
                <w:color w:val="000000"/>
                <w:sz w:val="18"/>
                <w:szCs w:val="22"/>
              </w:rPr>
            </w:pPr>
            <w:r w:rsidRPr="00444084">
              <w:rPr>
                <w:rFonts w:ascii="Arial" w:eastAsia="Times New Roman" w:hAnsi="Arial" w:cs="Arial"/>
                <w:b/>
                <w:color w:val="000000"/>
                <w:sz w:val="18"/>
                <w:szCs w:val="22"/>
              </w:rPr>
              <w:t>190</w:t>
            </w:r>
          </w:p>
        </w:tc>
        <w:tc>
          <w:tcPr>
            <w:tcW w:w="0" w:type="auto"/>
            <w:tcBorders>
              <w:top w:val="dashed" w:sz="4" w:space="0" w:color="auto"/>
            </w:tcBorders>
            <w:shd w:val="clear" w:color="auto" w:fill="F2F2F2" w:themeFill="background1" w:themeFillShade="F2"/>
            <w:noWrap/>
            <w:vAlign w:val="center"/>
          </w:tcPr>
          <w:p w14:paraId="58AD12C6" w14:textId="77777777" w:rsidR="00427751" w:rsidRPr="00444084" w:rsidRDefault="00427751" w:rsidP="00E5101A">
            <w:pPr>
              <w:spacing w:after="0" w:line="240" w:lineRule="auto"/>
              <w:jc w:val="right"/>
              <w:rPr>
                <w:rFonts w:ascii="Arial" w:eastAsia="Times New Roman" w:hAnsi="Arial" w:cs="Arial"/>
                <w:b/>
                <w:color w:val="000000"/>
                <w:sz w:val="18"/>
                <w:szCs w:val="22"/>
              </w:rPr>
            </w:pPr>
            <w:r w:rsidRPr="00444084">
              <w:rPr>
                <w:rFonts w:ascii="Arial" w:eastAsia="Times New Roman" w:hAnsi="Arial" w:cs="Arial"/>
                <w:b/>
                <w:color w:val="000000"/>
                <w:sz w:val="18"/>
                <w:szCs w:val="22"/>
              </w:rPr>
              <w:t>173</w:t>
            </w:r>
          </w:p>
        </w:tc>
        <w:tc>
          <w:tcPr>
            <w:tcW w:w="0" w:type="auto"/>
            <w:tcBorders>
              <w:top w:val="dashed" w:sz="4" w:space="0" w:color="auto"/>
            </w:tcBorders>
            <w:shd w:val="clear" w:color="auto" w:fill="F2F2F2" w:themeFill="background1" w:themeFillShade="F2"/>
            <w:noWrap/>
            <w:vAlign w:val="center"/>
          </w:tcPr>
          <w:p w14:paraId="02B61AB6" w14:textId="77777777" w:rsidR="00427751" w:rsidRPr="00444084" w:rsidRDefault="00427751" w:rsidP="00E5101A">
            <w:pPr>
              <w:spacing w:after="0" w:line="240" w:lineRule="auto"/>
              <w:jc w:val="right"/>
              <w:rPr>
                <w:rFonts w:ascii="Arial" w:eastAsia="Times New Roman" w:hAnsi="Arial" w:cs="Arial"/>
                <w:b/>
                <w:color w:val="000000"/>
                <w:sz w:val="18"/>
                <w:szCs w:val="22"/>
              </w:rPr>
            </w:pPr>
            <w:r w:rsidRPr="00444084">
              <w:rPr>
                <w:rFonts w:ascii="Arial" w:eastAsia="Times New Roman" w:hAnsi="Arial" w:cs="Arial"/>
                <w:b/>
                <w:color w:val="000000"/>
                <w:sz w:val="18"/>
                <w:szCs w:val="22"/>
              </w:rPr>
              <w:t>165</w:t>
            </w:r>
          </w:p>
        </w:tc>
        <w:tc>
          <w:tcPr>
            <w:tcW w:w="0" w:type="auto"/>
            <w:tcBorders>
              <w:top w:val="dashed" w:sz="4" w:space="0" w:color="auto"/>
            </w:tcBorders>
            <w:shd w:val="clear" w:color="auto" w:fill="F2F2F2" w:themeFill="background1" w:themeFillShade="F2"/>
            <w:noWrap/>
            <w:vAlign w:val="center"/>
          </w:tcPr>
          <w:p w14:paraId="1F2B775C" w14:textId="77777777" w:rsidR="00427751" w:rsidRPr="00444084" w:rsidRDefault="00427751" w:rsidP="00E5101A">
            <w:pPr>
              <w:spacing w:after="0" w:line="240" w:lineRule="auto"/>
              <w:jc w:val="right"/>
              <w:rPr>
                <w:rFonts w:ascii="Arial" w:eastAsia="Times New Roman" w:hAnsi="Arial" w:cs="Arial"/>
                <w:b/>
                <w:color w:val="000000"/>
                <w:sz w:val="18"/>
                <w:szCs w:val="22"/>
              </w:rPr>
            </w:pPr>
            <w:r w:rsidRPr="00444084">
              <w:rPr>
                <w:rFonts w:ascii="Arial" w:eastAsia="Times New Roman" w:hAnsi="Arial" w:cs="Arial"/>
                <w:b/>
                <w:color w:val="000000"/>
                <w:sz w:val="18"/>
                <w:szCs w:val="22"/>
              </w:rPr>
              <w:t>156</w:t>
            </w:r>
          </w:p>
        </w:tc>
      </w:tr>
    </w:tbl>
    <w:p w14:paraId="3CF2470E" w14:textId="77777777" w:rsidR="00427751" w:rsidRDefault="00427751" w:rsidP="00427751">
      <w:pPr>
        <w:spacing w:after="0"/>
        <w:rPr>
          <w:rFonts w:ascii="Arial" w:hAnsi="Arial" w:cs="Arial"/>
        </w:rPr>
      </w:pPr>
    </w:p>
    <w:p w14:paraId="6F2BF0BC" w14:textId="77777777" w:rsidR="00427751" w:rsidRDefault="00427751" w:rsidP="00BF0884">
      <w:pPr>
        <w:spacing w:after="0"/>
        <w:rPr>
          <w:rFonts w:ascii="Arial" w:hAnsi="Arial" w:cs="Arial"/>
          <w:u w:val="single"/>
        </w:rPr>
      </w:pPr>
    </w:p>
    <w:p w14:paraId="3966CD39" w14:textId="5A53F41C" w:rsidR="00CC2044" w:rsidRDefault="00862609" w:rsidP="00D36D01">
      <w:pPr>
        <w:spacing w:after="0"/>
        <w:rPr>
          <w:rFonts w:ascii="Arial" w:hAnsi="Arial" w:cs="Arial"/>
          <w:i/>
          <w:sz w:val="18"/>
        </w:rPr>
      </w:pPr>
      <w:r>
        <w:rPr>
          <w:rFonts w:ascii="Arial" w:hAnsi="Arial" w:cs="Arial"/>
        </w:rPr>
        <w:t>In total,</w:t>
      </w:r>
      <w:r w:rsidR="0059778C">
        <w:rPr>
          <w:rFonts w:ascii="Arial" w:hAnsi="Arial" w:cs="Arial"/>
        </w:rPr>
        <w:t xml:space="preserve"> the combined savings from the technical efficiencies could be up to USD </w:t>
      </w:r>
      <w:r w:rsidR="0071346A">
        <w:rPr>
          <w:rFonts w:ascii="Arial" w:hAnsi="Arial" w:cs="Arial"/>
        </w:rPr>
        <w:t>4</w:t>
      </w:r>
      <w:r w:rsidR="00667C88">
        <w:rPr>
          <w:rFonts w:ascii="Arial" w:hAnsi="Arial" w:cs="Arial"/>
        </w:rPr>
        <w:t>9</w:t>
      </w:r>
      <w:r w:rsidR="0059778C">
        <w:rPr>
          <w:rFonts w:ascii="Arial" w:hAnsi="Arial" w:cs="Arial"/>
        </w:rPr>
        <w:t xml:space="preserve"> per </w:t>
      </w:r>
      <w:r w:rsidR="00197A36">
        <w:rPr>
          <w:rFonts w:ascii="Arial" w:hAnsi="Arial" w:cs="Arial"/>
        </w:rPr>
        <w:t xml:space="preserve">patient </w:t>
      </w:r>
      <w:r w:rsidR="0059778C">
        <w:rPr>
          <w:rFonts w:ascii="Arial" w:hAnsi="Arial" w:cs="Arial"/>
        </w:rPr>
        <w:t>when fully realized</w:t>
      </w:r>
      <w:r w:rsidR="00427751">
        <w:rPr>
          <w:rFonts w:ascii="Arial" w:hAnsi="Arial" w:cs="Arial"/>
        </w:rPr>
        <w:t>, resulting in an average unit cost of USD 156 for ART per patient annually.</w:t>
      </w:r>
    </w:p>
    <w:p w14:paraId="09928CBE" w14:textId="77777777" w:rsidR="00CC2044" w:rsidRDefault="00CC2044" w:rsidP="00D36D01">
      <w:pPr>
        <w:spacing w:after="0"/>
        <w:rPr>
          <w:rFonts w:ascii="Arial" w:hAnsi="Arial" w:cs="Arial"/>
          <w:i/>
          <w:sz w:val="18"/>
        </w:rPr>
      </w:pPr>
    </w:p>
    <w:p w14:paraId="30A6DB12" w14:textId="37DBE2A4" w:rsidR="00D36D01" w:rsidRPr="008544A5" w:rsidRDefault="00D36D01" w:rsidP="00D36D01">
      <w:pPr>
        <w:spacing w:after="0"/>
        <w:rPr>
          <w:rFonts w:ascii="Arial" w:hAnsi="Arial" w:cs="Arial"/>
          <w:i/>
          <w:sz w:val="18"/>
        </w:rPr>
      </w:pPr>
      <w:r w:rsidRPr="008544A5">
        <w:rPr>
          <w:rFonts w:ascii="Arial" w:hAnsi="Arial" w:cs="Arial"/>
          <w:i/>
          <w:sz w:val="18"/>
        </w:rPr>
        <w:t>Figure 5-</w:t>
      </w:r>
      <w:r w:rsidR="00427751">
        <w:rPr>
          <w:rFonts w:ascii="Arial" w:hAnsi="Arial" w:cs="Arial"/>
          <w:i/>
          <w:sz w:val="18"/>
        </w:rPr>
        <w:t>4</w:t>
      </w:r>
      <w:r w:rsidRPr="008544A5">
        <w:rPr>
          <w:rFonts w:ascii="Arial" w:hAnsi="Arial" w:cs="Arial"/>
          <w:i/>
          <w:sz w:val="18"/>
        </w:rPr>
        <w:t xml:space="preserve">. Cumulative reduction in ART unit cost when </w:t>
      </w:r>
      <w:r w:rsidR="00950828">
        <w:rPr>
          <w:rFonts w:ascii="Arial" w:hAnsi="Arial" w:cs="Arial"/>
          <w:i/>
          <w:sz w:val="18"/>
        </w:rPr>
        <w:t>technical efficiencies</w:t>
      </w:r>
      <w:r w:rsidRPr="008544A5">
        <w:rPr>
          <w:rFonts w:ascii="Arial" w:hAnsi="Arial" w:cs="Arial"/>
          <w:i/>
          <w:sz w:val="18"/>
        </w:rPr>
        <w:t xml:space="preserve"> fully realized</w:t>
      </w:r>
    </w:p>
    <w:p w14:paraId="5FA46DDB" w14:textId="1D046AE4" w:rsidR="00D36D01" w:rsidRDefault="00AC1C3A" w:rsidP="00BF0884">
      <w:pPr>
        <w:spacing w:after="0"/>
        <w:rPr>
          <w:rFonts w:ascii="Arial" w:hAnsi="Arial" w:cs="Arial"/>
        </w:rPr>
      </w:pPr>
      <w:r>
        <w:rPr>
          <w:rFonts w:ascii="Arial" w:hAnsi="Arial" w:cs="Arial"/>
          <w:noProof/>
        </w:rPr>
        <mc:AlternateContent>
          <mc:Choic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1">
            <w:drawing>
              <wp:inline distT="0" distB="0" distL="0" distR="0" wp14:anchorId="4D85658C" wp14:editId="3319B477">
                <wp:extent cx="5880735" cy="2354580"/>
                <wp:effectExtent l="0" t="0" r="5715" b="7620"/>
                <wp:docPr id="20" name="Chart 2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w:drawing>
              <wp:inline distT="0" distB="0" distL="0" distR="0" wp14:anchorId="4D85658C" wp14:editId="3319B477">
                <wp:extent cx="5880735" cy="2354580"/>
                <wp:effectExtent l="0" t="0" r="5715" b="7620"/>
                <wp:docPr id="20" name="Chart 2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Chart 20"/>
                        <pic:cNvPicPr>
                          <a:picLocks noGrp="1" noRot="1" noChangeAspect="1" noMove="1" noResize="1" noEditPoints="1" noAdjustHandles="1" noChangeArrowheads="1" noChangeShapeType="1"/>
                        </pic:cNvPicPr>
                      </pic:nvPicPr>
                      <pic:blipFill>
                        <a:blip r:embed="rId40"/>
                        <a:stretch>
                          <a:fillRect/>
                        </a:stretch>
                      </pic:blipFill>
                      <pic:spPr>
                        <a:xfrm>
                          <a:off x="0" y="0"/>
                          <a:ext cx="5880735" cy="2354580"/>
                        </a:xfrm>
                        <a:prstGeom prst="rect">
                          <a:avLst/>
                        </a:prstGeom>
                      </pic:spPr>
                    </pic:pic>
                  </a:graphicData>
                </a:graphic>
              </wp:inline>
            </w:drawing>
          </mc:Fallback>
        </mc:AlternateContent>
      </w:r>
    </w:p>
    <w:p w14:paraId="32BD7E4D" w14:textId="2AA31A27" w:rsidR="00CE35FC" w:rsidRDefault="00CE35FC" w:rsidP="00BF0884">
      <w:pPr>
        <w:spacing w:after="0"/>
        <w:rPr>
          <w:rFonts w:ascii="Arial" w:hAnsi="Arial" w:cs="Arial"/>
        </w:rPr>
      </w:pPr>
    </w:p>
    <w:p w14:paraId="3633E0F5" w14:textId="593BED3A" w:rsidR="00954CEC" w:rsidRDefault="00E8612E" w:rsidP="00444084">
      <w:pPr>
        <w:spacing w:after="0"/>
        <w:rPr>
          <w:rFonts w:ascii="Arial" w:hAnsi="Arial" w:cs="Arial"/>
        </w:rPr>
      </w:pPr>
      <w:r w:rsidRPr="00444084">
        <w:rPr>
          <w:rFonts w:ascii="Arial" w:hAnsi="Arial" w:cs="Arial"/>
        </w:rPr>
        <w:t xml:space="preserve">In contrast, under the </w:t>
      </w:r>
      <w:r w:rsidR="00C527FE">
        <w:rPr>
          <w:rFonts w:ascii="Arial" w:hAnsi="Arial" w:cs="Arial"/>
        </w:rPr>
        <w:t>CC</w:t>
      </w:r>
      <w:r w:rsidRPr="00444084">
        <w:rPr>
          <w:rFonts w:ascii="Arial" w:hAnsi="Arial" w:cs="Arial"/>
        </w:rPr>
        <w:t xml:space="preserve"> scenario the unit cost for ART </w:t>
      </w:r>
      <w:r w:rsidR="00BC2FC5">
        <w:rPr>
          <w:rFonts w:ascii="Arial" w:hAnsi="Arial" w:cs="Arial"/>
        </w:rPr>
        <w:t>stays</w:t>
      </w:r>
      <w:r w:rsidRPr="00444084">
        <w:rPr>
          <w:rFonts w:ascii="Arial" w:hAnsi="Arial" w:cs="Arial"/>
        </w:rPr>
        <w:t xml:space="preserve"> constant at USD 205.</w:t>
      </w:r>
    </w:p>
    <w:p w14:paraId="6D67E059" w14:textId="487C8D5A" w:rsidR="00901184" w:rsidRDefault="00901184" w:rsidP="00444084">
      <w:pPr>
        <w:spacing w:after="0"/>
        <w:rPr>
          <w:rFonts w:ascii="Arial" w:hAnsi="Arial" w:cs="Arial"/>
        </w:rPr>
      </w:pPr>
    </w:p>
    <w:p w14:paraId="1AFD6A6C" w14:textId="6410266A" w:rsidR="00901184" w:rsidRPr="001A2CAA" w:rsidRDefault="00714721" w:rsidP="00901184">
      <w:pPr>
        <w:pStyle w:val="Heading2"/>
        <w:rPr>
          <w:rFonts w:ascii="Arial" w:hAnsi="Arial" w:cs="Arial"/>
          <w:b/>
          <w:color w:val="000000" w:themeColor="text1"/>
        </w:rPr>
      </w:pPr>
      <w:bookmarkStart w:id="91" w:name="_Toc57035185"/>
      <w:r>
        <w:rPr>
          <w:rFonts w:ascii="Arial" w:hAnsi="Arial" w:cs="Arial"/>
          <w:b/>
          <w:color w:val="000000" w:themeColor="text1"/>
        </w:rPr>
        <w:t>Efficient strategy for t</w:t>
      </w:r>
      <w:r w:rsidR="00901184" w:rsidRPr="001A2CAA">
        <w:rPr>
          <w:rFonts w:ascii="Arial" w:hAnsi="Arial" w:cs="Arial"/>
          <w:b/>
          <w:color w:val="000000" w:themeColor="text1"/>
        </w:rPr>
        <w:t>argeted testing</w:t>
      </w:r>
      <w:r w:rsidR="00901184">
        <w:rPr>
          <w:rFonts w:ascii="Arial" w:hAnsi="Arial" w:cs="Arial"/>
          <w:b/>
          <w:color w:val="000000" w:themeColor="text1"/>
        </w:rPr>
        <w:t xml:space="preserve"> and counseling</w:t>
      </w:r>
      <w:bookmarkEnd w:id="91"/>
    </w:p>
    <w:p w14:paraId="06E88455" w14:textId="77777777" w:rsidR="00901184" w:rsidRDefault="00901184" w:rsidP="00901184">
      <w:pPr>
        <w:pStyle w:val="ListParagraph"/>
        <w:spacing w:after="0"/>
        <w:ind w:left="-180"/>
        <w:rPr>
          <w:rFonts w:ascii="Arial" w:hAnsi="Arial" w:cs="Arial"/>
          <w:b/>
        </w:rPr>
      </w:pPr>
    </w:p>
    <w:p w14:paraId="21297537" w14:textId="1D13A7AB" w:rsidR="00901184" w:rsidRDefault="00901184" w:rsidP="00901184">
      <w:pPr>
        <w:pStyle w:val="ListParagraph"/>
        <w:spacing w:after="0"/>
        <w:ind w:left="0"/>
        <w:rPr>
          <w:rFonts w:ascii="Arial" w:hAnsi="Arial" w:cs="Arial"/>
        </w:rPr>
      </w:pPr>
      <w:r w:rsidRPr="006B711A">
        <w:rPr>
          <w:rFonts w:ascii="Arial" w:hAnsi="Arial" w:cs="Arial"/>
        </w:rPr>
        <w:t xml:space="preserve">Testing and counseling </w:t>
      </w:r>
      <w:r>
        <w:rPr>
          <w:rFonts w:ascii="Arial" w:hAnsi="Arial" w:cs="Arial"/>
        </w:rPr>
        <w:t xml:space="preserve">coverage </w:t>
      </w:r>
      <w:r w:rsidRPr="006B711A">
        <w:rPr>
          <w:rFonts w:ascii="Arial" w:hAnsi="Arial" w:cs="Arial"/>
        </w:rPr>
        <w:t>is a significant program gap for Tanzania</w:t>
      </w:r>
      <w:r>
        <w:rPr>
          <w:rFonts w:ascii="Arial" w:hAnsi="Arial" w:cs="Arial"/>
        </w:rPr>
        <w:t>— less than 65% of PLHIV are aware of their status, significantly below national and global goals.</w:t>
      </w:r>
    </w:p>
    <w:p w14:paraId="4E828BA2" w14:textId="77777777" w:rsidR="00901184" w:rsidRDefault="00901184" w:rsidP="00901184">
      <w:pPr>
        <w:pStyle w:val="ListParagraph"/>
        <w:spacing w:after="0"/>
        <w:ind w:left="0"/>
        <w:rPr>
          <w:rFonts w:ascii="Arial" w:hAnsi="Arial" w:cs="Arial"/>
        </w:rPr>
      </w:pPr>
    </w:p>
    <w:p w14:paraId="013398BA" w14:textId="77777777" w:rsidR="00901184" w:rsidRDefault="00901184" w:rsidP="00901184">
      <w:pPr>
        <w:pStyle w:val="Heading3"/>
        <w:rPr>
          <w:rFonts w:ascii="Arial" w:hAnsi="Arial" w:cs="Arial"/>
          <w:i/>
          <w:color w:val="000000" w:themeColor="text1"/>
        </w:rPr>
      </w:pPr>
      <w:bookmarkStart w:id="92" w:name="_Toc57035186"/>
      <w:r w:rsidRPr="001A2CAA">
        <w:rPr>
          <w:rFonts w:ascii="Arial" w:hAnsi="Arial" w:cs="Arial"/>
          <w:i/>
          <w:color w:val="000000" w:themeColor="text1"/>
        </w:rPr>
        <w:t>Low testing coverage</w:t>
      </w:r>
      <w:r>
        <w:rPr>
          <w:rFonts w:ascii="Arial" w:hAnsi="Arial" w:cs="Arial"/>
          <w:i/>
          <w:color w:val="000000" w:themeColor="text1"/>
        </w:rPr>
        <w:t xml:space="preserve"> and need for targeting</w:t>
      </w:r>
      <w:bookmarkEnd w:id="92"/>
    </w:p>
    <w:p w14:paraId="3376C700" w14:textId="77777777" w:rsidR="00901184" w:rsidRDefault="00901184" w:rsidP="00901184">
      <w:pPr>
        <w:spacing w:after="0"/>
      </w:pPr>
    </w:p>
    <w:p w14:paraId="6EBD2403" w14:textId="4AFD4BCA" w:rsidR="00901184" w:rsidRDefault="00901184" w:rsidP="00901184">
      <w:pPr>
        <w:pStyle w:val="ListParagraph"/>
        <w:spacing w:after="0"/>
        <w:ind w:left="0"/>
        <w:rPr>
          <w:rFonts w:ascii="Arial" w:hAnsi="Arial" w:cs="Arial"/>
        </w:rPr>
      </w:pPr>
      <w:r w:rsidRPr="00D340AC">
        <w:rPr>
          <w:rFonts w:ascii="Arial" w:hAnsi="Arial" w:cs="Arial"/>
        </w:rPr>
        <w:t>The T</w:t>
      </w:r>
      <w:r>
        <w:rPr>
          <w:rFonts w:ascii="Arial" w:hAnsi="Arial" w:cs="Arial"/>
        </w:rPr>
        <w:t>anzania HIV Impact Survey found that 65% of females living with HIV, 52% of males living with HIV, and 61% of all adults 15-49 living with HIV are aware of their status. This is significantly below the goal of 90% of PLHIV aware of their status by 2020 and 95% by 2023. This is a critical bottleneck to reaching the 95-95-95 targets and he Fast Track goals since testing is a gateway for linkage to ART</w:t>
      </w:r>
      <w:r w:rsidRPr="006B711A">
        <w:rPr>
          <w:rFonts w:ascii="Arial" w:hAnsi="Arial" w:cs="Arial"/>
        </w:rPr>
        <w:t xml:space="preserve"> </w:t>
      </w:r>
      <w:r>
        <w:rPr>
          <w:rFonts w:ascii="Arial" w:hAnsi="Arial" w:cs="Arial"/>
        </w:rPr>
        <w:t xml:space="preserve">and also impedes prevention efforts as those unaware PLHIV continue to transmit the virus to others. </w:t>
      </w:r>
    </w:p>
    <w:p w14:paraId="691B8AB3" w14:textId="77777777" w:rsidR="00901184" w:rsidRDefault="00901184" w:rsidP="00901184">
      <w:pPr>
        <w:pStyle w:val="ListParagraph"/>
        <w:spacing w:after="0"/>
        <w:ind w:left="0"/>
        <w:rPr>
          <w:rFonts w:ascii="Arial" w:hAnsi="Arial" w:cs="Arial"/>
        </w:rPr>
      </w:pPr>
    </w:p>
    <w:p w14:paraId="60A4E425" w14:textId="77777777" w:rsidR="00901184" w:rsidRDefault="00901184" w:rsidP="00901184">
      <w:pPr>
        <w:spacing w:after="0"/>
        <w:rPr>
          <w:rFonts w:ascii="Arial" w:hAnsi="Arial" w:cs="Arial"/>
        </w:rPr>
      </w:pPr>
      <w:r>
        <w:rPr>
          <w:rFonts w:ascii="Arial" w:hAnsi="Arial" w:cs="Arial"/>
        </w:rPr>
        <w:t>Both government and external partners have recognized the need to address this challenge and have developed strategies to improve testing coverage. The new NACP strategy includes a diversity of approaches, including PITC, index-testing, VTC, and community-based testing (NACP</w:t>
      </w:r>
    </w:p>
    <w:p w14:paraId="30D14798" w14:textId="54B41EEF" w:rsidR="00901184" w:rsidRPr="00D340AC" w:rsidRDefault="00901184" w:rsidP="00901184">
      <w:pPr>
        <w:spacing w:after="0"/>
        <w:rPr>
          <w:rFonts w:ascii="Arial" w:hAnsi="Arial" w:cs="Arial"/>
        </w:rPr>
      </w:pPr>
      <w:r>
        <w:rPr>
          <w:rFonts w:ascii="Arial" w:hAnsi="Arial" w:cs="Arial"/>
        </w:rPr>
        <w:t xml:space="preserve"> 2019). </w:t>
      </w:r>
      <w:r w:rsidRPr="00D340AC">
        <w:rPr>
          <w:rFonts w:ascii="Arial" w:hAnsi="Arial" w:cs="Arial"/>
        </w:rPr>
        <w:t xml:space="preserve">PEPFAR </w:t>
      </w:r>
      <w:r>
        <w:rPr>
          <w:rFonts w:ascii="Arial" w:hAnsi="Arial" w:cs="Arial"/>
        </w:rPr>
        <w:t>has committed to following the government strategy and is also looking to reduce PITC “over-testing” by identifying which facilities are not implementing testing recommendations with fidelity and thus inefficien</w:t>
      </w:r>
      <w:r w:rsidR="00673DD2">
        <w:rPr>
          <w:rFonts w:ascii="Arial" w:hAnsi="Arial" w:cs="Arial"/>
        </w:rPr>
        <w:t>cy.</w:t>
      </w:r>
      <w:r>
        <w:rPr>
          <w:rFonts w:ascii="Arial" w:hAnsi="Arial" w:cs="Arial"/>
        </w:rPr>
        <w:t xml:space="preserve"> </w:t>
      </w:r>
    </w:p>
    <w:p w14:paraId="67B45820" w14:textId="77777777" w:rsidR="00901184" w:rsidRDefault="00901184" w:rsidP="00901184">
      <w:pPr>
        <w:spacing w:after="0"/>
      </w:pPr>
    </w:p>
    <w:p w14:paraId="0CA5AF86" w14:textId="3E64A3C7" w:rsidR="00901184" w:rsidRDefault="00901184" w:rsidP="00901184">
      <w:pPr>
        <w:pStyle w:val="Heading3"/>
        <w:rPr>
          <w:rFonts w:ascii="Arial" w:hAnsi="Arial" w:cs="Arial"/>
          <w:i/>
          <w:color w:val="000000" w:themeColor="text1"/>
        </w:rPr>
      </w:pPr>
      <w:bookmarkStart w:id="93" w:name="_Toc57035187"/>
      <w:r>
        <w:rPr>
          <w:rFonts w:ascii="Arial" w:hAnsi="Arial" w:cs="Arial"/>
          <w:i/>
          <w:color w:val="000000" w:themeColor="text1"/>
        </w:rPr>
        <w:t>Scaling</w:t>
      </w:r>
      <w:r w:rsidR="008D3CCA">
        <w:rPr>
          <w:rFonts w:ascii="Arial" w:hAnsi="Arial" w:cs="Arial"/>
          <w:i/>
          <w:color w:val="000000" w:themeColor="text1"/>
        </w:rPr>
        <w:t>-</w:t>
      </w:r>
      <w:r>
        <w:rPr>
          <w:rFonts w:ascii="Arial" w:hAnsi="Arial" w:cs="Arial"/>
          <w:i/>
          <w:color w:val="000000" w:themeColor="text1"/>
        </w:rPr>
        <w:t>up targeted testing</w:t>
      </w:r>
      <w:bookmarkEnd w:id="93"/>
    </w:p>
    <w:p w14:paraId="4B4B70BC" w14:textId="77777777" w:rsidR="00901184" w:rsidRDefault="00901184" w:rsidP="00901184">
      <w:pPr>
        <w:spacing w:after="0"/>
      </w:pPr>
    </w:p>
    <w:p w14:paraId="2830B9F6" w14:textId="77777777" w:rsidR="00901184" w:rsidRDefault="00901184" w:rsidP="00901184">
      <w:pPr>
        <w:spacing w:after="0"/>
        <w:rPr>
          <w:rFonts w:ascii="Arial" w:hAnsi="Arial" w:cs="Arial"/>
        </w:rPr>
      </w:pPr>
      <w:r>
        <w:rPr>
          <w:rFonts w:ascii="Arial" w:hAnsi="Arial" w:cs="Arial"/>
        </w:rPr>
        <w:t>To improve coverage, scale-up of new, more innovative modalities and more targeted strategies will be required to reach those undiagnosed, as articulated in both NACP and PEPFAR guidance.</w:t>
      </w:r>
    </w:p>
    <w:p w14:paraId="705AC7CA" w14:textId="77777777" w:rsidR="00901184" w:rsidRDefault="00901184" w:rsidP="00901184">
      <w:pPr>
        <w:spacing w:after="0"/>
        <w:rPr>
          <w:rFonts w:ascii="Arial" w:hAnsi="Arial" w:cs="Arial"/>
        </w:rPr>
      </w:pPr>
    </w:p>
    <w:p w14:paraId="65AF7DC7" w14:textId="77777777" w:rsidR="00901184" w:rsidRDefault="00901184" w:rsidP="00901184">
      <w:pPr>
        <w:spacing w:after="0"/>
        <w:rPr>
          <w:rFonts w:ascii="Arial" w:hAnsi="Arial" w:cs="Arial"/>
        </w:rPr>
      </w:pPr>
      <w:r>
        <w:rPr>
          <w:rFonts w:ascii="Arial" w:hAnsi="Arial" w:cs="Arial"/>
        </w:rPr>
        <w:t xml:space="preserve">To complement the strategic guidance from NACP and PEPFAR, the IC 2.0 sought to estimate the costs of scaling up these targeted screening approaches. </w:t>
      </w:r>
    </w:p>
    <w:p w14:paraId="18791CA1" w14:textId="77777777" w:rsidR="00901184" w:rsidRPr="007806A2" w:rsidRDefault="00901184" w:rsidP="00901184">
      <w:pPr>
        <w:spacing w:after="0"/>
        <w:rPr>
          <w:rFonts w:ascii="Arial" w:hAnsi="Arial" w:cs="Arial"/>
        </w:rPr>
      </w:pPr>
      <w:r>
        <w:rPr>
          <w:rFonts w:ascii="Arial" w:hAnsi="Arial" w:cs="Arial"/>
        </w:rPr>
        <w:t xml:space="preserve"> </w:t>
      </w:r>
      <w:r w:rsidRPr="00D340AC">
        <w:rPr>
          <w:rFonts w:ascii="Arial" w:hAnsi="Arial" w:cs="Arial"/>
        </w:rPr>
        <w:t xml:space="preserve"> </w:t>
      </w:r>
    </w:p>
    <w:p w14:paraId="794BFE16" w14:textId="77777777" w:rsidR="00901184" w:rsidRDefault="00901184" w:rsidP="00901184">
      <w:pPr>
        <w:spacing w:after="0"/>
        <w:rPr>
          <w:rFonts w:ascii="Arial" w:hAnsi="Arial" w:cs="Arial"/>
        </w:rPr>
      </w:pPr>
      <w:r w:rsidRPr="007806A2">
        <w:rPr>
          <w:rFonts w:ascii="Arial" w:hAnsi="Arial" w:cs="Arial"/>
        </w:rPr>
        <w:t>The new Goals HIV testing module was used for this analysis.</w:t>
      </w:r>
      <w:r>
        <w:rPr>
          <w:rFonts w:ascii="Arial" w:hAnsi="Arial" w:cs="Arial"/>
        </w:rPr>
        <w:t xml:space="preserve"> The module assesses 6 screening strategies and 15 population groups and optimizes a screening strategy to reach 90% testing coverage based on cost-effectiveness, delivery platform accessibility, and burden of disease within the population group. There are many scenarios that could lead to reaching the 90% goal, so this analysis should be seen as indicative of the level of resources required for scaling-up HTC rather than presenting firm recommendations. </w:t>
      </w:r>
    </w:p>
    <w:p w14:paraId="735F9BA2" w14:textId="77777777" w:rsidR="00901184" w:rsidRDefault="00901184" w:rsidP="00901184">
      <w:pPr>
        <w:spacing w:after="0"/>
        <w:rPr>
          <w:rFonts w:ascii="Arial" w:hAnsi="Arial" w:cs="Arial"/>
        </w:rPr>
      </w:pPr>
    </w:p>
    <w:p w14:paraId="35E2899E" w14:textId="5D165D19" w:rsidR="00901184" w:rsidRDefault="00901184" w:rsidP="00901184">
      <w:pPr>
        <w:spacing w:after="0"/>
        <w:rPr>
          <w:rFonts w:ascii="Arial" w:hAnsi="Arial" w:cs="Arial"/>
        </w:rPr>
      </w:pPr>
      <w:r w:rsidRPr="00D127FC">
        <w:rPr>
          <w:rFonts w:ascii="Arial" w:hAnsi="Arial" w:cs="Arial"/>
          <w:i/>
          <w:sz w:val="18"/>
        </w:rPr>
        <w:t xml:space="preserve">Figure </w:t>
      </w:r>
      <w:r w:rsidR="00714721">
        <w:rPr>
          <w:rFonts w:ascii="Arial" w:hAnsi="Arial" w:cs="Arial"/>
          <w:i/>
          <w:sz w:val="18"/>
        </w:rPr>
        <w:t>5-5</w:t>
      </w:r>
      <w:r w:rsidRPr="00D127FC">
        <w:rPr>
          <w:rFonts w:ascii="Arial" w:hAnsi="Arial" w:cs="Arial"/>
          <w:i/>
          <w:sz w:val="18"/>
        </w:rPr>
        <w:t>. Recommended HTC scale-up strategy from Goals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72"/>
        <w:gridCol w:w="699"/>
        <w:gridCol w:w="648"/>
        <w:gridCol w:w="1079"/>
        <w:gridCol w:w="858"/>
        <w:gridCol w:w="2150"/>
        <w:gridCol w:w="938"/>
      </w:tblGrid>
      <w:tr w:rsidR="00901184" w:rsidRPr="00774714" w14:paraId="79CA3863" w14:textId="77777777" w:rsidTr="00C408C6">
        <w:trPr>
          <w:trHeight w:val="111"/>
        </w:trPr>
        <w:tc>
          <w:tcPr>
            <w:tcW w:w="0" w:type="auto"/>
            <w:shd w:val="clear" w:color="auto" w:fill="C00000"/>
            <w:tcMar>
              <w:top w:w="72" w:type="dxa"/>
              <w:left w:w="144" w:type="dxa"/>
              <w:bottom w:w="72" w:type="dxa"/>
              <w:right w:w="144" w:type="dxa"/>
            </w:tcMar>
            <w:hideMark/>
          </w:tcPr>
          <w:p w14:paraId="4EC63E4D" w14:textId="77777777" w:rsidR="00901184" w:rsidRPr="00774714" w:rsidRDefault="00901184" w:rsidP="00C408C6">
            <w:pPr>
              <w:spacing w:after="0"/>
              <w:rPr>
                <w:rFonts w:ascii="Arial" w:hAnsi="Arial" w:cs="Arial"/>
                <w:sz w:val="18"/>
              </w:rPr>
            </w:pPr>
            <w:r w:rsidRPr="00774714">
              <w:rPr>
                <w:rFonts w:ascii="Arial" w:hAnsi="Arial" w:cs="Arial"/>
                <w:b/>
                <w:bCs/>
                <w:sz w:val="18"/>
              </w:rPr>
              <w:t>Population Group</w:t>
            </w:r>
          </w:p>
        </w:tc>
        <w:tc>
          <w:tcPr>
            <w:tcW w:w="0" w:type="auto"/>
            <w:shd w:val="clear" w:color="auto" w:fill="C00000"/>
            <w:tcMar>
              <w:top w:w="72" w:type="dxa"/>
              <w:left w:w="144" w:type="dxa"/>
              <w:bottom w:w="72" w:type="dxa"/>
              <w:right w:w="144" w:type="dxa"/>
            </w:tcMar>
            <w:vAlign w:val="center"/>
            <w:hideMark/>
          </w:tcPr>
          <w:p w14:paraId="2650E9E3" w14:textId="77777777" w:rsidR="00901184" w:rsidRPr="00774714" w:rsidRDefault="00901184" w:rsidP="00C408C6">
            <w:pPr>
              <w:spacing w:after="0"/>
              <w:jc w:val="center"/>
              <w:rPr>
                <w:rFonts w:ascii="Arial" w:hAnsi="Arial" w:cs="Arial"/>
                <w:sz w:val="18"/>
              </w:rPr>
            </w:pPr>
            <w:r w:rsidRPr="00774714">
              <w:rPr>
                <w:rFonts w:ascii="Arial" w:hAnsi="Arial" w:cs="Arial"/>
                <w:b/>
                <w:bCs/>
                <w:sz w:val="18"/>
              </w:rPr>
              <w:t>PITC</w:t>
            </w:r>
          </w:p>
        </w:tc>
        <w:tc>
          <w:tcPr>
            <w:tcW w:w="0" w:type="auto"/>
            <w:shd w:val="clear" w:color="auto" w:fill="C00000"/>
            <w:tcMar>
              <w:top w:w="72" w:type="dxa"/>
              <w:left w:w="144" w:type="dxa"/>
              <w:bottom w:w="72" w:type="dxa"/>
              <w:right w:w="144" w:type="dxa"/>
            </w:tcMar>
            <w:vAlign w:val="center"/>
            <w:hideMark/>
          </w:tcPr>
          <w:p w14:paraId="0929821C" w14:textId="77777777" w:rsidR="00901184" w:rsidRPr="00774714" w:rsidRDefault="00901184" w:rsidP="00C408C6">
            <w:pPr>
              <w:spacing w:after="0"/>
              <w:jc w:val="center"/>
              <w:rPr>
                <w:rFonts w:ascii="Arial" w:hAnsi="Arial" w:cs="Arial"/>
                <w:sz w:val="18"/>
              </w:rPr>
            </w:pPr>
            <w:r w:rsidRPr="00774714">
              <w:rPr>
                <w:rFonts w:ascii="Arial" w:hAnsi="Arial" w:cs="Arial"/>
                <w:b/>
                <w:bCs/>
                <w:sz w:val="18"/>
              </w:rPr>
              <w:t>VCT</w:t>
            </w:r>
          </w:p>
        </w:tc>
        <w:tc>
          <w:tcPr>
            <w:tcW w:w="0" w:type="auto"/>
            <w:shd w:val="clear" w:color="auto" w:fill="C00000"/>
            <w:tcMar>
              <w:top w:w="72" w:type="dxa"/>
              <w:left w:w="144" w:type="dxa"/>
              <w:bottom w:w="72" w:type="dxa"/>
              <w:right w:w="144" w:type="dxa"/>
            </w:tcMar>
            <w:vAlign w:val="center"/>
            <w:hideMark/>
          </w:tcPr>
          <w:p w14:paraId="18711B14" w14:textId="77777777" w:rsidR="00901184" w:rsidRPr="00774714" w:rsidRDefault="00901184" w:rsidP="00C408C6">
            <w:pPr>
              <w:spacing w:after="0"/>
              <w:jc w:val="center"/>
              <w:rPr>
                <w:rFonts w:ascii="Arial" w:hAnsi="Arial" w:cs="Arial"/>
                <w:sz w:val="18"/>
              </w:rPr>
            </w:pPr>
            <w:r w:rsidRPr="00774714">
              <w:rPr>
                <w:rFonts w:ascii="Arial" w:hAnsi="Arial" w:cs="Arial"/>
                <w:b/>
                <w:bCs/>
                <w:sz w:val="18"/>
              </w:rPr>
              <w:t>Outreach</w:t>
            </w:r>
          </w:p>
        </w:tc>
        <w:tc>
          <w:tcPr>
            <w:tcW w:w="0" w:type="auto"/>
            <w:shd w:val="clear" w:color="auto" w:fill="C00000"/>
            <w:tcMar>
              <w:top w:w="72" w:type="dxa"/>
              <w:left w:w="144" w:type="dxa"/>
              <w:bottom w:w="72" w:type="dxa"/>
              <w:right w:w="144" w:type="dxa"/>
            </w:tcMar>
            <w:vAlign w:val="center"/>
            <w:hideMark/>
          </w:tcPr>
          <w:p w14:paraId="46289CDE" w14:textId="77777777" w:rsidR="00901184" w:rsidRPr="00774714" w:rsidRDefault="00901184" w:rsidP="00C408C6">
            <w:pPr>
              <w:spacing w:after="0"/>
              <w:jc w:val="center"/>
              <w:rPr>
                <w:rFonts w:ascii="Arial" w:hAnsi="Arial" w:cs="Arial"/>
                <w:sz w:val="18"/>
              </w:rPr>
            </w:pPr>
            <w:r w:rsidRPr="00774714">
              <w:rPr>
                <w:rFonts w:ascii="Arial" w:hAnsi="Arial" w:cs="Arial"/>
                <w:b/>
                <w:bCs/>
                <w:sz w:val="18"/>
              </w:rPr>
              <w:t>Mobile</w:t>
            </w:r>
          </w:p>
        </w:tc>
        <w:tc>
          <w:tcPr>
            <w:tcW w:w="0" w:type="auto"/>
            <w:shd w:val="clear" w:color="auto" w:fill="C00000"/>
            <w:tcMar>
              <w:top w:w="72" w:type="dxa"/>
              <w:left w:w="144" w:type="dxa"/>
              <w:bottom w:w="72" w:type="dxa"/>
              <w:right w:w="144" w:type="dxa"/>
            </w:tcMar>
            <w:vAlign w:val="center"/>
            <w:hideMark/>
          </w:tcPr>
          <w:p w14:paraId="1F16B8E2" w14:textId="77777777" w:rsidR="00901184" w:rsidRDefault="00901184" w:rsidP="00C408C6">
            <w:pPr>
              <w:spacing w:after="0"/>
              <w:jc w:val="center"/>
              <w:rPr>
                <w:rFonts w:ascii="Arial" w:hAnsi="Arial" w:cs="Arial"/>
                <w:b/>
                <w:bCs/>
                <w:sz w:val="18"/>
              </w:rPr>
            </w:pPr>
            <w:r w:rsidRPr="00774714">
              <w:rPr>
                <w:rFonts w:ascii="Arial" w:hAnsi="Arial" w:cs="Arial"/>
                <w:b/>
                <w:bCs/>
                <w:sz w:val="18"/>
              </w:rPr>
              <w:t>C</w:t>
            </w:r>
            <w:r>
              <w:rPr>
                <w:rFonts w:ascii="Arial" w:hAnsi="Arial" w:cs="Arial"/>
                <w:b/>
                <w:bCs/>
                <w:sz w:val="18"/>
              </w:rPr>
              <w:t>ommunity-based testing</w:t>
            </w:r>
          </w:p>
          <w:p w14:paraId="45BF6D79" w14:textId="77777777" w:rsidR="00901184" w:rsidRPr="00774714" w:rsidRDefault="00901184" w:rsidP="00C408C6">
            <w:pPr>
              <w:spacing w:after="0"/>
              <w:jc w:val="center"/>
              <w:rPr>
                <w:rFonts w:ascii="Arial" w:hAnsi="Arial" w:cs="Arial"/>
                <w:sz w:val="18"/>
              </w:rPr>
            </w:pPr>
            <w:r>
              <w:rPr>
                <w:rFonts w:ascii="Arial" w:hAnsi="Arial" w:cs="Arial"/>
                <w:b/>
                <w:bCs/>
                <w:sz w:val="18"/>
              </w:rPr>
              <w:t>(C</w:t>
            </w:r>
            <w:r w:rsidRPr="00774714">
              <w:rPr>
                <w:rFonts w:ascii="Arial" w:hAnsi="Arial" w:cs="Arial"/>
                <w:b/>
                <w:bCs/>
                <w:sz w:val="18"/>
              </w:rPr>
              <w:t>BT</w:t>
            </w:r>
            <w:r>
              <w:rPr>
                <w:rFonts w:ascii="Arial" w:hAnsi="Arial" w:cs="Arial"/>
                <w:b/>
                <w:bCs/>
                <w:sz w:val="18"/>
              </w:rPr>
              <w:t>)</w:t>
            </w:r>
          </w:p>
        </w:tc>
        <w:tc>
          <w:tcPr>
            <w:tcW w:w="0" w:type="auto"/>
            <w:shd w:val="clear" w:color="auto" w:fill="C00000"/>
            <w:tcMar>
              <w:top w:w="72" w:type="dxa"/>
              <w:left w:w="144" w:type="dxa"/>
              <w:bottom w:w="72" w:type="dxa"/>
              <w:right w:w="144" w:type="dxa"/>
            </w:tcMar>
            <w:hideMark/>
          </w:tcPr>
          <w:p w14:paraId="5BD79DB6" w14:textId="77777777" w:rsidR="00901184" w:rsidRPr="00774714" w:rsidRDefault="00901184" w:rsidP="00C408C6">
            <w:pPr>
              <w:spacing w:after="0"/>
              <w:jc w:val="center"/>
              <w:rPr>
                <w:rFonts w:ascii="Arial" w:hAnsi="Arial" w:cs="Arial"/>
                <w:sz w:val="18"/>
              </w:rPr>
            </w:pPr>
            <w:r w:rsidRPr="00774714">
              <w:rPr>
                <w:rFonts w:ascii="Arial" w:hAnsi="Arial" w:cs="Arial"/>
                <w:b/>
                <w:bCs/>
                <w:sz w:val="18"/>
              </w:rPr>
              <w:t>Self-Test</w:t>
            </w:r>
          </w:p>
        </w:tc>
      </w:tr>
      <w:tr w:rsidR="00901184" w:rsidRPr="00774714" w14:paraId="1BAB28DD" w14:textId="77777777" w:rsidTr="00C408C6">
        <w:trPr>
          <w:trHeight w:val="111"/>
        </w:trPr>
        <w:tc>
          <w:tcPr>
            <w:tcW w:w="0" w:type="auto"/>
            <w:shd w:val="clear" w:color="auto" w:fill="FFFFFF" w:themeFill="background1"/>
            <w:tcMar>
              <w:top w:w="72" w:type="dxa"/>
              <w:left w:w="144" w:type="dxa"/>
              <w:bottom w:w="72" w:type="dxa"/>
              <w:right w:w="144" w:type="dxa"/>
            </w:tcMar>
            <w:hideMark/>
          </w:tcPr>
          <w:p w14:paraId="5DE23608" w14:textId="77777777" w:rsidR="00901184" w:rsidRPr="00774714" w:rsidRDefault="00901184" w:rsidP="00C408C6">
            <w:pPr>
              <w:spacing w:after="0"/>
              <w:rPr>
                <w:rFonts w:ascii="Arial" w:hAnsi="Arial" w:cs="Arial"/>
                <w:sz w:val="18"/>
              </w:rPr>
            </w:pPr>
            <w:r w:rsidRPr="00774714">
              <w:rPr>
                <w:rFonts w:ascii="Arial" w:hAnsi="Arial" w:cs="Arial"/>
                <w:b/>
                <w:bCs/>
                <w:sz w:val="18"/>
              </w:rPr>
              <w:t>Patients</w:t>
            </w:r>
            <w:r w:rsidRPr="00774714">
              <w:rPr>
                <w:rFonts w:ascii="Arial" w:hAnsi="Arial" w:cs="Arial"/>
                <w:sz w:val="18"/>
              </w:rPr>
              <w:t>: Pregnant women, STI, TB, OIs, VMMC</w:t>
            </w:r>
          </w:p>
        </w:tc>
        <w:tc>
          <w:tcPr>
            <w:tcW w:w="0" w:type="auto"/>
            <w:shd w:val="clear" w:color="auto" w:fill="FFFFFF" w:themeFill="background1"/>
            <w:tcMar>
              <w:top w:w="72" w:type="dxa"/>
              <w:left w:w="144" w:type="dxa"/>
              <w:bottom w:w="72" w:type="dxa"/>
              <w:right w:w="144" w:type="dxa"/>
            </w:tcMar>
            <w:vAlign w:val="center"/>
            <w:hideMark/>
          </w:tcPr>
          <w:p w14:paraId="4A3FCBB7"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0C76FA29"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4B679FBB"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6167A28C"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5FD3B7FD"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58464AA9" w14:textId="77777777" w:rsidR="00901184" w:rsidRPr="00774714" w:rsidRDefault="00901184" w:rsidP="00C408C6">
            <w:pPr>
              <w:spacing w:after="0"/>
              <w:jc w:val="center"/>
              <w:rPr>
                <w:rFonts w:ascii="Arial" w:hAnsi="Arial" w:cs="Arial"/>
                <w:sz w:val="18"/>
              </w:rPr>
            </w:pPr>
          </w:p>
        </w:tc>
      </w:tr>
      <w:tr w:rsidR="00901184" w:rsidRPr="00774714" w14:paraId="19E78F91" w14:textId="77777777" w:rsidTr="00C408C6">
        <w:trPr>
          <w:trHeight w:val="111"/>
        </w:trPr>
        <w:tc>
          <w:tcPr>
            <w:tcW w:w="0" w:type="auto"/>
            <w:shd w:val="clear" w:color="auto" w:fill="FFFFFF" w:themeFill="background1"/>
            <w:tcMar>
              <w:top w:w="72" w:type="dxa"/>
              <w:left w:w="144" w:type="dxa"/>
              <w:bottom w:w="72" w:type="dxa"/>
              <w:right w:w="144" w:type="dxa"/>
            </w:tcMar>
            <w:hideMark/>
          </w:tcPr>
          <w:p w14:paraId="35384597" w14:textId="32B874BB" w:rsidR="00901184" w:rsidRPr="00774714" w:rsidRDefault="00901184" w:rsidP="003A4282">
            <w:pPr>
              <w:spacing w:after="0"/>
              <w:rPr>
                <w:rFonts w:ascii="Arial" w:hAnsi="Arial" w:cs="Arial"/>
                <w:sz w:val="18"/>
              </w:rPr>
            </w:pPr>
            <w:r w:rsidRPr="00774714">
              <w:rPr>
                <w:rFonts w:ascii="Arial" w:hAnsi="Arial" w:cs="Arial"/>
                <w:b/>
                <w:bCs/>
                <w:sz w:val="18"/>
              </w:rPr>
              <w:t>Partners</w:t>
            </w:r>
            <w:r w:rsidRPr="00774714">
              <w:rPr>
                <w:rFonts w:ascii="Arial" w:hAnsi="Arial" w:cs="Arial"/>
                <w:sz w:val="18"/>
              </w:rPr>
              <w:t xml:space="preserve">: Pregnant women, </w:t>
            </w:r>
            <w:r w:rsidR="003A4282">
              <w:rPr>
                <w:rFonts w:ascii="Arial" w:hAnsi="Arial" w:cs="Arial"/>
                <w:sz w:val="18"/>
              </w:rPr>
              <w:t>partners of index cases</w:t>
            </w:r>
          </w:p>
        </w:tc>
        <w:tc>
          <w:tcPr>
            <w:tcW w:w="0" w:type="auto"/>
            <w:shd w:val="clear" w:color="auto" w:fill="FFFFFF" w:themeFill="background1"/>
            <w:tcMar>
              <w:top w:w="72" w:type="dxa"/>
              <w:left w:w="144" w:type="dxa"/>
              <w:bottom w:w="72" w:type="dxa"/>
              <w:right w:w="144" w:type="dxa"/>
            </w:tcMar>
            <w:vAlign w:val="center"/>
            <w:hideMark/>
          </w:tcPr>
          <w:p w14:paraId="4AD28D1E"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0A7C9AE2"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694E818D"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03CCF9EF"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699CF507"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4570F804"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r>
      <w:tr w:rsidR="00901184" w:rsidRPr="00774714" w14:paraId="06FDF989" w14:textId="77777777" w:rsidTr="00C408C6">
        <w:trPr>
          <w:trHeight w:val="111"/>
        </w:trPr>
        <w:tc>
          <w:tcPr>
            <w:tcW w:w="0" w:type="auto"/>
            <w:shd w:val="clear" w:color="auto" w:fill="FFFFFF" w:themeFill="background1"/>
            <w:tcMar>
              <w:top w:w="72" w:type="dxa"/>
              <w:left w:w="144" w:type="dxa"/>
              <w:bottom w:w="72" w:type="dxa"/>
              <w:right w:w="144" w:type="dxa"/>
            </w:tcMar>
            <w:hideMark/>
          </w:tcPr>
          <w:p w14:paraId="637B668B" w14:textId="77777777" w:rsidR="00901184" w:rsidRPr="00774714" w:rsidRDefault="00901184" w:rsidP="00C408C6">
            <w:pPr>
              <w:spacing w:after="0"/>
              <w:rPr>
                <w:rFonts w:ascii="Arial" w:hAnsi="Arial" w:cs="Arial"/>
                <w:sz w:val="18"/>
              </w:rPr>
            </w:pPr>
            <w:r w:rsidRPr="00774714">
              <w:rPr>
                <w:rFonts w:ascii="Arial" w:hAnsi="Arial" w:cs="Arial"/>
                <w:b/>
                <w:bCs/>
                <w:sz w:val="18"/>
              </w:rPr>
              <w:t>Key pops</w:t>
            </w:r>
            <w:r w:rsidRPr="00774714">
              <w:rPr>
                <w:rFonts w:ascii="Arial" w:hAnsi="Arial" w:cs="Arial"/>
                <w:sz w:val="18"/>
              </w:rPr>
              <w:t>: FSW, MSM, PWID</w:t>
            </w:r>
          </w:p>
        </w:tc>
        <w:tc>
          <w:tcPr>
            <w:tcW w:w="0" w:type="auto"/>
            <w:shd w:val="clear" w:color="auto" w:fill="FFFFFF" w:themeFill="background1"/>
            <w:tcMar>
              <w:top w:w="72" w:type="dxa"/>
              <w:left w:w="144" w:type="dxa"/>
              <w:bottom w:w="72" w:type="dxa"/>
              <w:right w:w="144" w:type="dxa"/>
            </w:tcMar>
            <w:vAlign w:val="center"/>
            <w:hideMark/>
          </w:tcPr>
          <w:p w14:paraId="1019DD88"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4B54679F"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001827F7"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39C1E31B"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5E325B60"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4CE84DD0"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r>
      <w:tr w:rsidR="00901184" w:rsidRPr="00774714" w14:paraId="5F608E87" w14:textId="77777777" w:rsidTr="00C408C6">
        <w:trPr>
          <w:trHeight w:val="111"/>
        </w:trPr>
        <w:tc>
          <w:tcPr>
            <w:tcW w:w="0" w:type="auto"/>
            <w:shd w:val="clear" w:color="auto" w:fill="FFFFFF" w:themeFill="background1"/>
            <w:tcMar>
              <w:top w:w="72" w:type="dxa"/>
              <w:left w:w="144" w:type="dxa"/>
              <w:bottom w:w="72" w:type="dxa"/>
              <w:right w:w="144" w:type="dxa"/>
            </w:tcMar>
            <w:hideMark/>
          </w:tcPr>
          <w:p w14:paraId="585AAF7F" w14:textId="77777777" w:rsidR="00901184" w:rsidRPr="00774714" w:rsidRDefault="00901184" w:rsidP="00C408C6">
            <w:pPr>
              <w:spacing w:after="0"/>
              <w:rPr>
                <w:rFonts w:ascii="Arial" w:hAnsi="Arial" w:cs="Arial"/>
                <w:sz w:val="18"/>
              </w:rPr>
            </w:pPr>
            <w:r w:rsidRPr="00774714">
              <w:rPr>
                <w:rFonts w:ascii="Arial" w:hAnsi="Arial" w:cs="Arial"/>
                <w:b/>
                <w:bCs/>
                <w:sz w:val="18"/>
              </w:rPr>
              <w:t>Other special pops</w:t>
            </w:r>
            <w:r w:rsidRPr="00774714">
              <w:rPr>
                <w:rFonts w:ascii="Arial" w:hAnsi="Arial" w:cs="Arial"/>
                <w:sz w:val="18"/>
              </w:rPr>
              <w:t>: prisoners, students</w:t>
            </w:r>
          </w:p>
        </w:tc>
        <w:tc>
          <w:tcPr>
            <w:tcW w:w="0" w:type="auto"/>
            <w:shd w:val="clear" w:color="auto" w:fill="FFFFFF" w:themeFill="background1"/>
            <w:tcMar>
              <w:top w:w="72" w:type="dxa"/>
              <w:left w:w="144" w:type="dxa"/>
              <w:bottom w:w="72" w:type="dxa"/>
              <w:right w:w="144" w:type="dxa"/>
            </w:tcMar>
            <w:vAlign w:val="center"/>
            <w:hideMark/>
          </w:tcPr>
          <w:p w14:paraId="2A0B73DA"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14684E6F"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0095C2CF"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0C5F2172"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3892C644"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71CCF85A"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r>
      <w:tr w:rsidR="00901184" w:rsidRPr="00774714" w14:paraId="0E94ADAE" w14:textId="77777777" w:rsidTr="00C408C6">
        <w:trPr>
          <w:trHeight w:val="111"/>
        </w:trPr>
        <w:tc>
          <w:tcPr>
            <w:tcW w:w="0" w:type="auto"/>
            <w:shd w:val="clear" w:color="auto" w:fill="FFFFFF" w:themeFill="background1"/>
            <w:tcMar>
              <w:top w:w="72" w:type="dxa"/>
              <w:left w:w="144" w:type="dxa"/>
              <w:bottom w:w="72" w:type="dxa"/>
              <w:right w:w="144" w:type="dxa"/>
            </w:tcMar>
            <w:hideMark/>
          </w:tcPr>
          <w:p w14:paraId="1648B85F" w14:textId="77777777" w:rsidR="00901184" w:rsidRPr="00774714" w:rsidRDefault="00901184" w:rsidP="00C408C6">
            <w:pPr>
              <w:spacing w:after="0"/>
              <w:rPr>
                <w:rFonts w:ascii="Arial" w:hAnsi="Arial" w:cs="Arial"/>
                <w:sz w:val="18"/>
              </w:rPr>
            </w:pPr>
            <w:r w:rsidRPr="00774714">
              <w:rPr>
                <w:rFonts w:ascii="Arial" w:hAnsi="Arial" w:cs="Arial"/>
                <w:b/>
                <w:bCs/>
                <w:sz w:val="18"/>
              </w:rPr>
              <w:t>Infants</w:t>
            </w:r>
          </w:p>
        </w:tc>
        <w:tc>
          <w:tcPr>
            <w:tcW w:w="0" w:type="auto"/>
            <w:shd w:val="clear" w:color="auto" w:fill="FFFFFF" w:themeFill="background1"/>
            <w:tcMar>
              <w:top w:w="72" w:type="dxa"/>
              <w:left w:w="144" w:type="dxa"/>
              <w:bottom w:w="72" w:type="dxa"/>
              <w:right w:w="144" w:type="dxa"/>
            </w:tcMar>
            <w:vAlign w:val="center"/>
            <w:hideMark/>
          </w:tcPr>
          <w:p w14:paraId="7ED5DA7E"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6D2C06A3"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4D078696"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34C30D92"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39EC7527"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3F572E36" w14:textId="77777777" w:rsidR="00901184" w:rsidRPr="00774714" w:rsidRDefault="00901184" w:rsidP="00C408C6">
            <w:pPr>
              <w:spacing w:after="0"/>
              <w:jc w:val="center"/>
              <w:rPr>
                <w:rFonts w:ascii="Arial" w:hAnsi="Arial" w:cs="Arial"/>
                <w:sz w:val="18"/>
              </w:rPr>
            </w:pPr>
          </w:p>
        </w:tc>
      </w:tr>
      <w:tr w:rsidR="00901184" w:rsidRPr="00774714" w14:paraId="44227C7A" w14:textId="77777777" w:rsidTr="00C408C6">
        <w:trPr>
          <w:trHeight w:val="111"/>
        </w:trPr>
        <w:tc>
          <w:tcPr>
            <w:tcW w:w="0" w:type="auto"/>
            <w:shd w:val="clear" w:color="auto" w:fill="FFFFFF" w:themeFill="background1"/>
            <w:tcMar>
              <w:top w:w="72" w:type="dxa"/>
              <w:left w:w="144" w:type="dxa"/>
              <w:bottom w:w="72" w:type="dxa"/>
              <w:right w:w="144" w:type="dxa"/>
            </w:tcMar>
            <w:hideMark/>
          </w:tcPr>
          <w:p w14:paraId="78D79A70" w14:textId="77777777" w:rsidR="00901184" w:rsidRPr="00774714" w:rsidRDefault="00901184" w:rsidP="00C408C6">
            <w:pPr>
              <w:spacing w:after="0"/>
              <w:rPr>
                <w:rFonts w:ascii="Arial" w:hAnsi="Arial" w:cs="Arial"/>
                <w:sz w:val="18"/>
              </w:rPr>
            </w:pPr>
            <w:r w:rsidRPr="00774714">
              <w:rPr>
                <w:rFonts w:ascii="Arial" w:hAnsi="Arial" w:cs="Arial"/>
                <w:b/>
                <w:bCs/>
                <w:sz w:val="18"/>
              </w:rPr>
              <w:t>Other adult men and women</w:t>
            </w:r>
          </w:p>
        </w:tc>
        <w:tc>
          <w:tcPr>
            <w:tcW w:w="0" w:type="auto"/>
            <w:shd w:val="clear" w:color="auto" w:fill="FFFFFF" w:themeFill="background1"/>
            <w:tcMar>
              <w:top w:w="72" w:type="dxa"/>
              <w:left w:w="144" w:type="dxa"/>
              <w:bottom w:w="72" w:type="dxa"/>
              <w:right w:w="144" w:type="dxa"/>
            </w:tcMar>
            <w:vAlign w:val="center"/>
            <w:hideMark/>
          </w:tcPr>
          <w:p w14:paraId="024CBDAB"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5514E9B7"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1E56EBD9" w14:textId="77777777" w:rsidR="00901184" w:rsidRPr="00774714" w:rsidRDefault="00901184" w:rsidP="00C408C6">
            <w:pPr>
              <w:spacing w:after="0"/>
              <w:jc w:val="center"/>
              <w:rPr>
                <w:rFonts w:ascii="Arial" w:hAnsi="Arial" w:cs="Arial"/>
                <w:sz w:val="18"/>
              </w:rPr>
            </w:pPr>
          </w:p>
        </w:tc>
        <w:tc>
          <w:tcPr>
            <w:tcW w:w="0" w:type="auto"/>
            <w:shd w:val="clear" w:color="auto" w:fill="FFFFFF" w:themeFill="background1"/>
            <w:tcMar>
              <w:top w:w="72" w:type="dxa"/>
              <w:left w:w="144" w:type="dxa"/>
              <w:bottom w:w="72" w:type="dxa"/>
              <w:right w:w="144" w:type="dxa"/>
            </w:tcMar>
            <w:vAlign w:val="center"/>
            <w:hideMark/>
          </w:tcPr>
          <w:p w14:paraId="07A2B090"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075C37CB"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c>
          <w:tcPr>
            <w:tcW w:w="0" w:type="auto"/>
            <w:shd w:val="clear" w:color="auto" w:fill="FFFFFF" w:themeFill="background1"/>
            <w:tcMar>
              <w:top w:w="72" w:type="dxa"/>
              <w:left w:w="144" w:type="dxa"/>
              <w:bottom w:w="72" w:type="dxa"/>
              <w:right w:w="144" w:type="dxa"/>
            </w:tcMar>
            <w:vAlign w:val="center"/>
            <w:hideMark/>
          </w:tcPr>
          <w:p w14:paraId="77D5120D" w14:textId="77777777" w:rsidR="00901184" w:rsidRPr="00774714" w:rsidRDefault="00901184" w:rsidP="00C408C6">
            <w:pPr>
              <w:spacing w:after="0"/>
              <w:jc w:val="center"/>
              <w:rPr>
                <w:rFonts w:ascii="Arial" w:hAnsi="Arial" w:cs="Arial"/>
                <w:sz w:val="18"/>
              </w:rPr>
            </w:pPr>
            <w:r w:rsidRPr="00774714">
              <w:rPr>
                <w:rFonts w:ascii="Arial" w:hAnsi="Arial" w:cs="Arial"/>
                <w:sz w:val="18"/>
              </w:rPr>
              <w:t>X</w:t>
            </w:r>
          </w:p>
        </w:tc>
      </w:tr>
    </w:tbl>
    <w:p w14:paraId="7A0E229E" w14:textId="77777777" w:rsidR="00901184" w:rsidRDefault="00901184" w:rsidP="00901184">
      <w:pPr>
        <w:tabs>
          <w:tab w:val="left" w:pos="1745"/>
        </w:tabs>
        <w:spacing w:after="0"/>
        <w:rPr>
          <w:rFonts w:ascii="Arial" w:hAnsi="Arial" w:cs="Arial"/>
        </w:rPr>
      </w:pPr>
      <w:r>
        <w:rPr>
          <w:rFonts w:ascii="Arial" w:hAnsi="Arial" w:cs="Arial"/>
        </w:rPr>
        <w:tab/>
      </w:r>
    </w:p>
    <w:p w14:paraId="3B6A979D" w14:textId="77777777" w:rsidR="00901184" w:rsidRDefault="00901184" w:rsidP="00901184">
      <w:pPr>
        <w:pStyle w:val="Heading3"/>
        <w:rPr>
          <w:rFonts w:ascii="Arial" w:hAnsi="Arial" w:cs="Arial"/>
          <w:i/>
          <w:color w:val="000000" w:themeColor="text1"/>
        </w:rPr>
      </w:pPr>
      <w:bookmarkStart w:id="94" w:name="_Toc57035188"/>
      <w:r w:rsidRPr="0042151A">
        <w:rPr>
          <w:rFonts w:ascii="Arial" w:hAnsi="Arial" w:cs="Arial"/>
          <w:i/>
          <w:color w:val="000000" w:themeColor="text1"/>
        </w:rPr>
        <w:t xml:space="preserve">Impact </w:t>
      </w:r>
      <w:r>
        <w:rPr>
          <w:rFonts w:ascii="Arial" w:hAnsi="Arial" w:cs="Arial"/>
          <w:i/>
          <w:color w:val="000000" w:themeColor="text1"/>
        </w:rPr>
        <w:t>on testing coverage</w:t>
      </w:r>
      <w:bookmarkEnd w:id="94"/>
    </w:p>
    <w:p w14:paraId="03473E5A" w14:textId="77777777" w:rsidR="00901184" w:rsidRDefault="00901184" w:rsidP="00901184">
      <w:pPr>
        <w:spacing w:after="0"/>
      </w:pPr>
    </w:p>
    <w:p w14:paraId="5F2FADC7" w14:textId="18EF9138" w:rsidR="00901184" w:rsidRPr="005B5A2B" w:rsidRDefault="00901184" w:rsidP="00901184">
      <w:pPr>
        <w:rPr>
          <w:rFonts w:ascii="Arial" w:hAnsi="Arial" w:cs="Arial"/>
          <w:szCs w:val="24"/>
        </w:rPr>
      </w:pPr>
      <w:r>
        <w:rPr>
          <w:rFonts w:ascii="Arial" w:hAnsi="Arial" w:cs="Arial"/>
          <w:szCs w:val="24"/>
        </w:rPr>
        <w:t>Modeling results (</w:t>
      </w:r>
      <w:r>
        <w:rPr>
          <w:rFonts w:ascii="Arial" w:hAnsi="Arial" w:cs="Arial"/>
          <w:i/>
          <w:szCs w:val="24"/>
        </w:rPr>
        <w:t xml:space="preserve">Figure </w:t>
      </w:r>
      <w:r w:rsidR="00714721">
        <w:rPr>
          <w:rFonts w:ascii="Arial" w:hAnsi="Arial" w:cs="Arial"/>
          <w:i/>
          <w:szCs w:val="24"/>
        </w:rPr>
        <w:t>5</w:t>
      </w:r>
      <w:r>
        <w:rPr>
          <w:rFonts w:ascii="Arial" w:hAnsi="Arial" w:cs="Arial"/>
          <w:i/>
          <w:szCs w:val="24"/>
        </w:rPr>
        <w:t>-</w:t>
      </w:r>
      <w:r w:rsidR="00714721">
        <w:rPr>
          <w:rFonts w:ascii="Arial" w:hAnsi="Arial" w:cs="Arial"/>
          <w:i/>
          <w:szCs w:val="24"/>
        </w:rPr>
        <w:t>6</w:t>
      </w:r>
      <w:r>
        <w:rPr>
          <w:rFonts w:ascii="Arial" w:hAnsi="Arial" w:cs="Arial"/>
          <w:i/>
          <w:szCs w:val="24"/>
        </w:rPr>
        <w:t xml:space="preserve">) </w:t>
      </w:r>
      <w:r>
        <w:rPr>
          <w:rFonts w:ascii="Arial" w:hAnsi="Arial" w:cs="Arial"/>
          <w:szCs w:val="24"/>
        </w:rPr>
        <w:t xml:space="preserve">suggest that to ultimately reach the first 90 target by 2025, the number of tests annually would </w:t>
      </w:r>
      <w:r w:rsidR="0097190A">
        <w:rPr>
          <w:rFonts w:ascii="Arial" w:hAnsi="Arial" w:cs="Arial"/>
          <w:szCs w:val="24"/>
        </w:rPr>
        <w:t xml:space="preserve">need to reach about </w:t>
      </w:r>
      <w:r>
        <w:rPr>
          <w:rFonts w:ascii="Arial" w:hAnsi="Arial" w:cs="Arial"/>
          <w:szCs w:val="24"/>
        </w:rPr>
        <w:t xml:space="preserve">9 M. By 2020, the number of tests would reach over 8 M and then would rise to 9 M annually in 2021. From 2022 through 2030, testing volumes would have to be maintained at between 9-10 M. </w:t>
      </w:r>
      <w:r w:rsidR="000D3D73">
        <w:rPr>
          <w:rFonts w:ascii="Arial" w:hAnsi="Arial" w:cs="Arial"/>
          <w:szCs w:val="24"/>
        </w:rPr>
        <w:t>Up until 2022,</w:t>
      </w:r>
      <w:r>
        <w:rPr>
          <w:rFonts w:ascii="Arial" w:hAnsi="Arial" w:cs="Arial"/>
          <w:szCs w:val="24"/>
        </w:rPr>
        <w:t xml:space="preserve"> PITC, VCT, and self-testing would be the most cost-effective</w:t>
      </w:r>
      <w:r w:rsidR="000D3D73">
        <w:rPr>
          <w:rFonts w:ascii="Arial" w:hAnsi="Arial" w:cs="Arial"/>
          <w:szCs w:val="24"/>
        </w:rPr>
        <w:t xml:space="preserve"> modality combination, with about</w:t>
      </w:r>
      <w:r>
        <w:rPr>
          <w:rFonts w:ascii="Arial" w:hAnsi="Arial" w:cs="Arial"/>
          <w:szCs w:val="24"/>
        </w:rPr>
        <w:t xml:space="preserve"> 3-4 million tests</w:t>
      </w:r>
      <w:r w:rsidR="000D3D73">
        <w:rPr>
          <w:rFonts w:ascii="Arial" w:hAnsi="Arial" w:cs="Arial"/>
          <w:szCs w:val="24"/>
        </w:rPr>
        <w:t xml:space="preserve"> to be performed by</w:t>
      </w:r>
      <w:r>
        <w:rPr>
          <w:rFonts w:ascii="Arial" w:hAnsi="Arial" w:cs="Arial"/>
          <w:szCs w:val="24"/>
        </w:rPr>
        <w:t xml:space="preserve"> PITC and </w:t>
      </w:r>
      <w:r w:rsidR="000D3D73">
        <w:rPr>
          <w:rFonts w:ascii="Arial" w:hAnsi="Arial" w:cs="Arial"/>
          <w:szCs w:val="24"/>
        </w:rPr>
        <w:t>self-testing</w:t>
      </w:r>
      <w:r>
        <w:rPr>
          <w:rFonts w:ascii="Arial" w:hAnsi="Arial" w:cs="Arial"/>
          <w:szCs w:val="24"/>
        </w:rPr>
        <w:t xml:space="preserve"> and about 800,000 </w:t>
      </w:r>
      <w:r w:rsidR="000D3D73">
        <w:rPr>
          <w:rFonts w:ascii="Arial" w:hAnsi="Arial" w:cs="Arial"/>
          <w:szCs w:val="24"/>
        </w:rPr>
        <w:t>by</w:t>
      </w:r>
      <w:r>
        <w:rPr>
          <w:rFonts w:ascii="Arial" w:hAnsi="Arial" w:cs="Arial"/>
          <w:szCs w:val="24"/>
        </w:rPr>
        <w:t xml:space="preserve"> VCT. By 2022, VCT </w:t>
      </w:r>
      <w:r w:rsidR="000D3D73">
        <w:rPr>
          <w:rFonts w:ascii="Arial" w:hAnsi="Arial" w:cs="Arial"/>
          <w:szCs w:val="24"/>
        </w:rPr>
        <w:t>should</w:t>
      </w:r>
      <w:r>
        <w:rPr>
          <w:rFonts w:ascii="Arial" w:hAnsi="Arial" w:cs="Arial"/>
          <w:szCs w:val="24"/>
        </w:rPr>
        <w:t xml:space="preserve"> be scaled back to only approximately 20,000 tests annually</w:t>
      </w:r>
      <w:r w:rsidR="000D3D73">
        <w:rPr>
          <w:rFonts w:ascii="Arial" w:hAnsi="Arial" w:cs="Arial"/>
          <w:szCs w:val="24"/>
        </w:rPr>
        <w:t>, but</w:t>
      </w:r>
      <w:r>
        <w:rPr>
          <w:rFonts w:ascii="Arial" w:hAnsi="Arial" w:cs="Arial"/>
          <w:szCs w:val="24"/>
        </w:rPr>
        <w:t xml:space="preserve"> PITC and self-testing would</w:t>
      </w:r>
      <w:r w:rsidR="000D3D73">
        <w:rPr>
          <w:rFonts w:ascii="Arial" w:hAnsi="Arial" w:cs="Arial"/>
          <w:szCs w:val="24"/>
        </w:rPr>
        <w:t xml:space="preserve"> need to</w:t>
      </w:r>
      <w:r>
        <w:rPr>
          <w:rFonts w:ascii="Arial" w:hAnsi="Arial" w:cs="Arial"/>
          <w:szCs w:val="24"/>
        </w:rPr>
        <w:t xml:space="preserve"> </w:t>
      </w:r>
      <w:r w:rsidR="000D3D73">
        <w:rPr>
          <w:rFonts w:ascii="Arial" w:hAnsi="Arial" w:cs="Arial"/>
          <w:szCs w:val="24"/>
        </w:rPr>
        <w:t xml:space="preserve">continue at a high volume at </w:t>
      </w:r>
      <w:r>
        <w:rPr>
          <w:rFonts w:ascii="Arial" w:hAnsi="Arial" w:cs="Arial"/>
          <w:szCs w:val="24"/>
        </w:rPr>
        <w:t>4-5 million tests</w:t>
      </w:r>
      <w:r w:rsidR="000D3D73">
        <w:rPr>
          <w:rFonts w:ascii="Arial" w:hAnsi="Arial" w:cs="Arial"/>
          <w:szCs w:val="24"/>
        </w:rPr>
        <w:t xml:space="preserve"> through 2030 to keep testing coverage high as new infections occur. </w:t>
      </w:r>
      <w:r>
        <w:rPr>
          <w:rFonts w:ascii="Arial" w:hAnsi="Arial" w:cs="Arial"/>
          <w:szCs w:val="24"/>
        </w:rPr>
        <w:t xml:space="preserve"> </w:t>
      </w:r>
    </w:p>
    <w:p w14:paraId="432A9625" w14:textId="69AAB477" w:rsidR="00901184" w:rsidRDefault="00901184" w:rsidP="00901184">
      <w:pPr>
        <w:spacing w:after="0"/>
      </w:pPr>
      <w:r w:rsidRPr="00D127FC">
        <w:rPr>
          <w:rFonts w:ascii="Arial" w:hAnsi="Arial" w:cs="Arial"/>
          <w:i/>
          <w:sz w:val="18"/>
          <w:szCs w:val="24"/>
        </w:rPr>
        <w:t xml:space="preserve">Figure </w:t>
      </w:r>
      <w:r w:rsidR="00714721">
        <w:rPr>
          <w:rFonts w:ascii="Arial" w:hAnsi="Arial" w:cs="Arial"/>
          <w:i/>
          <w:sz w:val="18"/>
          <w:szCs w:val="24"/>
        </w:rPr>
        <w:t>5</w:t>
      </w:r>
      <w:r w:rsidRPr="00D127FC">
        <w:rPr>
          <w:rFonts w:ascii="Arial" w:hAnsi="Arial" w:cs="Arial"/>
          <w:i/>
          <w:sz w:val="18"/>
          <w:szCs w:val="24"/>
        </w:rPr>
        <w:t>-</w:t>
      </w:r>
      <w:r w:rsidR="00714721">
        <w:rPr>
          <w:rFonts w:ascii="Arial" w:hAnsi="Arial" w:cs="Arial"/>
          <w:i/>
          <w:sz w:val="18"/>
          <w:szCs w:val="24"/>
        </w:rPr>
        <w:t>6.</w:t>
      </w:r>
      <w:r w:rsidRPr="00D127FC">
        <w:rPr>
          <w:rFonts w:ascii="Arial" w:hAnsi="Arial" w:cs="Arial"/>
          <w:i/>
          <w:sz w:val="18"/>
          <w:szCs w:val="24"/>
        </w:rPr>
        <w:t xml:space="preserve"> Number of tests for HTC scale-up strategy</w:t>
      </w:r>
    </w:p>
    <w:p w14:paraId="53CED4AB" w14:textId="77777777" w:rsidR="00901184" w:rsidRDefault="00901184" w:rsidP="00901184">
      <w:pPr>
        <w:spacing w:after="0"/>
      </w:pPr>
      <w:r w:rsidRPr="001A2CAA">
        <w:rPr>
          <w:noProof/>
        </w:rPr>
        <w:drawing>
          <wp:inline distT="0" distB="0" distL="0" distR="0" wp14:anchorId="1BA20290" wp14:editId="03E67571">
            <wp:extent cx="5998845" cy="2308860"/>
            <wp:effectExtent l="0" t="0" r="1905" b="15240"/>
            <wp:docPr id="6" name="Chart 6">
              <a:extLst xmlns:a="http://schemas.openxmlformats.org/drawingml/2006/main">
                <a:ext uri="{FF2B5EF4-FFF2-40B4-BE49-F238E27FC236}">
                  <a16:creationId xmlns:a16="http://schemas.microsoft.com/office/drawing/2014/main" id="{BAF6FE14-CBA0-43C5-9C58-8CBE9953B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C18C0C" w14:textId="77777777" w:rsidR="00901184" w:rsidRDefault="00901184" w:rsidP="00901184">
      <w:pPr>
        <w:spacing w:after="0"/>
        <w:rPr>
          <w:rFonts w:ascii="Arial" w:hAnsi="Arial" w:cs="Arial"/>
        </w:rPr>
      </w:pPr>
    </w:p>
    <w:p w14:paraId="5C267FB9" w14:textId="3A9A1BFE" w:rsidR="00901184" w:rsidRDefault="00901184" w:rsidP="00901184">
      <w:pPr>
        <w:rPr>
          <w:rFonts w:ascii="Arial" w:hAnsi="Arial" w:cs="Arial"/>
        </w:rPr>
      </w:pPr>
      <w:r w:rsidRPr="0042151A">
        <w:rPr>
          <w:rFonts w:ascii="Arial" w:hAnsi="Arial" w:cs="Arial"/>
        </w:rPr>
        <w:t>This targeted testing strategy could reach 9</w:t>
      </w:r>
      <w:r>
        <w:rPr>
          <w:rFonts w:ascii="Arial" w:hAnsi="Arial" w:cs="Arial"/>
        </w:rPr>
        <w:t>0</w:t>
      </w:r>
      <w:r w:rsidRPr="0042151A">
        <w:rPr>
          <w:rFonts w:ascii="Arial" w:hAnsi="Arial" w:cs="Arial"/>
        </w:rPr>
        <w:t xml:space="preserve">% of PLHIV </w:t>
      </w:r>
      <w:r>
        <w:rPr>
          <w:rFonts w:ascii="Arial" w:hAnsi="Arial" w:cs="Arial"/>
        </w:rPr>
        <w:t xml:space="preserve">who would know </w:t>
      </w:r>
      <w:r w:rsidRPr="0042151A">
        <w:rPr>
          <w:rFonts w:ascii="Arial" w:hAnsi="Arial" w:cs="Arial"/>
        </w:rPr>
        <w:t>their status by 202</w:t>
      </w:r>
      <w:r>
        <w:rPr>
          <w:rFonts w:ascii="Arial" w:hAnsi="Arial" w:cs="Arial"/>
        </w:rPr>
        <w:t xml:space="preserve">5, as shown in </w:t>
      </w:r>
      <w:r w:rsidRPr="00585A95">
        <w:rPr>
          <w:rFonts w:ascii="Arial" w:hAnsi="Arial" w:cs="Arial"/>
          <w:i/>
        </w:rPr>
        <w:t xml:space="preserve">Figure </w:t>
      </w:r>
      <w:r w:rsidR="00714721">
        <w:rPr>
          <w:rFonts w:ascii="Arial" w:hAnsi="Arial" w:cs="Arial"/>
          <w:i/>
        </w:rPr>
        <w:t>5-7.</w:t>
      </w:r>
      <w:r>
        <w:rPr>
          <w:rFonts w:ascii="Arial" w:hAnsi="Arial" w:cs="Arial"/>
        </w:rPr>
        <w:t xml:space="preserve"> </w:t>
      </w:r>
    </w:p>
    <w:p w14:paraId="4BFED477" w14:textId="30693712" w:rsidR="00901184" w:rsidRPr="004C2480" w:rsidRDefault="00901184" w:rsidP="00901184">
      <w:pPr>
        <w:spacing w:after="0"/>
        <w:rPr>
          <w:rFonts w:ascii="Arial" w:hAnsi="Arial" w:cs="Arial"/>
          <w:i/>
          <w:sz w:val="18"/>
        </w:rPr>
      </w:pPr>
      <w:r w:rsidRPr="004C2480">
        <w:rPr>
          <w:rFonts w:ascii="Arial" w:hAnsi="Arial" w:cs="Arial"/>
          <w:i/>
          <w:sz w:val="18"/>
        </w:rPr>
        <w:t xml:space="preserve">Figure </w:t>
      </w:r>
      <w:r w:rsidR="00714721">
        <w:rPr>
          <w:rFonts w:ascii="Arial" w:hAnsi="Arial" w:cs="Arial"/>
          <w:i/>
          <w:sz w:val="18"/>
        </w:rPr>
        <w:t>5-7</w:t>
      </w:r>
      <w:r w:rsidRPr="004C2480">
        <w:rPr>
          <w:rFonts w:ascii="Arial" w:hAnsi="Arial" w:cs="Arial"/>
          <w:i/>
          <w:sz w:val="18"/>
        </w:rPr>
        <w:t xml:space="preserve">. </w:t>
      </w:r>
      <w:r w:rsidRPr="00D72566">
        <w:rPr>
          <w:rFonts w:ascii="Arial" w:hAnsi="Arial" w:cs="Arial"/>
          <w:i/>
          <w:sz w:val="18"/>
        </w:rPr>
        <w:t>Percent of PLHIV who know their status 2019-2030</w:t>
      </w:r>
    </w:p>
    <w:p w14:paraId="0A29C787" w14:textId="5374B2F0" w:rsidR="00901184" w:rsidRPr="001A2CAA" w:rsidRDefault="00901184" w:rsidP="00901184">
      <w:r w:rsidRPr="001A2CAA">
        <w:rPr>
          <w:noProof/>
        </w:rPr>
        <w:drawing>
          <wp:inline distT="0" distB="0" distL="0" distR="0" wp14:anchorId="5C238E08" wp14:editId="7E81F51D">
            <wp:extent cx="6057900" cy="1943100"/>
            <wp:effectExtent l="0" t="0" r="0" b="0"/>
            <wp:docPr id="1" name="Chart 1">
              <a:extLst xmlns:a="http://schemas.openxmlformats.org/drawingml/2006/main">
                <a:ext uri="{FF2B5EF4-FFF2-40B4-BE49-F238E27FC236}">
                  <a16:creationId xmlns:a16="http://schemas.microsoft.com/office/drawing/2014/main" id="{1DFE6320-3719-4E56-BE2A-EDF52DF3A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D847E7" w14:textId="77777777" w:rsidR="00901184" w:rsidRDefault="00901184" w:rsidP="00901184">
      <w:pPr>
        <w:pStyle w:val="Heading3"/>
        <w:rPr>
          <w:rFonts w:ascii="Arial" w:hAnsi="Arial" w:cs="Arial"/>
          <w:i/>
          <w:color w:val="000000" w:themeColor="text1"/>
        </w:rPr>
      </w:pPr>
      <w:bookmarkStart w:id="95" w:name="_Toc57035189"/>
      <w:r w:rsidRPr="001A2CAA">
        <w:rPr>
          <w:rFonts w:ascii="Arial" w:hAnsi="Arial" w:cs="Arial"/>
          <w:i/>
          <w:color w:val="000000" w:themeColor="text1"/>
        </w:rPr>
        <w:t>Costs of testing scale-up</w:t>
      </w:r>
      <w:bookmarkEnd w:id="95"/>
    </w:p>
    <w:p w14:paraId="274B5C29" w14:textId="77777777" w:rsidR="00901184" w:rsidRPr="003E7F59" w:rsidRDefault="00901184" w:rsidP="00901184">
      <w:pPr>
        <w:spacing w:after="0"/>
      </w:pPr>
    </w:p>
    <w:p w14:paraId="111B5276" w14:textId="13F7D328" w:rsidR="00901184" w:rsidRDefault="00901184" w:rsidP="00901184">
      <w:pPr>
        <w:rPr>
          <w:rFonts w:ascii="Arial" w:hAnsi="Arial" w:cs="Arial"/>
        </w:rPr>
      </w:pPr>
      <w:r w:rsidRPr="00B40003">
        <w:rPr>
          <w:rFonts w:ascii="Arial" w:hAnsi="Arial" w:cs="Arial"/>
        </w:rPr>
        <w:t xml:space="preserve">Currently expenditure on HTC is about USD </w:t>
      </w:r>
      <w:r w:rsidR="00CC2044">
        <w:rPr>
          <w:rFonts w:ascii="Arial" w:hAnsi="Arial" w:cs="Arial"/>
        </w:rPr>
        <w:t>40-</w:t>
      </w:r>
      <w:r w:rsidRPr="00B40003">
        <w:rPr>
          <w:rFonts w:ascii="Arial" w:hAnsi="Arial" w:cs="Arial"/>
        </w:rPr>
        <w:t>50 M annually</w:t>
      </w:r>
      <w:r>
        <w:rPr>
          <w:rFonts w:ascii="Arial" w:hAnsi="Arial" w:cs="Arial"/>
        </w:rPr>
        <w:t>. The proposed HTC strategy could be implemented for less than USD 40 M annually. From today to 2020, HTC annual costs</w:t>
      </w:r>
      <w:r w:rsidR="00673DD2">
        <w:rPr>
          <w:rFonts w:ascii="Arial" w:hAnsi="Arial" w:cs="Arial"/>
        </w:rPr>
        <w:t xml:space="preserve"> under the proposed strategy</w:t>
      </w:r>
      <w:r>
        <w:rPr>
          <w:rFonts w:ascii="Arial" w:hAnsi="Arial" w:cs="Arial"/>
        </w:rPr>
        <w:t xml:space="preserve"> would increase from about USD 35 M, peak</w:t>
      </w:r>
      <w:r w:rsidR="00673DD2">
        <w:rPr>
          <w:rFonts w:ascii="Arial" w:hAnsi="Arial" w:cs="Arial"/>
        </w:rPr>
        <w:t>ing</w:t>
      </w:r>
      <w:r>
        <w:rPr>
          <w:rFonts w:ascii="Arial" w:hAnsi="Arial" w:cs="Arial"/>
        </w:rPr>
        <w:t xml:space="preserve"> at about USD 40 M in 2020. </w:t>
      </w:r>
      <w:r w:rsidR="00673DD2">
        <w:rPr>
          <w:rFonts w:ascii="Arial" w:hAnsi="Arial" w:cs="Arial"/>
        </w:rPr>
        <w:t>After</w:t>
      </w:r>
      <w:r>
        <w:rPr>
          <w:rFonts w:ascii="Arial" w:hAnsi="Arial" w:cs="Arial"/>
        </w:rPr>
        <w:t xml:space="preserve">, costs would plateau at about USD 35 M annually. </w:t>
      </w:r>
      <w:r w:rsidR="00673DD2">
        <w:rPr>
          <w:rFonts w:ascii="Arial" w:hAnsi="Arial" w:cs="Arial"/>
        </w:rPr>
        <w:t>Annual i</w:t>
      </w:r>
      <w:r>
        <w:rPr>
          <w:rFonts w:ascii="Arial" w:hAnsi="Arial" w:cs="Arial"/>
        </w:rPr>
        <w:t xml:space="preserve">nvestments </w:t>
      </w:r>
      <w:r w:rsidR="00673DD2">
        <w:rPr>
          <w:rFonts w:ascii="Arial" w:hAnsi="Arial" w:cs="Arial"/>
        </w:rPr>
        <w:t xml:space="preserve">at about USD 35 </w:t>
      </w:r>
      <w:r>
        <w:rPr>
          <w:rFonts w:ascii="Arial" w:hAnsi="Arial" w:cs="Arial"/>
        </w:rPr>
        <w:t>would have to be maintained to keep the first 90 target high as new infections continue to occur.</w:t>
      </w:r>
    </w:p>
    <w:p w14:paraId="603729DE" w14:textId="256C6F6A" w:rsidR="00901184" w:rsidRPr="00B40003" w:rsidRDefault="00901184" w:rsidP="00901184">
      <w:pPr>
        <w:spacing w:after="0"/>
        <w:rPr>
          <w:rFonts w:ascii="Arial" w:hAnsi="Arial" w:cs="Arial"/>
        </w:rPr>
      </w:pPr>
      <w:r>
        <w:rPr>
          <w:rFonts w:ascii="Arial" w:hAnsi="Arial" w:cs="Arial"/>
        </w:rPr>
        <w:t>Given that the cost</w:t>
      </w:r>
      <w:r w:rsidR="00132377">
        <w:rPr>
          <w:rFonts w:ascii="Arial" w:hAnsi="Arial" w:cs="Arial"/>
        </w:rPr>
        <w:t>s of t</w:t>
      </w:r>
      <w:r>
        <w:rPr>
          <w:rFonts w:ascii="Arial" w:hAnsi="Arial" w:cs="Arial"/>
        </w:rPr>
        <w:t xml:space="preserve">his strategy are less than current spending on testing and counseling, </w:t>
      </w:r>
      <w:r w:rsidR="00132377">
        <w:rPr>
          <w:rFonts w:ascii="Arial" w:hAnsi="Arial" w:cs="Arial"/>
        </w:rPr>
        <w:t>its implementation would be</w:t>
      </w:r>
      <w:r>
        <w:rPr>
          <w:rFonts w:ascii="Arial" w:hAnsi="Arial" w:cs="Arial"/>
        </w:rPr>
        <w:t xml:space="preserve"> consistent with</w:t>
      </w:r>
      <w:r w:rsidR="00132377">
        <w:rPr>
          <w:rFonts w:ascii="Arial" w:hAnsi="Arial" w:cs="Arial"/>
        </w:rPr>
        <w:t xml:space="preserve"> other</w:t>
      </w:r>
      <w:r>
        <w:rPr>
          <w:rFonts w:ascii="Arial" w:hAnsi="Arial" w:cs="Arial"/>
        </w:rPr>
        <w:t xml:space="preserve"> efforts to maximize efficiency of the responses—for the same or less money being spent today</w:t>
      </w:r>
      <w:r w:rsidR="00132377">
        <w:rPr>
          <w:rFonts w:ascii="Arial" w:hAnsi="Arial" w:cs="Arial"/>
        </w:rPr>
        <w:t>. Targeted testing is particularly important given the bottleneck it represents to achieving 90-90-90 and the current shortfalls in national goals.</w:t>
      </w:r>
      <w:r>
        <w:rPr>
          <w:rFonts w:ascii="Arial" w:hAnsi="Arial" w:cs="Arial"/>
        </w:rPr>
        <w:t xml:space="preserve"> </w:t>
      </w:r>
    </w:p>
    <w:p w14:paraId="3F4E21E9" w14:textId="77777777" w:rsidR="00901184" w:rsidRDefault="00901184" w:rsidP="00901184">
      <w:pPr>
        <w:spacing w:after="0"/>
        <w:rPr>
          <w:rFonts w:ascii="Arial" w:hAnsi="Arial" w:cs="Arial"/>
        </w:rPr>
      </w:pPr>
    </w:p>
    <w:p w14:paraId="119782A1" w14:textId="3F017B07" w:rsidR="00901184" w:rsidRPr="00093605" w:rsidRDefault="00901184" w:rsidP="00901184">
      <w:pPr>
        <w:rPr>
          <w:rFonts w:ascii="Arial" w:hAnsi="Arial" w:cs="Arial"/>
          <w:i/>
          <w:sz w:val="18"/>
        </w:rPr>
      </w:pPr>
      <w:r w:rsidRPr="0037530D">
        <w:rPr>
          <w:rFonts w:ascii="Arial" w:hAnsi="Arial" w:cs="Arial"/>
          <w:i/>
          <w:sz w:val="18"/>
        </w:rPr>
        <w:t xml:space="preserve">Figure </w:t>
      </w:r>
      <w:r w:rsidR="00714721">
        <w:rPr>
          <w:rFonts w:ascii="Arial" w:hAnsi="Arial" w:cs="Arial"/>
          <w:i/>
          <w:sz w:val="18"/>
        </w:rPr>
        <w:t>5</w:t>
      </w:r>
      <w:r>
        <w:rPr>
          <w:rFonts w:ascii="Arial" w:hAnsi="Arial" w:cs="Arial"/>
          <w:i/>
          <w:sz w:val="18"/>
        </w:rPr>
        <w:t>-</w:t>
      </w:r>
      <w:r w:rsidR="00714721">
        <w:rPr>
          <w:rFonts w:ascii="Arial" w:hAnsi="Arial" w:cs="Arial"/>
          <w:i/>
          <w:sz w:val="18"/>
        </w:rPr>
        <w:t>8</w:t>
      </w:r>
      <w:r>
        <w:rPr>
          <w:rFonts w:ascii="Arial" w:hAnsi="Arial" w:cs="Arial"/>
          <w:i/>
          <w:sz w:val="18"/>
        </w:rPr>
        <w:t>.</w:t>
      </w:r>
      <w:r w:rsidRPr="0037530D">
        <w:rPr>
          <w:rFonts w:ascii="Arial" w:hAnsi="Arial" w:cs="Arial"/>
          <w:i/>
          <w:sz w:val="18"/>
        </w:rPr>
        <w:t xml:space="preserve"> Costs of HTC</w:t>
      </w:r>
      <w:r>
        <w:rPr>
          <w:rFonts w:ascii="Arial" w:hAnsi="Arial" w:cs="Arial"/>
          <w:i/>
          <w:sz w:val="18"/>
        </w:rPr>
        <w:t xml:space="preserve"> scale-up to 90-90-90</w:t>
      </w:r>
    </w:p>
    <w:p w14:paraId="7C7B275D" w14:textId="77777777" w:rsidR="00901184" w:rsidRPr="004C2480" w:rsidRDefault="00901184" w:rsidP="00901184">
      <w:r w:rsidRPr="001A2CAA">
        <w:rPr>
          <w:noProof/>
        </w:rPr>
        <w:drawing>
          <wp:inline distT="0" distB="0" distL="0" distR="0" wp14:anchorId="11223029" wp14:editId="679E6118">
            <wp:extent cx="5874327" cy="2251363"/>
            <wp:effectExtent l="0" t="0" r="12700" b="15875"/>
            <wp:docPr id="5" name="Chart 5">
              <a:extLst xmlns:a="http://schemas.openxmlformats.org/drawingml/2006/main">
                <a:ext uri="{FF2B5EF4-FFF2-40B4-BE49-F238E27FC236}">
                  <a16:creationId xmlns:a16="http://schemas.microsoft.com/office/drawing/2014/main" id="{F76E8997-9795-44C0-8C32-D7B3CF279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4785A5" w14:textId="77777777" w:rsidR="00901184" w:rsidRPr="00444084" w:rsidRDefault="00901184" w:rsidP="00444084">
      <w:pPr>
        <w:spacing w:after="0"/>
      </w:pPr>
    </w:p>
    <w:p w14:paraId="22D55B83" w14:textId="77777777" w:rsidR="00CC2044" w:rsidRDefault="00CC2044">
      <w:pPr>
        <w:rPr>
          <w:rFonts w:ascii="Arial" w:eastAsiaTheme="majorEastAsia" w:hAnsi="Arial" w:cs="Arial"/>
          <w:b/>
          <w:color w:val="000000" w:themeColor="text1"/>
          <w:sz w:val="28"/>
          <w:szCs w:val="28"/>
        </w:rPr>
      </w:pPr>
      <w:r>
        <w:rPr>
          <w:rFonts w:ascii="Arial" w:hAnsi="Arial" w:cs="Arial"/>
          <w:b/>
          <w:color w:val="000000" w:themeColor="text1"/>
        </w:rPr>
        <w:br w:type="page"/>
      </w:r>
    </w:p>
    <w:bookmarkStart w:id="96" w:name="_Toc57035190"/>
    <w:p w14:paraId="167A19C2" w14:textId="35052E7E" w:rsidR="0005165F" w:rsidRDefault="0059778C" w:rsidP="008544A5">
      <w:pPr>
        <w:pStyle w:val="Heading2"/>
      </w:pPr>
      <w:r>
        <w:rPr>
          <w:noProof/>
        </w:rPr>
        <mc:AlternateContent>
          <mc:Choice Requires="wps">
            <w:drawing>
              <wp:anchor distT="0" distB="0" distL="114300" distR="114300" simplePos="0" relativeHeight="251724800" behindDoc="0" locked="0" layoutInCell="1" allowOverlap="1" wp14:anchorId="09F9096B" wp14:editId="5511D0C4">
                <wp:simplePos x="0" y="0"/>
                <wp:positionH relativeFrom="column">
                  <wp:posOffset>-2136775</wp:posOffset>
                </wp:positionH>
                <wp:positionV relativeFrom="paragraph">
                  <wp:posOffset>4285615</wp:posOffset>
                </wp:positionV>
                <wp:extent cx="1157288" cy="0"/>
                <wp:effectExtent l="0" t="0" r="0" b="0"/>
                <wp:wrapNone/>
                <wp:docPr id="22" name="Straight Connector 5"/>
                <wp:cNvGraphicFramePr/>
                <a:graphic xmlns:a="http://schemas.openxmlformats.org/drawingml/2006/main">
                  <a:graphicData uri="http://schemas.microsoft.com/office/word/2010/wordprocessingShape">
                    <wps:wsp>
                      <wps:cNvCnPr/>
                      <wps:spPr bwMode="auto">
                        <a:xfrm>
                          <a:off x="0" y="0"/>
                          <a:ext cx="1157288" cy="0"/>
                        </a:xfrm>
                        <a:prstGeom prst="line">
                          <a:avLst/>
                        </a:prstGeom>
                        <a:ln w="3175" cap="flat" cmpd="sng" algn="ctr">
                          <a:solidFill>
                            <a:schemeClr val="tx1"/>
                          </a:solidFill>
                          <a:prstDash val="lg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80260B" id="Straight Connector 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68.25pt,337.45pt" to="-77.1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" strokecolor="black [3213]" strokeweight=".25pt">
                <v:stroke dashstyle="longDash" joinstyle="miter"/>
              </v:line>
            </w:pict>
          </mc:Fallback>
        </mc:AlternateContent>
      </w:r>
      <w:r>
        <w:rPr>
          <w:noProof/>
        </w:rPr>
        <mc:AlternateContent>
          <mc:Choice Requires="wps">
            <w:drawing>
              <wp:anchor distT="0" distB="0" distL="114300" distR="114300" simplePos="0" relativeHeight="251725824" behindDoc="0" locked="0" layoutInCell="1" allowOverlap="1" wp14:anchorId="1EB6AF7B" wp14:editId="5DB9FDBF">
                <wp:simplePos x="0" y="0"/>
                <wp:positionH relativeFrom="column">
                  <wp:posOffset>-4746625</wp:posOffset>
                </wp:positionH>
                <wp:positionV relativeFrom="paragraph">
                  <wp:posOffset>4488815</wp:posOffset>
                </wp:positionV>
                <wp:extent cx="1157288" cy="0"/>
                <wp:effectExtent l="0" t="0" r="0" b="0"/>
                <wp:wrapNone/>
                <wp:docPr id="26" name="Straight Connector 21"/>
                <wp:cNvGraphicFramePr/>
                <a:graphic xmlns:a="http://schemas.openxmlformats.org/drawingml/2006/main">
                  <a:graphicData uri="http://schemas.microsoft.com/office/word/2010/wordprocessingShape">
                    <wps:wsp>
                      <wps:cNvCnPr/>
                      <wps:spPr bwMode="auto">
                        <a:xfrm>
                          <a:off x="0" y="0"/>
                          <a:ext cx="1157288" cy="0"/>
                        </a:xfrm>
                        <a:prstGeom prst="line">
                          <a:avLst/>
                        </a:prstGeom>
                        <a:ln w="3175" cap="flat" cmpd="sng" algn="ctr">
                          <a:solidFill>
                            <a:schemeClr val="tx1"/>
                          </a:solidFill>
                          <a:prstDash val="lg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E723CC" id="Straight Connector 2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73.75pt,353.45pt" to="-282.6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" strokecolor="black [3213]" strokeweight=".25pt">
                <v:stroke dashstyle="longDash" joinstyle="miter"/>
              </v:line>
            </w:pict>
          </mc:Fallback>
        </mc:AlternateContent>
      </w:r>
      <w:r>
        <w:rPr>
          <w:noProof/>
        </w:rPr>
        <mc:AlternateContent>
          <mc:Choice Requires="wps">
            <w:drawing>
              <wp:anchor distT="0" distB="0" distL="114300" distR="114300" simplePos="0" relativeHeight="251726848" behindDoc="0" locked="0" layoutInCell="1" allowOverlap="1" wp14:anchorId="440C64FA" wp14:editId="434880F2">
                <wp:simplePos x="0" y="0"/>
                <wp:positionH relativeFrom="column">
                  <wp:posOffset>-3876675</wp:posOffset>
                </wp:positionH>
                <wp:positionV relativeFrom="paragraph">
                  <wp:posOffset>6330315</wp:posOffset>
                </wp:positionV>
                <wp:extent cx="2028825" cy="274638"/>
                <wp:effectExtent l="0" t="0" r="0" b="0"/>
                <wp:wrapNone/>
                <wp:docPr id="74"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028825" cy="274638"/>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14:paraId="0C799B4B" w14:textId="77777777" w:rsidR="00426F25" w:rsidRDefault="00426F25" w:rsidP="0059778C">
                            <w:pPr>
                              <w:jc w:val="center"/>
                              <w:rPr>
                                <w:sz w:val="24"/>
                                <w:szCs w:val="24"/>
                              </w:rPr>
                            </w:pPr>
                            <w:r>
                              <w:rPr>
                                <w:rFonts w:ascii="Arial" w:hAnsi="Arial" w:cs="Arial"/>
                                <w:color w:val="000000" w:themeColor="text1"/>
                                <w:kern w:val="24"/>
                                <w:sz w:val="40"/>
                                <w:szCs w:val="40"/>
                              </w:rPr>
                              <w:t>DSDM (Lab tests)</w:t>
                            </w:r>
                          </w:p>
                        </w:txbxContent>
                      </wps:txbx>
                      <wps:bodyPr vert="horz" wrap="none" lIns="0" tIns="0" rIns="0" bIns="0" numCol="1" spcCol="0" rtlCol="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0C64FA" id="Text Placeholder 2" o:spid="_x0000_s1032" style="position:absolute;margin-left:-305.25pt;margin-top:498.45pt;width:159.75pt;height:21.6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" filled="f" fillcolor="black" stroked="f">
                <v:path arrowok="t"/>
                <o:lock v:ext="edit" grouping="t"/>
                <v:textbox inset="0,0,0,0">
                  <w:txbxContent>
                    <w:p w14:paraId="0C799B4B" w14:textId="77777777" w:rsidR="00426F25" w:rsidRDefault="00426F25" w:rsidP="0059778C">
                      <w:pPr>
                        <w:jc w:val="center"/>
                        <w:rPr>
                          <w:sz w:val="24"/>
                          <w:szCs w:val="24"/>
                        </w:rPr>
                      </w:pPr>
                      <w:r>
                        <w:rPr>
                          <w:rFonts w:ascii="Arial" w:hAnsi="Arial" w:cs="Arial"/>
                          <w:color w:val="000000" w:themeColor="text1"/>
                          <w:kern w:val="24"/>
                          <w:sz w:val="40"/>
                          <w:szCs w:val="40"/>
                        </w:rPr>
                        <w:t>DSDM (Lab tests)</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7B3D1583" wp14:editId="295AE9DE">
                <wp:simplePos x="0" y="0"/>
                <wp:positionH relativeFrom="column">
                  <wp:posOffset>-5743575</wp:posOffset>
                </wp:positionH>
                <wp:positionV relativeFrom="paragraph">
                  <wp:posOffset>6330315</wp:posOffset>
                </wp:positionV>
                <wp:extent cx="549275" cy="274638"/>
                <wp:effectExtent l="0" t="0" r="0" b="0"/>
                <wp:wrapNone/>
                <wp:docPr id="80"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49275" cy="274638"/>
                        </a:xfrm>
                        <a:prstGeom prst="rect">
                          <a:avLst/>
                        </a:prstGeom>
                        <a:noFill/>
                        <a:ln>
                          <a:noFill/>
                        </a:ln>
                        <a:extLst>
                          <a:ext uri="{909E8E84-426E-40DD-AFC4-6F175D3DCCD1}">
                            <a14:hiddenFill xmlns:a14="http://schemas.microsoft.com/office/drawing/2010/main">
                              <a:solidFill>
                                <a:scrgbClr r="0" g="0" b="0"/>
                              </a:solidFill>
                            </a14:hiddenFill>
                          </a:ext>
                        </a:extLst>
                      </wps:spPr>
                      <wps:txbx>
                        <w:txbxContent>
                          <w:p w14:paraId="55AD2F5C" w14:textId="77777777" w:rsidR="00426F25" w:rsidRDefault="00426F25" w:rsidP="0059778C">
                            <w:pPr>
                              <w:jc w:val="center"/>
                              <w:rPr>
                                <w:sz w:val="24"/>
                                <w:szCs w:val="24"/>
                              </w:rPr>
                            </w:pPr>
                            <w:r>
                              <w:rPr>
                                <w:rFonts w:ascii="Arial" w:hAnsi="Arial" w:cs="Arial"/>
                                <w:color w:val="000000" w:themeColor="text1"/>
                                <w:kern w:val="24"/>
                                <w:sz w:val="40"/>
                                <w:szCs w:val="40"/>
                              </w:rPr>
                              <w:t>DTG</w:t>
                            </w:r>
                          </w:p>
                        </w:txbxContent>
                      </wps:txbx>
                      <wps:bodyPr vert="horz" wrap="none" lIns="0" tIns="0" rIns="0" bIns="0" numCol="1" spcCol="0" rtlCol="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3D1583" id="_x0000_s1033" style="position:absolute;margin-left:-452.25pt;margin-top:498.45pt;width:43.25pt;height:21.6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" filled="f" fillcolor="black" stroked="f">
                <v:path arrowok="t"/>
                <o:lock v:ext="edit" grouping="t"/>
                <v:textbox inset="0,0,0,0">
                  <w:txbxContent>
                    <w:p w14:paraId="55AD2F5C" w14:textId="77777777" w:rsidR="00426F25" w:rsidRDefault="00426F25" w:rsidP="0059778C">
                      <w:pPr>
                        <w:jc w:val="center"/>
                        <w:rPr>
                          <w:sz w:val="24"/>
                          <w:szCs w:val="24"/>
                        </w:rPr>
                      </w:pPr>
                      <w:r>
                        <w:rPr>
                          <w:rFonts w:ascii="Arial" w:hAnsi="Arial" w:cs="Arial"/>
                          <w:color w:val="000000" w:themeColor="text1"/>
                          <w:kern w:val="24"/>
                          <w:sz w:val="40"/>
                          <w:szCs w:val="40"/>
                        </w:rPr>
                        <w:t>DTG</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53CCBE38" wp14:editId="1FCAC357">
                <wp:simplePos x="0" y="0"/>
                <wp:positionH relativeFrom="column">
                  <wp:posOffset>-2968625</wp:posOffset>
                </wp:positionH>
                <wp:positionV relativeFrom="paragraph">
                  <wp:posOffset>4247515</wp:posOffset>
                </wp:positionV>
                <wp:extent cx="214313" cy="274638"/>
                <wp:effectExtent l="0" t="0" r="2540" b="0"/>
                <wp:wrapNone/>
                <wp:docPr id="81"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214313" cy="274638"/>
                        </a:xfrm>
                        <a:prstGeom prst="rect">
                          <a:avLst/>
                        </a:prstGeom>
                        <a:solidFill>
                          <a:schemeClr val="accent1"/>
                        </a:solidFill>
                        <a:ln>
                          <a:noFill/>
                        </a:ln>
                      </wps:spPr>
                      <wps:txbx>
                        <w:txbxContent>
                          <w:p w14:paraId="1CED341F" w14:textId="77777777" w:rsidR="00426F25" w:rsidRDefault="00426F25" w:rsidP="0059778C">
                            <w:pPr>
                              <w:jc w:val="center"/>
                              <w:rPr>
                                <w:sz w:val="24"/>
                                <w:szCs w:val="24"/>
                              </w:rPr>
                            </w:pPr>
                            <w:r>
                              <w:rPr>
                                <w:rFonts w:ascii="Arial" w:hAnsi="Arial" w:cs="Arial"/>
                                <w:color w:val="FFFFFF" w:themeColor="background1"/>
                                <w:kern w:val="24"/>
                                <w:sz w:val="40"/>
                                <w:szCs w:val="40"/>
                              </w:rPr>
                              <w:t>2</w:t>
                            </w:r>
                          </w:p>
                        </w:txbxContent>
                      </wps:txbx>
                      <wps:bodyPr vert="horz" wrap="none" lIns="36513" tIns="0" rIns="36513" bIns="0" numCol="1" spcCol="0" rtlCol="0" anchor="ctr"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CCBE38" id="_x0000_s1034" style="position:absolute;margin-left:-233.75pt;margin-top:334.45pt;width:16.9pt;height:21.65pt;z-index:251730944;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" fillcolor="#4472c4 [3204]" stroked="f">
                <v:path arrowok="t"/>
                <o:lock v:ext="edit" grouping="t"/>
                <v:textbox inset="1.01425mm,0,1.01425mm,0">
                  <w:txbxContent>
                    <w:p w14:paraId="1CED341F" w14:textId="77777777" w:rsidR="00426F25" w:rsidRDefault="00426F25" w:rsidP="0059778C">
                      <w:pPr>
                        <w:jc w:val="center"/>
                        <w:rPr>
                          <w:sz w:val="24"/>
                          <w:szCs w:val="24"/>
                        </w:rPr>
                      </w:pPr>
                      <w:r>
                        <w:rPr>
                          <w:rFonts w:ascii="Arial" w:hAnsi="Arial" w:cs="Arial"/>
                          <w:color w:val="FFFFFF" w:themeColor="background1"/>
                          <w:kern w:val="24"/>
                          <w:sz w:val="40"/>
                          <w:szCs w:val="40"/>
                        </w:rPr>
                        <w:t>2</w:t>
                      </w:r>
                    </w:p>
                  </w:txbxContent>
                </v:textbox>
              </v:rect>
            </w:pict>
          </mc:Fallback>
        </mc:AlternateContent>
      </w:r>
      <w:r w:rsidR="00132377">
        <w:rPr>
          <w:rFonts w:ascii="Arial" w:hAnsi="Arial" w:cs="Arial"/>
          <w:b/>
          <w:color w:val="000000" w:themeColor="text1"/>
        </w:rPr>
        <w:t>O</w:t>
      </w:r>
      <w:r w:rsidR="00803ED6" w:rsidRPr="00803ED6">
        <w:rPr>
          <w:rFonts w:ascii="Arial" w:hAnsi="Arial" w:cs="Arial"/>
          <w:b/>
          <w:color w:val="000000" w:themeColor="text1"/>
        </w:rPr>
        <w:t xml:space="preserve">ptimization </w:t>
      </w:r>
      <w:r w:rsidR="00803ED6">
        <w:rPr>
          <w:rFonts w:ascii="Arial" w:hAnsi="Arial" w:cs="Arial"/>
          <w:b/>
          <w:color w:val="000000" w:themeColor="text1"/>
        </w:rPr>
        <w:t xml:space="preserve">of </w:t>
      </w:r>
      <w:r w:rsidR="00132377">
        <w:rPr>
          <w:rFonts w:ascii="Arial" w:hAnsi="Arial" w:cs="Arial"/>
          <w:b/>
          <w:color w:val="000000" w:themeColor="text1"/>
        </w:rPr>
        <w:t>Constant Coverage</w:t>
      </w:r>
      <w:r w:rsidR="00950828">
        <w:rPr>
          <w:rFonts w:ascii="Arial" w:hAnsi="Arial" w:cs="Arial"/>
          <w:b/>
          <w:color w:val="000000" w:themeColor="text1"/>
        </w:rPr>
        <w:t xml:space="preserve"> funding</w:t>
      </w:r>
      <w:bookmarkEnd w:id="96"/>
    </w:p>
    <w:p w14:paraId="3760D82D" w14:textId="19521955" w:rsidR="00A81BE0" w:rsidRDefault="00A81BE0" w:rsidP="00BF0884">
      <w:pPr>
        <w:spacing w:after="0"/>
        <w:rPr>
          <w:rFonts w:ascii="Arial" w:hAnsi="Arial" w:cs="Arial"/>
        </w:rPr>
      </w:pPr>
    </w:p>
    <w:p w14:paraId="7DA28354" w14:textId="2792B2F7" w:rsidR="00A81BE0" w:rsidRDefault="00A81BE0" w:rsidP="0071346A">
      <w:pPr>
        <w:pStyle w:val="Heading3"/>
        <w:rPr>
          <w:rFonts w:ascii="Arial" w:hAnsi="Arial" w:cs="Arial"/>
          <w:i/>
          <w:color w:val="000000" w:themeColor="text1"/>
        </w:rPr>
      </w:pPr>
      <w:bookmarkStart w:id="97" w:name="_Toc57035191"/>
      <w:r w:rsidRPr="00A81BE0">
        <w:rPr>
          <w:rFonts w:ascii="Arial" w:hAnsi="Arial" w:cs="Arial"/>
          <w:i/>
          <w:color w:val="000000" w:themeColor="text1"/>
        </w:rPr>
        <w:t>Modeling assumptions</w:t>
      </w:r>
      <w:bookmarkEnd w:id="97"/>
    </w:p>
    <w:p w14:paraId="41E87536" w14:textId="0DE57D66" w:rsidR="00CE35FC" w:rsidRDefault="00CE35FC" w:rsidP="0071346A">
      <w:pPr>
        <w:spacing w:after="0"/>
      </w:pPr>
    </w:p>
    <w:p w14:paraId="14595143" w14:textId="775654AA" w:rsidR="00A81BE0" w:rsidRDefault="00CE35FC" w:rsidP="0071346A">
      <w:pPr>
        <w:spacing w:after="0"/>
        <w:rPr>
          <w:rFonts w:ascii="Arial" w:hAnsi="Arial" w:cs="Arial"/>
        </w:rPr>
      </w:pPr>
      <w:r w:rsidRPr="008544A5">
        <w:rPr>
          <w:rFonts w:ascii="Arial" w:hAnsi="Arial" w:cs="Arial"/>
          <w:i/>
          <w:sz w:val="18"/>
        </w:rPr>
        <w:t>Figure 5-</w:t>
      </w:r>
      <w:r w:rsidR="007E576A">
        <w:rPr>
          <w:rFonts w:ascii="Arial" w:hAnsi="Arial" w:cs="Arial"/>
          <w:i/>
          <w:sz w:val="18"/>
        </w:rPr>
        <w:t>9</w:t>
      </w:r>
      <w:r w:rsidR="00714721">
        <w:rPr>
          <w:rFonts w:ascii="Arial" w:hAnsi="Arial" w:cs="Arial"/>
          <w:i/>
          <w:sz w:val="18"/>
        </w:rPr>
        <w:t>.</w:t>
      </w:r>
      <w:r w:rsidRPr="008544A5">
        <w:rPr>
          <w:rFonts w:ascii="Arial" w:hAnsi="Arial" w:cs="Arial"/>
          <w:i/>
          <w:sz w:val="18"/>
        </w:rPr>
        <w:t xml:space="preserve"> modeling assumptions for Optimization-</w:t>
      </w:r>
      <w:r w:rsidR="00132377">
        <w:rPr>
          <w:rFonts w:ascii="Arial" w:hAnsi="Arial" w:cs="Arial"/>
          <w:i/>
          <w:sz w:val="18"/>
        </w:rPr>
        <w:t>Constant Coverage</w:t>
      </w:r>
      <w:r w:rsidRPr="008544A5">
        <w:rPr>
          <w:rFonts w:ascii="Arial" w:hAnsi="Arial" w:cs="Arial"/>
          <w:i/>
          <w:sz w:val="18"/>
        </w:rPr>
        <w:t xml:space="preserve"> Fund</w:t>
      </w:r>
      <w:r w:rsidR="00534FF7">
        <w:rPr>
          <w:rFonts w:ascii="Arial" w:hAnsi="Arial" w:cs="Arial"/>
          <w:i/>
          <w:sz w:val="18"/>
        </w:rPr>
        <w:t>s</w:t>
      </w:r>
      <w:r w:rsidRPr="008544A5">
        <w:rPr>
          <w:rFonts w:ascii="Arial" w:hAnsi="Arial" w:cs="Arial"/>
          <w:i/>
          <w:sz w:val="18"/>
        </w:rPr>
        <w:t xml:space="preserve"> Scenario</w:t>
      </w:r>
    </w:p>
    <w:tbl>
      <w:tblPr>
        <w:tblpPr w:leftFromText="180" w:rightFromText="180" w:vertAnchor="text" w:horzAnchor="margin" w:tblpY="164"/>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51"/>
        <w:gridCol w:w="3623"/>
        <w:gridCol w:w="4012"/>
      </w:tblGrid>
      <w:tr w:rsidR="00CE35FC" w:rsidRPr="00060DBD" w14:paraId="192EF477" w14:textId="77777777" w:rsidTr="00060DBD">
        <w:trPr>
          <w:trHeight w:val="184"/>
        </w:trPr>
        <w:tc>
          <w:tcPr>
            <w:tcW w:w="2051" w:type="dxa"/>
            <w:shd w:val="clear" w:color="auto" w:fill="FFFFFF" w:themeFill="background1"/>
            <w:vAlign w:val="center"/>
          </w:tcPr>
          <w:p w14:paraId="23BBA00E" w14:textId="6EDDCA67" w:rsidR="00CE35FC" w:rsidRPr="00060DBD" w:rsidRDefault="00CE35FC" w:rsidP="00060DBD">
            <w:pPr>
              <w:spacing w:after="0"/>
              <w:rPr>
                <w:rFonts w:ascii="Arial" w:hAnsi="Arial" w:cs="Arial"/>
                <w:b/>
                <w:sz w:val="18"/>
              </w:rPr>
            </w:pPr>
            <w:r w:rsidRPr="00060DBD">
              <w:rPr>
                <w:rFonts w:ascii="Arial" w:hAnsi="Arial" w:cs="Arial"/>
                <w:b/>
                <w:sz w:val="18"/>
              </w:rPr>
              <w:t>Abbreviation</w:t>
            </w:r>
          </w:p>
        </w:tc>
        <w:tc>
          <w:tcPr>
            <w:tcW w:w="7635" w:type="dxa"/>
            <w:gridSpan w:val="2"/>
            <w:shd w:val="clear" w:color="auto" w:fill="FFFFFF" w:themeFill="background1"/>
            <w:vAlign w:val="center"/>
          </w:tcPr>
          <w:p w14:paraId="6FF806EF" w14:textId="0EB9CEFC" w:rsidR="00CE35FC" w:rsidRPr="00060DBD" w:rsidRDefault="00CE35FC" w:rsidP="00060DBD">
            <w:pPr>
              <w:spacing w:after="0"/>
              <w:rPr>
                <w:rFonts w:ascii="Arial" w:hAnsi="Arial" w:cs="Arial"/>
                <w:sz w:val="18"/>
              </w:rPr>
            </w:pPr>
            <w:r w:rsidRPr="00060DBD">
              <w:rPr>
                <w:rFonts w:ascii="Arial" w:hAnsi="Arial" w:cs="Arial"/>
                <w:sz w:val="18"/>
              </w:rPr>
              <w:t>O-</w:t>
            </w:r>
            <w:r w:rsidR="00132377">
              <w:rPr>
                <w:rFonts w:ascii="Arial" w:hAnsi="Arial" w:cs="Arial"/>
                <w:sz w:val="18"/>
              </w:rPr>
              <w:t>CC</w:t>
            </w:r>
            <w:r w:rsidRPr="00060DBD">
              <w:rPr>
                <w:rFonts w:ascii="Arial" w:hAnsi="Arial" w:cs="Arial"/>
                <w:sz w:val="18"/>
              </w:rPr>
              <w:t>F</w:t>
            </w:r>
          </w:p>
        </w:tc>
      </w:tr>
      <w:tr w:rsidR="00A81BE0" w:rsidRPr="00060DBD" w14:paraId="5BB98B6E" w14:textId="77777777" w:rsidTr="00060DBD">
        <w:trPr>
          <w:trHeight w:val="184"/>
        </w:trPr>
        <w:tc>
          <w:tcPr>
            <w:tcW w:w="2051" w:type="dxa"/>
            <w:shd w:val="clear" w:color="auto" w:fill="FFFFFF" w:themeFill="background1"/>
            <w:vAlign w:val="center"/>
          </w:tcPr>
          <w:p w14:paraId="02B67477" w14:textId="080FDEE0" w:rsidR="00A81BE0" w:rsidRPr="00060DBD" w:rsidRDefault="00A81BE0" w:rsidP="00060DBD">
            <w:pPr>
              <w:spacing w:after="0"/>
              <w:rPr>
                <w:rFonts w:ascii="Arial" w:hAnsi="Arial" w:cs="Arial"/>
                <w:b/>
                <w:sz w:val="18"/>
              </w:rPr>
            </w:pPr>
            <w:r w:rsidRPr="00060DBD">
              <w:rPr>
                <w:rFonts w:ascii="Arial" w:hAnsi="Arial" w:cs="Arial"/>
                <w:b/>
                <w:sz w:val="18"/>
              </w:rPr>
              <w:t>Coverage o</w:t>
            </w:r>
            <w:r w:rsidR="00060DBD" w:rsidRPr="00060DBD">
              <w:rPr>
                <w:rFonts w:ascii="Arial" w:hAnsi="Arial" w:cs="Arial"/>
                <w:b/>
                <w:sz w:val="18"/>
              </w:rPr>
              <w:t>r</w:t>
            </w:r>
            <w:r w:rsidRPr="00060DBD">
              <w:rPr>
                <w:rFonts w:ascii="Arial" w:hAnsi="Arial" w:cs="Arial"/>
                <w:b/>
                <w:sz w:val="18"/>
              </w:rPr>
              <w:t xml:space="preserve"> budget driven</w:t>
            </w:r>
            <w:r w:rsidR="00060DBD" w:rsidRPr="00060DBD">
              <w:rPr>
                <w:rFonts w:ascii="Arial" w:hAnsi="Arial" w:cs="Arial"/>
                <w:b/>
                <w:sz w:val="18"/>
              </w:rPr>
              <w:t>?</w:t>
            </w:r>
          </w:p>
        </w:tc>
        <w:tc>
          <w:tcPr>
            <w:tcW w:w="7635" w:type="dxa"/>
            <w:gridSpan w:val="2"/>
            <w:shd w:val="clear" w:color="auto" w:fill="FFFFFF" w:themeFill="background1"/>
            <w:vAlign w:val="center"/>
          </w:tcPr>
          <w:p w14:paraId="2C9E9B53" w14:textId="462DC65B" w:rsidR="00A81BE0" w:rsidRPr="00060DBD" w:rsidRDefault="003B2713" w:rsidP="00060DBD">
            <w:pPr>
              <w:spacing w:after="0"/>
              <w:rPr>
                <w:rFonts w:ascii="Arial" w:hAnsi="Arial" w:cs="Arial"/>
                <w:sz w:val="18"/>
              </w:rPr>
            </w:pPr>
            <w:r w:rsidRPr="00060DBD">
              <w:rPr>
                <w:rFonts w:ascii="Arial" w:hAnsi="Arial" w:cs="Arial"/>
                <w:sz w:val="18"/>
              </w:rPr>
              <w:t>Funding-driven</w:t>
            </w:r>
          </w:p>
        </w:tc>
      </w:tr>
      <w:tr w:rsidR="00A81BE0" w:rsidRPr="00060DBD" w14:paraId="0B29F05F" w14:textId="77777777" w:rsidTr="00060DBD">
        <w:trPr>
          <w:trHeight w:val="91"/>
        </w:trPr>
        <w:tc>
          <w:tcPr>
            <w:tcW w:w="2051" w:type="dxa"/>
            <w:shd w:val="clear" w:color="auto" w:fill="FFFFFF" w:themeFill="background1"/>
            <w:vAlign w:val="center"/>
          </w:tcPr>
          <w:p w14:paraId="7826E85A" w14:textId="77777777" w:rsidR="00A81BE0" w:rsidRPr="00060DBD" w:rsidRDefault="00A81BE0" w:rsidP="00060DBD">
            <w:pPr>
              <w:spacing w:after="0"/>
              <w:rPr>
                <w:rFonts w:ascii="Arial" w:hAnsi="Arial" w:cs="Arial"/>
                <w:b/>
                <w:sz w:val="18"/>
              </w:rPr>
            </w:pPr>
            <w:r w:rsidRPr="00060DBD">
              <w:rPr>
                <w:rFonts w:ascii="Arial" w:hAnsi="Arial" w:cs="Arial"/>
                <w:b/>
                <w:sz w:val="18"/>
              </w:rPr>
              <w:t>Coverage target</w:t>
            </w:r>
          </w:p>
        </w:tc>
        <w:tc>
          <w:tcPr>
            <w:tcW w:w="7635" w:type="dxa"/>
            <w:gridSpan w:val="2"/>
            <w:shd w:val="clear" w:color="auto" w:fill="FFFFFF" w:themeFill="background1"/>
            <w:vAlign w:val="center"/>
          </w:tcPr>
          <w:p w14:paraId="07ACCC65" w14:textId="6532085B" w:rsidR="00A81BE0" w:rsidRPr="00060DBD" w:rsidRDefault="00311475" w:rsidP="00060DBD">
            <w:pPr>
              <w:spacing w:after="0"/>
              <w:rPr>
                <w:rFonts w:ascii="Arial" w:hAnsi="Arial" w:cs="Arial"/>
                <w:sz w:val="18"/>
              </w:rPr>
            </w:pPr>
            <w:r>
              <w:rPr>
                <w:rFonts w:ascii="Arial" w:hAnsi="Arial" w:cs="Arial"/>
                <w:sz w:val="18"/>
              </w:rPr>
              <w:t>Maximized after accounting for savings from Optimization</w:t>
            </w:r>
            <w:r w:rsidR="008D00C9">
              <w:rPr>
                <w:rFonts w:ascii="Arial" w:hAnsi="Arial" w:cs="Arial"/>
                <w:sz w:val="18"/>
              </w:rPr>
              <w:t>; Reaches 90% ART coverage for adult PLHIV (15 +) by 2030</w:t>
            </w:r>
          </w:p>
        </w:tc>
      </w:tr>
      <w:tr w:rsidR="00E559A1" w:rsidRPr="00060DBD" w14:paraId="2B2B029E" w14:textId="77777777" w:rsidTr="00060DBD">
        <w:trPr>
          <w:trHeight w:val="104"/>
        </w:trPr>
        <w:tc>
          <w:tcPr>
            <w:tcW w:w="2051" w:type="dxa"/>
            <w:vMerge w:val="restart"/>
            <w:shd w:val="clear" w:color="auto" w:fill="FFFFFF" w:themeFill="background1"/>
            <w:vAlign w:val="center"/>
          </w:tcPr>
          <w:p w14:paraId="2939E463" w14:textId="7C5F72E6" w:rsidR="00E559A1" w:rsidRPr="00060DBD" w:rsidRDefault="00E559A1" w:rsidP="00060DBD">
            <w:pPr>
              <w:spacing w:after="0"/>
              <w:rPr>
                <w:rFonts w:ascii="Arial" w:hAnsi="Arial" w:cs="Arial"/>
                <w:b/>
                <w:sz w:val="18"/>
              </w:rPr>
            </w:pPr>
            <w:r>
              <w:rPr>
                <w:rFonts w:ascii="Arial" w:hAnsi="Arial" w:cs="Arial"/>
                <w:b/>
                <w:sz w:val="18"/>
              </w:rPr>
              <w:t>Funding constraint</w:t>
            </w:r>
          </w:p>
        </w:tc>
        <w:tc>
          <w:tcPr>
            <w:tcW w:w="3623" w:type="dxa"/>
            <w:shd w:val="clear" w:color="auto" w:fill="FFFFFF" w:themeFill="background1"/>
            <w:vAlign w:val="center"/>
          </w:tcPr>
          <w:p w14:paraId="2CFB67B5" w14:textId="04F75418" w:rsidR="00E559A1" w:rsidRPr="00311475" w:rsidRDefault="00E559A1" w:rsidP="00060DBD">
            <w:pPr>
              <w:spacing w:after="0"/>
              <w:rPr>
                <w:rFonts w:ascii="Arial" w:hAnsi="Arial" w:cs="Arial"/>
                <w:sz w:val="18"/>
              </w:rPr>
            </w:pPr>
            <w:r>
              <w:rPr>
                <w:rFonts w:ascii="Arial" w:hAnsi="Arial" w:cs="Arial"/>
                <w:sz w:val="18"/>
              </w:rPr>
              <w:t xml:space="preserve">2019 funding constant </w:t>
            </w:r>
          </w:p>
        </w:tc>
        <w:tc>
          <w:tcPr>
            <w:tcW w:w="4012" w:type="dxa"/>
            <w:shd w:val="clear" w:color="auto" w:fill="FFFFFF" w:themeFill="background1"/>
            <w:vAlign w:val="center"/>
          </w:tcPr>
          <w:p w14:paraId="43C65801" w14:textId="1296B35A" w:rsidR="00E559A1" w:rsidRPr="00311475" w:rsidRDefault="00E559A1" w:rsidP="00060DBD">
            <w:pPr>
              <w:spacing w:after="0"/>
              <w:rPr>
                <w:rFonts w:ascii="Arial" w:hAnsi="Arial" w:cs="Arial"/>
                <w:sz w:val="18"/>
              </w:rPr>
            </w:pPr>
            <w:r>
              <w:rPr>
                <w:rFonts w:ascii="Arial" w:hAnsi="Arial" w:cs="Arial"/>
                <w:sz w:val="18"/>
              </w:rPr>
              <w:t>USD 4</w:t>
            </w:r>
            <w:r w:rsidR="008D3CCA">
              <w:rPr>
                <w:rFonts w:ascii="Arial" w:hAnsi="Arial" w:cs="Arial"/>
                <w:sz w:val="18"/>
              </w:rPr>
              <w:t>56</w:t>
            </w:r>
            <w:r>
              <w:rPr>
                <w:rFonts w:ascii="Arial" w:hAnsi="Arial" w:cs="Arial"/>
                <w:sz w:val="18"/>
              </w:rPr>
              <w:t xml:space="preserve"> M</w:t>
            </w:r>
          </w:p>
        </w:tc>
      </w:tr>
      <w:tr w:rsidR="00E559A1" w:rsidRPr="00060DBD" w14:paraId="1460F6E8" w14:textId="77777777" w:rsidTr="00060DBD">
        <w:trPr>
          <w:trHeight w:val="104"/>
        </w:trPr>
        <w:tc>
          <w:tcPr>
            <w:tcW w:w="2051" w:type="dxa"/>
            <w:vMerge/>
            <w:shd w:val="clear" w:color="auto" w:fill="FFFFFF" w:themeFill="background1"/>
            <w:vAlign w:val="center"/>
          </w:tcPr>
          <w:p w14:paraId="79E02199" w14:textId="77777777" w:rsidR="00E559A1" w:rsidRPr="00060DBD" w:rsidRDefault="00E559A1" w:rsidP="00060DBD">
            <w:pPr>
              <w:spacing w:after="0"/>
              <w:rPr>
                <w:rFonts w:ascii="Arial" w:hAnsi="Arial" w:cs="Arial"/>
                <w:b/>
                <w:sz w:val="18"/>
              </w:rPr>
            </w:pPr>
          </w:p>
        </w:tc>
        <w:tc>
          <w:tcPr>
            <w:tcW w:w="3623" w:type="dxa"/>
            <w:shd w:val="clear" w:color="auto" w:fill="FFFFFF" w:themeFill="background1"/>
            <w:vAlign w:val="center"/>
          </w:tcPr>
          <w:p w14:paraId="58C2282A" w14:textId="36B5467C" w:rsidR="00E559A1" w:rsidRPr="00311475" w:rsidRDefault="00E559A1" w:rsidP="00060DBD">
            <w:pPr>
              <w:spacing w:after="0"/>
              <w:rPr>
                <w:rFonts w:ascii="Arial" w:hAnsi="Arial" w:cs="Arial"/>
                <w:sz w:val="18"/>
              </w:rPr>
            </w:pPr>
            <w:r w:rsidRPr="00311475">
              <w:rPr>
                <w:rFonts w:ascii="Arial" w:hAnsi="Arial" w:cs="Arial"/>
                <w:sz w:val="18"/>
              </w:rPr>
              <w:t>2030 funding</w:t>
            </w:r>
            <w:r>
              <w:rPr>
                <w:rFonts w:ascii="Arial" w:hAnsi="Arial" w:cs="Arial"/>
                <w:sz w:val="18"/>
              </w:rPr>
              <w:t xml:space="preserve"> constraint</w:t>
            </w:r>
          </w:p>
        </w:tc>
        <w:tc>
          <w:tcPr>
            <w:tcW w:w="4012" w:type="dxa"/>
            <w:shd w:val="clear" w:color="auto" w:fill="FFFFFF" w:themeFill="background1"/>
            <w:vAlign w:val="center"/>
          </w:tcPr>
          <w:p w14:paraId="2675E863" w14:textId="3C61AD80" w:rsidR="00E559A1" w:rsidRPr="00311475" w:rsidRDefault="00E559A1" w:rsidP="00060DBD">
            <w:pPr>
              <w:spacing w:after="0"/>
              <w:rPr>
                <w:rFonts w:ascii="Arial" w:hAnsi="Arial" w:cs="Arial"/>
                <w:sz w:val="18"/>
              </w:rPr>
            </w:pPr>
            <w:r w:rsidRPr="00311475">
              <w:rPr>
                <w:rFonts w:ascii="Arial" w:hAnsi="Arial" w:cs="Arial"/>
                <w:sz w:val="18"/>
              </w:rPr>
              <w:t xml:space="preserve">USD </w:t>
            </w:r>
            <w:r w:rsidR="000E325B">
              <w:rPr>
                <w:rFonts w:ascii="Arial" w:hAnsi="Arial" w:cs="Arial"/>
                <w:sz w:val="18"/>
              </w:rPr>
              <w:t>46</w:t>
            </w:r>
            <w:r w:rsidR="008D3CCA">
              <w:rPr>
                <w:rFonts w:ascii="Arial" w:hAnsi="Arial" w:cs="Arial"/>
                <w:sz w:val="18"/>
              </w:rPr>
              <w:t>3</w:t>
            </w:r>
            <w:r w:rsidRPr="00311475">
              <w:rPr>
                <w:rFonts w:ascii="Arial" w:hAnsi="Arial" w:cs="Arial"/>
                <w:sz w:val="18"/>
              </w:rPr>
              <w:t xml:space="preserve"> M</w:t>
            </w:r>
            <w:r>
              <w:rPr>
                <w:rFonts w:ascii="Arial" w:hAnsi="Arial" w:cs="Arial"/>
                <w:sz w:val="18"/>
              </w:rPr>
              <w:t>*</w:t>
            </w:r>
          </w:p>
        </w:tc>
      </w:tr>
      <w:tr w:rsidR="00E559A1" w:rsidRPr="00060DBD" w14:paraId="4F1C63DB" w14:textId="77777777" w:rsidTr="00060DBD">
        <w:trPr>
          <w:trHeight w:val="47"/>
        </w:trPr>
        <w:tc>
          <w:tcPr>
            <w:tcW w:w="2051" w:type="dxa"/>
            <w:vMerge/>
            <w:shd w:val="clear" w:color="auto" w:fill="FFFFFF" w:themeFill="background1"/>
            <w:vAlign w:val="center"/>
          </w:tcPr>
          <w:p w14:paraId="4FDA85E8" w14:textId="77777777" w:rsidR="00E559A1" w:rsidRPr="00060DBD" w:rsidRDefault="00E559A1" w:rsidP="00060DBD">
            <w:pPr>
              <w:spacing w:after="0"/>
              <w:rPr>
                <w:rFonts w:ascii="Arial" w:hAnsi="Arial" w:cs="Arial"/>
                <w:b/>
                <w:sz w:val="18"/>
              </w:rPr>
            </w:pPr>
          </w:p>
        </w:tc>
        <w:tc>
          <w:tcPr>
            <w:tcW w:w="3623" w:type="dxa"/>
            <w:shd w:val="clear" w:color="auto" w:fill="FFFFFF" w:themeFill="background1"/>
            <w:vAlign w:val="center"/>
          </w:tcPr>
          <w:p w14:paraId="095DBDF3" w14:textId="4AADEE2B" w:rsidR="00E559A1" w:rsidRPr="00060DBD" w:rsidRDefault="00E559A1" w:rsidP="00060DBD">
            <w:pPr>
              <w:spacing w:after="0"/>
              <w:rPr>
                <w:rFonts w:ascii="Arial" w:hAnsi="Arial" w:cs="Arial"/>
                <w:sz w:val="18"/>
              </w:rPr>
            </w:pPr>
            <w:r w:rsidRPr="00060DBD">
              <w:rPr>
                <w:rFonts w:ascii="Arial" w:hAnsi="Arial" w:cs="Arial"/>
                <w:sz w:val="18"/>
              </w:rPr>
              <w:t>Cumulative funding</w:t>
            </w:r>
            <w:r>
              <w:rPr>
                <w:rFonts w:ascii="Arial" w:hAnsi="Arial" w:cs="Arial"/>
                <w:sz w:val="18"/>
              </w:rPr>
              <w:t xml:space="preserve"> constraint (2019-2030)</w:t>
            </w:r>
          </w:p>
        </w:tc>
        <w:tc>
          <w:tcPr>
            <w:tcW w:w="4012" w:type="dxa"/>
            <w:shd w:val="clear" w:color="auto" w:fill="FFFFFF" w:themeFill="background1"/>
            <w:vAlign w:val="center"/>
          </w:tcPr>
          <w:p w14:paraId="0D4FF2A5" w14:textId="411EA2E7" w:rsidR="00E559A1" w:rsidRPr="00060DBD" w:rsidRDefault="00E559A1" w:rsidP="00060DBD">
            <w:pPr>
              <w:spacing w:after="0"/>
              <w:rPr>
                <w:rFonts w:ascii="Arial" w:hAnsi="Arial" w:cs="Arial"/>
                <w:sz w:val="18"/>
              </w:rPr>
            </w:pPr>
            <w:r w:rsidRPr="00060DBD">
              <w:rPr>
                <w:rFonts w:ascii="Arial" w:hAnsi="Arial" w:cs="Arial"/>
                <w:sz w:val="18"/>
              </w:rPr>
              <w:t>USD 5.</w:t>
            </w:r>
            <w:r w:rsidR="008D3CCA">
              <w:rPr>
                <w:rFonts w:ascii="Arial" w:hAnsi="Arial" w:cs="Arial"/>
                <w:sz w:val="18"/>
              </w:rPr>
              <w:t>5</w:t>
            </w:r>
            <w:r w:rsidRPr="00060DBD">
              <w:rPr>
                <w:rFonts w:ascii="Arial" w:hAnsi="Arial" w:cs="Arial"/>
                <w:sz w:val="18"/>
              </w:rPr>
              <w:t xml:space="preserve"> B</w:t>
            </w:r>
          </w:p>
        </w:tc>
      </w:tr>
      <w:tr w:rsidR="00E559A1" w:rsidRPr="00060DBD" w14:paraId="4D9E4D4B" w14:textId="77777777" w:rsidTr="001264AF">
        <w:trPr>
          <w:trHeight w:val="47"/>
        </w:trPr>
        <w:tc>
          <w:tcPr>
            <w:tcW w:w="2051" w:type="dxa"/>
            <w:vMerge/>
            <w:shd w:val="clear" w:color="auto" w:fill="FFFFFF" w:themeFill="background1"/>
            <w:vAlign w:val="center"/>
          </w:tcPr>
          <w:p w14:paraId="4EA1C674" w14:textId="77777777" w:rsidR="00E559A1" w:rsidRPr="00060DBD" w:rsidRDefault="00E559A1" w:rsidP="00060DBD">
            <w:pPr>
              <w:spacing w:after="0"/>
              <w:rPr>
                <w:rFonts w:ascii="Arial" w:hAnsi="Arial" w:cs="Arial"/>
                <w:b/>
                <w:sz w:val="18"/>
              </w:rPr>
            </w:pPr>
          </w:p>
        </w:tc>
        <w:tc>
          <w:tcPr>
            <w:tcW w:w="7635" w:type="dxa"/>
            <w:gridSpan w:val="2"/>
            <w:shd w:val="clear" w:color="auto" w:fill="FFFFFF" w:themeFill="background1"/>
            <w:vAlign w:val="center"/>
          </w:tcPr>
          <w:p w14:paraId="58339314" w14:textId="0B52788B" w:rsidR="00E559A1" w:rsidRPr="00060DBD" w:rsidRDefault="00E559A1" w:rsidP="00060DBD">
            <w:pPr>
              <w:spacing w:after="0"/>
              <w:rPr>
                <w:rFonts w:ascii="Arial" w:hAnsi="Arial" w:cs="Arial"/>
                <w:sz w:val="18"/>
              </w:rPr>
            </w:pPr>
            <w:r w:rsidRPr="00311475">
              <w:rPr>
                <w:rFonts w:ascii="Arial" w:hAnsi="Arial" w:cs="Arial"/>
                <w:sz w:val="18"/>
              </w:rPr>
              <w:t xml:space="preserve">*Note: Given population growth, the absolute number of PLHIV on treatment </w:t>
            </w:r>
            <w:r w:rsidR="00266EE6">
              <w:rPr>
                <w:rFonts w:ascii="Arial" w:hAnsi="Arial" w:cs="Arial"/>
                <w:sz w:val="18"/>
              </w:rPr>
              <w:t>in the Constant Coverage scenario increases by about USD 40 M from 2019 to 2030. However, the same increase in the O-CCF scenario is not realized because the savings in efficiencies offset the additional costs to not only maintain constant ART coverage but reach 90% ART coverage.</w:t>
            </w:r>
          </w:p>
        </w:tc>
      </w:tr>
      <w:tr w:rsidR="00A81BE0" w:rsidRPr="00060DBD" w14:paraId="35FDA316" w14:textId="77777777" w:rsidTr="00060DBD">
        <w:trPr>
          <w:trHeight w:val="86"/>
        </w:trPr>
        <w:tc>
          <w:tcPr>
            <w:tcW w:w="2051" w:type="dxa"/>
            <w:shd w:val="clear" w:color="auto" w:fill="FFFFFF" w:themeFill="background1"/>
            <w:vAlign w:val="center"/>
          </w:tcPr>
          <w:p w14:paraId="65A8097B" w14:textId="56A9983D" w:rsidR="00A81BE0" w:rsidRPr="00060DBD" w:rsidRDefault="00311475" w:rsidP="00060DBD">
            <w:pPr>
              <w:spacing w:after="0"/>
              <w:rPr>
                <w:rFonts w:ascii="Arial" w:hAnsi="Arial" w:cs="Arial"/>
                <w:b/>
                <w:sz w:val="18"/>
              </w:rPr>
            </w:pPr>
            <w:r>
              <w:rPr>
                <w:rFonts w:ascii="Arial" w:hAnsi="Arial" w:cs="Arial"/>
                <w:b/>
                <w:sz w:val="18"/>
              </w:rPr>
              <w:t>Optimization</w:t>
            </w:r>
            <w:r w:rsidR="00A81BE0" w:rsidRPr="00060DBD">
              <w:rPr>
                <w:rFonts w:ascii="Arial" w:hAnsi="Arial" w:cs="Arial"/>
                <w:b/>
                <w:sz w:val="18"/>
              </w:rPr>
              <w:t xml:space="preserve"> </w:t>
            </w:r>
          </w:p>
        </w:tc>
        <w:tc>
          <w:tcPr>
            <w:tcW w:w="7635" w:type="dxa"/>
            <w:gridSpan w:val="2"/>
            <w:shd w:val="clear" w:color="auto" w:fill="FFFFFF" w:themeFill="background1"/>
            <w:vAlign w:val="center"/>
          </w:tcPr>
          <w:p w14:paraId="7A80B070" w14:textId="52BA710D" w:rsidR="00A81BE0" w:rsidRPr="00060DBD" w:rsidRDefault="00311475" w:rsidP="00060DBD">
            <w:pPr>
              <w:spacing w:after="0"/>
              <w:rPr>
                <w:rFonts w:ascii="Arial" w:hAnsi="Arial" w:cs="Arial"/>
                <w:sz w:val="18"/>
              </w:rPr>
            </w:pPr>
            <w:r>
              <w:rPr>
                <w:rFonts w:ascii="Arial" w:hAnsi="Arial" w:cs="Arial"/>
                <w:sz w:val="18"/>
              </w:rPr>
              <w:t>Optimization (prioritization of prevention interventions, ART technical efficiencies, and efficient testing strategy) applied at scale as described in previous section</w:t>
            </w:r>
          </w:p>
        </w:tc>
      </w:tr>
      <w:bookmarkEnd w:id="81"/>
    </w:tbl>
    <w:p w14:paraId="2D338E63" w14:textId="5009A516" w:rsidR="0075442F" w:rsidRDefault="0075442F" w:rsidP="00D76E49">
      <w:pPr>
        <w:pStyle w:val="Heading3"/>
        <w:rPr>
          <w:rFonts w:ascii="Arial" w:hAnsi="Arial" w:cs="Arial"/>
          <w:i/>
          <w:color w:val="000000" w:themeColor="text1"/>
        </w:rPr>
      </w:pPr>
    </w:p>
    <w:p w14:paraId="1D0F1F60" w14:textId="3367337E" w:rsidR="003D002D" w:rsidRPr="003D002D" w:rsidRDefault="003D002D" w:rsidP="003D002D">
      <w:pPr>
        <w:rPr>
          <w:rFonts w:ascii="Arial" w:hAnsi="Arial" w:cs="Arial"/>
        </w:rPr>
      </w:pPr>
      <w:r w:rsidRPr="003D002D">
        <w:rPr>
          <w:rFonts w:ascii="Arial" w:hAnsi="Arial" w:cs="Arial"/>
        </w:rPr>
        <w:t>The effects of prioritization</w:t>
      </w:r>
      <w:r w:rsidR="00132377">
        <w:rPr>
          <w:rFonts w:ascii="Arial" w:hAnsi="Arial" w:cs="Arial"/>
        </w:rPr>
        <w:t xml:space="preserve">, </w:t>
      </w:r>
      <w:r w:rsidRPr="003D002D">
        <w:rPr>
          <w:rFonts w:ascii="Arial" w:hAnsi="Arial" w:cs="Arial"/>
        </w:rPr>
        <w:t>technical efficiency</w:t>
      </w:r>
      <w:r w:rsidR="00132377">
        <w:rPr>
          <w:rFonts w:ascii="Arial" w:hAnsi="Arial" w:cs="Arial"/>
        </w:rPr>
        <w:t>, and targeted testing</w:t>
      </w:r>
      <w:r w:rsidRPr="003D002D">
        <w:rPr>
          <w:rFonts w:ascii="Arial" w:hAnsi="Arial" w:cs="Arial"/>
        </w:rPr>
        <w:t xml:space="preserve"> are shown together.</w:t>
      </w:r>
      <w:r>
        <w:rPr>
          <w:rFonts w:ascii="Arial" w:hAnsi="Arial" w:cs="Arial"/>
        </w:rPr>
        <w:t xml:space="preserve"> The prioritization exercise was conducted following technical efficiency savings were applied to ART program to allow for maximum budget for prevention interventions.</w:t>
      </w:r>
      <w:r w:rsidR="00132377">
        <w:rPr>
          <w:rFonts w:ascii="Arial" w:hAnsi="Arial" w:cs="Arial"/>
        </w:rPr>
        <w:t xml:space="preserve"> Cost savings from targeted testing are shown in each scenario.</w:t>
      </w:r>
    </w:p>
    <w:p w14:paraId="055EC38B" w14:textId="7A4DC00E" w:rsidR="00A673AE" w:rsidRDefault="0096724A" w:rsidP="00D76E49">
      <w:pPr>
        <w:pStyle w:val="Heading3"/>
        <w:rPr>
          <w:rFonts w:ascii="Arial" w:hAnsi="Arial" w:cs="Arial"/>
          <w:i/>
          <w:color w:val="000000" w:themeColor="text1"/>
        </w:rPr>
      </w:pPr>
      <w:bookmarkStart w:id="98" w:name="_Toc57035192"/>
      <w:r>
        <w:rPr>
          <w:rFonts w:ascii="Arial" w:hAnsi="Arial" w:cs="Arial"/>
          <w:i/>
          <w:color w:val="000000" w:themeColor="text1"/>
        </w:rPr>
        <w:t>Disease impact</w:t>
      </w:r>
      <w:r w:rsidR="00803ED6">
        <w:rPr>
          <w:rFonts w:ascii="Arial" w:hAnsi="Arial" w:cs="Arial"/>
          <w:i/>
          <w:color w:val="000000" w:themeColor="text1"/>
        </w:rPr>
        <w:t xml:space="preserve"> of </w:t>
      </w:r>
      <w:r w:rsidR="00534FF7">
        <w:rPr>
          <w:rFonts w:ascii="Arial" w:hAnsi="Arial" w:cs="Arial"/>
          <w:i/>
          <w:color w:val="000000" w:themeColor="text1"/>
        </w:rPr>
        <w:t>O</w:t>
      </w:r>
      <w:r w:rsidR="00803ED6">
        <w:rPr>
          <w:rFonts w:ascii="Arial" w:hAnsi="Arial" w:cs="Arial"/>
          <w:i/>
          <w:color w:val="000000" w:themeColor="text1"/>
        </w:rPr>
        <w:t xml:space="preserve">ptimization </w:t>
      </w:r>
      <w:r w:rsidR="00132377">
        <w:rPr>
          <w:rFonts w:ascii="Arial" w:hAnsi="Arial" w:cs="Arial"/>
          <w:i/>
          <w:color w:val="000000" w:themeColor="text1"/>
        </w:rPr>
        <w:t>at Scale</w:t>
      </w:r>
      <w:bookmarkEnd w:id="98"/>
    </w:p>
    <w:p w14:paraId="32FB809D" w14:textId="77777777" w:rsidR="002F5376" w:rsidRPr="00803ED6" w:rsidRDefault="002F5376" w:rsidP="00F35F7B">
      <w:pPr>
        <w:spacing w:after="0"/>
        <w:rPr>
          <w:rFonts w:ascii="Arial" w:hAnsi="Arial" w:cs="Arial"/>
        </w:rPr>
      </w:pPr>
    </w:p>
    <w:p w14:paraId="25E9938B" w14:textId="24998F1E" w:rsidR="00803ED6" w:rsidRDefault="00803ED6" w:rsidP="001A4919">
      <w:pPr>
        <w:rPr>
          <w:rFonts w:ascii="Arial" w:hAnsi="Arial" w:cs="Arial"/>
        </w:rPr>
      </w:pPr>
      <w:r w:rsidRPr="00803ED6">
        <w:rPr>
          <w:rFonts w:ascii="Arial" w:hAnsi="Arial" w:cs="Arial"/>
          <w:b/>
        </w:rPr>
        <w:t>ART coverage.</w:t>
      </w:r>
      <w:r>
        <w:rPr>
          <w:rFonts w:ascii="Arial" w:hAnsi="Arial" w:cs="Arial"/>
          <w:b/>
        </w:rPr>
        <w:t xml:space="preserve"> </w:t>
      </w:r>
      <w:r w:rsidR="000D5C2D">
        <w:rPr>
          <w:rFonts w:ascii="Arial" w:hAnsi="Arial" w:cs="Arial"/>
        </w:rPr>
        <w:t xml:space="preserve">Through the additional funds freed up by the technical efficiencies and prioritization of treatment and the most cost-effective prevention interventions, the same funds </w:t>
      </w:r>
      <w:r w:rsidR="00116101">
        <w:rPr>
          <w:rFonts w:ascii="Arial" w:hAnsi="Arial" w:cs="Arial"/>
        </w:rPr>
        <w:t>from the Constant Coverage scenario</w:t>
      </w:r>
      <w:r w:rsidR="000D5C2D">
        <w:rPr>
          <w:rFonts w:ascii="Arial" w:hAnsi="Arial" w:cs="Arial"/>
        </w:rPr>
        <w:t xml:space="preserve"> could be stretched to put 250,000 more people on ART by 2030. As shown in </w:t>
      </w:r>
      <w:r w:rsidR="000D5C2D" w:rsidRPr="00585A95">
        <w:rPr>
          <w:rFonts w:ascii="Arial" w:hAnsi="Arial" w:cs="Arial"/>
          <w:i/>
        </w:rPr>
        <w:t xml:space="preserve">Figure </w:t>
      </w:r>
      <w:r w:rsidR="00CE35FC" w:rsidRPr="00585A95">
        <w:rPr>
          <w:rFonts w:ascii="Arial" w:hAnsi="Arial" w:cs="Arial"/>
          <w:i/>
        </w:rPr>
        <w:t>5-</w:t>
      </w:r>
      <w:r w:rsidR="007E576A">
        <w:rPr>
          <w:rFonts w:ascii="Arial" w:hAnsi="Arial" w:cs="Arial"/>
          <w:i/>
        </w:rPr>
        <w:t>10</w:t>
      </w:r>
      <w:r w:rsidR="000D5C2D">
        <w:rPr>
          <w:rFonts w:ascii="Arial" w:hAnsi="Arial" w:cs="Arial"/>
        </w:rPr>
        <w:t xml:space="preserve">, </w:t>
      </w:r>
      <w:r w:rsidR="00A03732">
        <w:rPr>
          <w:rFonts w:ascii="Arial" w:hAnsi="Arial" w:cs="Arial"/>
        </w:rPr>
        <w:t>O-</w:t>
      </w:r>
      <w:r w:rsidR="00116101">
        <w:rPr>
          <w:rFonts w:ascii="Arial" w:hAnsi="Arial" w:cs="Arial"/>
        </w:rPr>
        <w:t>CC</w:t>
      </w:r>
      <w:r w:rsidR="00A03732">
        <w:rPr>
          <w:rFonts w:ascii="Arial" w:hAnsi="Arial" w:cs="Arial"/>
        </w:rPr>
        <w:t xml:space="preserve">F </w:t>
      </w:r>
      <w:r w:rsidR="000D5C2D">
        <w:rPr>
          <w:rFonts w:ascii="Arial" w:hAnsi="Arial" w:cs="Arial"/>
        </w:rPr>
        <w:t xml:space="preserve">would enable the same treatment levels as set out in the </w:t>
      </w:r>
      <w:r w:rsidR="00F77BBE">
        <w:rPr>
          <w:rFonts w:ascii="Arial" w:hAnsi="Arial" w:cs="Arial"/>
        </w:rPr>
        <w:t>NS</w:t>
      </w:r>
      <w:r w:rsidR="002F5376">
        <w:rPr>
          <w:rFonts w:ascii="Arial" w:hAnsi="Arial" w:cs="Arial"/>
        </w:rPr>
        <w:t>, but at a much lower cost</w:t>
      </w:r>
      <w:r w:rsidR="00F77BBE">
        <w:rPr>
          <w:rFonts w:ascii="Arial" w:hAnsi="Arial" w:cs="Arial"/>
        </w:rPr>
        <w:t xml:space="preserve"> at USD 219 M vs USD 281 M in 2030 for 1.3 M PLHIV </w:t>
      </w:r>
      <w:r w:rsidR="00950828">
        <w:rPr>
          <w:rFonts w:ascii="Arial" w:hAnsi="Arial" w:cs="Arial"/>
        </w:rPr>
        <w:t>under</w:t>
      </w:r>
      <w:r w:rsidR="00F77BBE">
        <w:rPr>
          <w:rFonts w:ascii="Arial" w:hAnsi="Arial" w:cs="Arial"/>
        </w:rPr>
        <w:t xml:space="preserve"> ART.</w:t>
      </w:r>
    </w:p>
    <w:p w14:paraId="32534D5F" w14:textId="35637F54" w:rsidR="00CE35FC" w:rsidRPr="008544A5" w:rsidRDefault="00CE35FC" w:rsidP="00CE35FC">
      <w:pPr>
        <w:rPr>
          <w:rFonts w:ascii="Arial" w:hAnsi="Arial" w:cs="Arial"/>
          <w:i/>
          <w:sz w:val="18"/>
        </w:rPr>
      </w:pPr>
      <w:r w:rsidRPr="008544A5">
        <w:rPr>
          <w:rFonts w:ascii="Arial" w:hAnsi="Arial" w:cs="Arial"/>
          <w:i/>
          <w:noProof/>
          <w:sz w:val="18"/>
        </w:rPr>
        <w:drawing>
          <wp:anchor distT="0" distB="0" distL="114300" distR="114300" simplePos="0" relativeHeight="251684864" behindDoc="0" locked="0" layoutInCell="1" allowOverlap="1" wp14:anchorId="71152329" wp14:editId="74E4976F">
            <wp:simplePos x="0" y="0"/>
            <wp:positionH relativeFrom="column">
              <wp:posOffset>485775</wp:posOffset>
            </wp:positionH>
            <wp:positionV relativeFrom="paragraph">
              <wp:posOffset>297180</wp:posOffset>
            </wp:positionV>
            <wp:extent cx="4543425" cy="2428875"/>
            <wp:effectExtent l="0" t="0" r="9525" b="9525"/>
            <wp:wrapTopAndBottom/>
            <wp:docPr id="87" name="Chart 87">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8544A5">
        <w:rPr>
          <w:rFonts w:ascii="Arial" w:hAnsi="Arial" w:cs="Arial"/>
          <w:bCs/>
          <w:i/>
          <w:sz w:val="18"/>
        </w:rPr>
        <w:t xml:space="preserve">Figure </w:t>
      </w:r>
      <w:r>
        <w:rPr>
          <w:rFonts w:ascii="Arial" w:hAnsi="Arial" w:cs="Arial"/>
          <w:bCs/>
          <w:i/>
          <w:sz w:val="18"/>
        </w:rPr>
        <w:t>5-</w:t>
      </w:r>
      <w:r w:rsidR="007E576A">
        <w:rPr>
          <w:rFonts w:ascii="Arial" w:hAnsi="Arial" w:cs="Arial"/>
          <w:bCs/>
          <w:i/>
          <w:sz w:val="18"/>
        </w:rPr>
        <w:t>10</w:t>
      </w:r>
      <w:r w:rsidR="00585A95">
        <w:rPr>
          <w:rFonts w:ascii="Arial" w:hAnsi="Arial" w:cs="Arial"/>
          <w:bCs/>
          <w:i/>
          <w:sz w:val="18"/>
        </w:rPr>
        <w:t>.</w:t>
      </w:r>
      <w:r w:rsidRPr="008544A5">
        <w:rPr>
          <w:rFonts w:ascii="Arial" w:hAnsi="Arial" w:cs="Arial"/>
          <w:bCs/>
          <w:i/>
          <w:sz w:val="18"/>
        </w:rPr>
        <w:t xml:space="preserve"> Number on ART 2019-2030</w:t>
      </w:r>
    </w:p>
    <w:p w14:paraId="58771C81" w14:textId="77777777" w:rsidR="0044237A" w:rsidRDefault="0044237A" w:rsidP="00991EFE">
      <w:pPr>
        <w:rPr>
          <w:rFonts w:ascii="Arial" w:hAnsi="Arial" w:cs="Arial"/>
          <w:b/>
        </w:rPr>
      </w:pPr>
    </w:p>
    <w:p w14:paraId="0DC7C3DB" w14:textId="5CEBBF5A" w:rsidR="00950828" w:rsidRDefault="00950828" w:rsidP="00950828">
      <w:pPr>
        <w:rPr>
          <w:rFonts w:ascii="Arial" w:hAnsi="Arial" w:cs="Arial"/>
        </w:rPr>
      </w:pPr>
      <w:r w:rsidRPr="000D5C2D">
        <w:rPr>
          <w:rFonts w:ascii="Arial" w:hAnsi="Arial" w:cs="Arial"/>
          <w:b/>
        </w:rPr>
        <w:t>New infections</w:t>
      </w:r>
      <w:r>
        <w:rPr>
          <w:rFonts w:ascii="Arial" w:hAnsi="Arial" w:cs="Arial"/>
        </w:rPr>
        <w:t>. O-</w:t>
      </w:r>
      <w:r w:rsidR="00116101">
        <w:rPr>
          <w:rFonts w:ascii="Arial" w:hAnsi="Arial" w:cs="Arial"/>
        </w:rPr>
        <w:t>CC</w:t>
      </w:r>
      <w:r>
        <w:rPr>
          <w:rFonts w:ascii="Arial" w:hAnsi="Arial" w:cs="Arial"/>
        </w:rPr>
        <w:t>F would also have a major impact in averting more infections. Over 240,000 new infections would be prevented by O-</w:t>
      </w:r>
      <w:r w:rsidR="00116101">
        <w:rPr>
          <w:rFonts w:ascii="Arial" w:hAnsi="Arial" w:cs="Arial"/>
        </w:rPr>
        <w:t>CC</w:t>
      </w:r>
      <w:r>
        <w:rPr>
          <w:rFonts w:ascii="Arial" w:hAnsi="Arial" w:cs="Arial"/>
        </w:rPr>
        <w:t xml:space="preserve">F compared to </w:t>
      </w:r>
      <w:r w:rsidR="00116101">
        <w:rPr>
          <w:rFonts w:ascii="Arial" w:hAnsi="Arial" w:cs="Arial"/>
        </w:rPr>
        <w:t>Constant Coverage</w:t>
      </w:r>
      <w:r>
        <w:rPr>
          <w:rFonts w:ascii="Arial" w:hAnsi="Arial" w:cs="Arial"/>
        </w:rPr>
        <w:t>. From 2019 to 2030, annual new infections would drop by 70% and by 2030 new infections would be under 16,000 annually. A reduction of 84% from 2010 to 2030 would be realized, reaching close to but falling just short of the Fast Track goals. However, as discussed below, the O-</w:t>
      </w:r>
      <w:r w:rsidR="00116101">
        <w:rPr>
          <w:rFonts w:ascii="Arial" w:hAnsi="Arial" w:cs="Arial"/>
        </w:rPr>
        <w:t>CC</w:t>
      </w:r>
      <w:r>
        <w:rPr>
          <w:rFonts w:ascii="Arial" w:hAnsi="Arial" w:cs="Arial"/>
        </w:rPr>
        <w:t>F scenario costs only 69% as much as the NS.</w:t>
      </w:r>
    </w:p>
    <w:p w14:paraId="52F4DE88" w14:textId="147AD396" w:rsidR="0096724A" w:rsidRDefault="00CE35FC" w:rsidP="00505F88">
      <w:pPr>
        <w:rPr>
          <w:rFonts w:ascii="Arial" w:hAnsi="Arial" w:cs="Arial"/>
          <w:b/>
        </w:rPr>
      </w:pPr>
      <w:r w:rsidRPr="00A9563C">
        <w:rPr>
          <w:rFonts w:ascii="Arial" w:hAnsi="Arial" w:cs="Arial"/>
          <w:b/>
          <w:noProof/>
        </w:rPr>
        <w:drawing>
          <wp:anchor distT="0" distB="0" distL="114300" distR="114300" simplePos="0" relativeHeight="251721728" behindDoc="0" locked="0" layoutInCell="1" allowOverlap="1" wp14:anchorId="0D5A0BB9" wp14:editId="1161E409">
            <wp:simplePos x="0" y="0"/>
            <wp:positionH relativeFrom="margin">
              <wp:posOffset>312420</wp:posOffset>
            </wp:positionH>
            <wp:positionV relativeFrom="paragraph">
              <wp:posOffset>182880</wp:posOffset>
            </wp:positionV>
            <wp:extent cx="4853940" cy="2217420"/>
            <wp:effectExtent l="0" t="0" r="3810" b="11430"/>
            <wp:wrapTopAndBottom/>
            <wp:docPr id="88" name="Chart 88">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8544A5">
        <w:rPr>
          <w:rFonts w:ascii="Arial" w:hAnsi="Arial" w:cs="Arial"/>
          <w:i/>
          <w:sz w:val="18"/>
        </w:rPr>
        <w:t>Figure 5-</w:t>
      </w:r>
      <w:r w:rsidR="007E576A">
        <w:rPr>
          <w:rFonts w:ascii="Arial" w:hAnsi="Arial" w:cs="Arial"/>
          <w:i/>
          <w:sz w:val="18"/>
        </w:rPr>
        <w:t>11</w:t>
      </w:r>
      <w:r w:rsidRPr="008544A5">
        <w:rPr>
          <w:rFonts w:ascii="Arial" w:hAnsi="Arial" w:cs="Arial"/>
          <w:i/>
          <w:sz w:val="18"/>
        </w:rPr>
        <w:t>. New infections 2019-2030</w:t>
      </w:r>
    </w:p>
    <w:p w14:paraId="707D8648" w14:textId="70EF4248" w:rsidR="0096724A" w:rsidRPr="00DC717E" w:rsidRDefault="0096724A" w:rsidP="00DC717E">
      <w:pPr>
        <w:spacing w:after="0"/>
        <w:rPr>
          <w:rFonts w:ascii="Arial" w:hAnsi="Arial" w:cs="Arial"/>
          <w:b/>
        </w:rPr>
      </w:pPr>
    </w:p>
    <w:p w14:paraId="206C25F9" w14:textId="7044F109" w:rsidR="00DC717E" w:rsidRDefault="00DC717E" w:rsidP="00D36D01">
      <w:pPr>
        <w:pStyle w:val="ListParagraph"/>
        <w:spacing w:after="0"/>
        <w:ind w:left="0"/>
        <w:rPr>
          <w:rFonts w:ascii="Arial" w:hAnsi="Arial" w:cs="Arial"/>
        </w:rPr>
      </w:pPr>
      <w:r>
        <w:rPr>
          <w:rFonts w:ascii="Arial" w:hAnsi="Arial" w:cs="Arial"/>
          <w:b/>
        </w:rPr>
        <w:t xml:space="preserve">AIDS-related mortality. </w:t>
      </w:r>
      <w:r w:rsidR="00BA0709">
        <w:rPr>
          <w:rFonts w:ascii="Arial" w:hAnsi="Arial" w:cs="Arial"/>
        </w:rPr>
        <w:t>Optimization</w:t>
      </w:r>
      <w:r w:rsidR="007C1806">
        <w:rPr>
          <w:rFonts w:ascii="Arial" w:hAnsi="Arial" w:cs="Arial"/>
        </w:rPr>
        <w:t xml:space="preserve"> of </w:t>
      </w:r>
      <w:r w:rsidR="00116101">
        <w:rPr>
          <w:rFonts w:ascii="Arial" w:hAnsi="Arial" w:cs="Arial"/>
        </w:rPr>
        <w:t>Constant Coverage Funds</w:t>
      </w:r>
      <w:r w:rsidR="00BA0709">
        <w:rPr>
          <w:rFonts w:ascii="Arial" w:hAnsi="Arial" w:cs="Arial"/>
        </w:rPr>
        <w:t xml:space="preserve"> would have the same impact on AIDS deaths as the National Strategy. About 190,000 deaths would be averted from 2019-2030 and a 56% reduction in annual deaths from 2019 to 2030 would occur. Optimization would get Tanzania close to Fast Track goals of 90% reduction, falling just short at 83%. </w:t>
      </w:r>
    </w:p>
    <w:p w14:paraId="3B18556B" w14:textId="2F91B6C0" w:rsidR="00D36B04" w:rsidRDefault="00D36B04" w:rsidP="00D36D01">
      <w:pPr>
        <w:pStyle w:val="ListParagraph"/>
        <w:spacing w:after="0"/>
        <w:ind w:left="0"/>
        <w:rPr>
          <w:rFonts w:ascii="Arial" w:hAnsi="Arial" w:cs="Arial"/>
        </w:rPr>
      </w:pPr>
    </w:p>
    <w:p w14:paraId="041CA52B" w14:textId="1F6F1867" w:rsidR="00D36B04" w:rsidRPr="00D36B04" w:rsidRDefault="00D36B04" w:rsidP="00D36D01">
      <w:pPr>
        <w:pStyle w:val="ListParagraph"/>
        <w:spacing w:after="0"/>
        <w:ind w:left="0"/>
        <w:rPr>
          <w:rFonts w:ascii="Arial" w:hAnsi="Arial" w:cs="Arial"/>
        </w:rPr>
      </w:pPr>
      <w:r w:rsidRPr="00A178D1">
        <w:rPr>
          <w:rFonts w:ascii="Arial" w:hAnsi="Arial" w:cs="Arial"/>
          <w:b/>
          <w:bCs/>
        </w:rPr>
        <w:t xml:space="preserve">Life expectancy. </w:t>
      </w:r>
      <w:r>
        <w:rPr>
          <w:rFonts w:ascii="Arial" w:hAnsi="Arial" w:cs="Arial"/>
        </w:rPr>
        <w:t xml:space="preserve">Optimization of </w:t>
      </w:r>
      <w:r w:rsidR="00116101">
        <w:rPr>
          <w:rFonts w:ascii="Arial" w:hAnsi="Arial" w:cs="Arial"/>
        </w:rPr>
        <w:t>Constant Coverage</w:t>
      </w:r>
      <w:r>
        <w:rPr>
          <w:rFonts w:ascii="Arial" w:hAnsi="Arial" w:cs="Arial"/>
        </w:rPr>
        <w:t xml:space="preserve"> Funds would also achieve similar effects on life expectancy as the National Strategy—one year longer than the </w:t>
      </w:r>
      <w:r w:rsidR="00116101">
        <w:rPr>
          <w:rFonts w:ascii="Arial" w:hAnsi="Arial" w:cs="Arial"/>
        </w:rPr>
        <w:t>CC scenario</w:t>
      </w:r>
      <w:r>
        <w:rPr>
          <w:rFonts w:ascii="Arial" w:hAnsi="Arial" w:cs="Arial"/>
        </w:rPr>
        <w:t>. In 2025, life expectancy would be 68.52 years under O-</w:t>
      </w:r>
      <w:r w:rsidR="00116101">
        <w:rPr>
          <w:rFonts w:ascii="Arial" w:hAnsi="Arial" w:cs="Arial"/>
        </w:rPr>
        <w:t>CC</w:t>
      </w:r>
      <w:r>
        <w:rPr>
          <w:rFonts w:ascii="Arial" w:hAnsi="Arial" w:cs="Arial"/>
        </w:rPr>
        <w:t>F and 69.83 years in 2030.</w:t>
      </w:r>
      <w:r w:rsidR="00F86844">
        <w:rPr>
          <w:rFonts w:ascii="Arial" w:hAnsi="Arial" w:cs="Arial"/>
        </w:rPr>
        <w:t xml:space="preserve"> </w:t>
      </w:r>
    </w:p>
    <w:p w14:paraId="5EFABA89" w14:textId="77777777" w:rsidR="00D36D01" w:rsidRDefault="00D36D01" w:rsidP="008F65EE">
      <w:pPr>
        <w:spacing w:after="0"/>
      </w:pPr>
    </w:p>
    <w:p w14:paraId="2831BB79" w14:textId="7B2B0AE3" w:rsidR="007C1806" w:rsidRDefault="00D17E1E" w:rsidP="008544A5">
      <w:pPr>
        <w:pStyle w:val="Heading3"/>
        <w:rPr>
          <w:i/>
          <w:color w:val="000000" w:themeColor="text1"/>
        </w:rPr>
      </w:pPr>
      <w:bookmarkStart w:id="99" w:name="_Toc57035193"/>
      <w:r w:rsidRPr="008544A5">
        <w:rPr>
          <w:rFonts w:ascii="Arial" w:hAnsi="Arial" w:cs="Arial"/>
          <w:i/>
          <w:color w:val="000000" w:themeColor="text1"/>
        </w:rPr>
        <w:t>Cost-effectiveness of Optimization</w:t>
      </w:r>
      <w:bookmarkEnd w:id="99"/>
      <w:r>
        <w:rPr>
          <w:i/>
          <w:color w:val="000000" w:themeColor="text1"/>
        </w:rPr>
        <w:t xml:space="preserve"> </w:t>
      </w:r>
    </w:p>
    <w:p w14:paraId="3D4D901E" w14:textId="77777777" w:rsidR="00950828" w:rsidRPr="00950828" w:rsidRDefault="00950828" w:rsidP="00950828">
      <w:pPr>
        <w:spacing w:after="0"/>
      </w:pPr>
    </w:p>
    <w:p w14:paraId="15A12253" w14:textId="2FCF66EA" w:rsidR="00950828" w:rsidRPr="00BA0709" w:rsidRDefault="00950828" w:rsidP="00950828">
      <w:pPr>
        <w:spacing w:after="0"/>
        <w:rPr>
          <w:rFonts w:ascii="Arial" w:hAnsi="Arial" w:cs="Arial"/>
        </w:rPr>
      </w:pPr>
      <w:r>
        <w:rPr>
          <w:rFonts w:ascii="Arial" w:hAnsi="Arial" w:cs="Arial"/>
        </w:rPr>
        <w:t>Under O-</w:t>
      </w:r>
      <w:r w:rsidR="00116101">
        <w:rPr>
          <w:rFonts w:ascii="Arial" w:hAnsi="Arial" w:cs="Arial"/>
        </w:rPr>
        <w:t>CC</w:t>
      </w:r>
      <w:r>
        <w:rPr>
          <w:rFonts w:ascii="Arial" w:hAnsi="Arial" w:cs="Arial"/>
        </w:rPr>
        <w:t>F, impacts similar to those of the National Strategy could be achieved at just 6</w:t>
      </w:r>
      <w:r w:rsidR="00CE6F5D">
        <w:rPr>
          <w:rFonts w:ascii="Arial" w:hAnsi="Arial" w:cs="Arial"/>
        </w:rPr>
        <w:t>7</w:t>
      </w:r>
      <w:r>
        <w:rPr>
          <w:rFonts w:ascii="Arial" w:hAnsi="Arial" w:cs="Arial"/>
        </w:rPr>
        <w:t>% of the total costs of the NS. In the later years when the NS costs continue to grow, O-</w:t>
      </w:r>
      <w:r w:rsidR="00116101">
        <w:rPr>
          <w:rFonts w:ascii="Arial" w:hAnsi="Arial" w:cs="Arial"/>
        </w:rPr>
        <w:t>CC</w:t>
      </w:r>
      <w:r>
        <w:rPr>
          <w:rFonts w:ascii="Arial" w:hAnsi="Arial" w:cs="Arial"/>
        </w:rPr>
        <w:t>F looks even more attractive. In 2030, O-</w:t>
      </w:r>
      <w:r w:rsidR="00116101">
        <w:rPr>
          <w:rFonts w:ascii="Arial" w:hAnsi="Arial" w:cs="Arial"/>
        </w:rPr>
        <w:t>CC</w:t>
      </w:r>
      <w:r>
        <w:rPr>
          <w:rFonts w:ascii="Arial" w:hAnsi="Arial" w:cs="Arial"/>
        </w:rPr>
        <w:t>F would requiring a resource envelope of USD 46</w:t>
      </w:r>
      <w:r w:rsidR="00CE6F5D">
        <w:rPr>
          <w:rFonts w:ascii="Arial" w:hAnsi="Arial" w:cs="Arial"/>
        </w:rPr>
        <w:t>3</w:t>
      </w:r>
      <w:r>
        <w:rPr>
          <w:rFonts w:ascii="Arial" w:hAnsi="Arial" w:cs="Arial"/>
        </w:rPr>
        <w:t xml:space="preserve"> M annually compared to USD 839 M under the NS, a reduction of 4</w:t>
      </w:r>
      <w:r w:rsidR="00CE6F5D">
        <w:rPr>
          <w:rFonts w:ascii="Arial" w:hAnsi="Arial" w:cs="Arial"/>
        </w:rPr>
        <w:t>5</w:t>
      </w:r>
      <w:r w:rsidR="0075442F">
        <w:rPr>
          <w:rFonts w:ascii="Arial" w:hAnsi="Arial" w:cs="Arial"/>
        </w:rPr>
        <w:t>% (</w:t>
      </w:r>
      <w:r w:rsidR="0075442F" w:rsidRPr="0075442F">
        <w:rPr>
          <w:rFonts w:ascii="Arial" w:hAnsi="Arial" w:cs="Arial"/>
          <w:i/>
          <w:iCs/>
        </w:rPr>
        <w:t xml:space="preserve">Figure </w:t>
      </w:r>
      <w:r w:rsidR="007E576A">
        <w:rPr>
          <w:rFonts w:ascii="Arial" w:hAnsi="Arial" w:cs="Arial"/>
          <w:i/>
          <w:iCs/>
        </w:rPr>
        <w:t>5-12</w:t>
      </w:r>
      <w:r w:rsidR="0075442F">
        <w:rPr>
          <w:rFonts w:ascii="Arial" w:hAnsi="Arial" w:cs="Arial"/>
        </w:rPr>
        <w:t>).</w:t>
      </w:r>
    </w:p>
    <w:p w14:paraId="07132746" w14:textId="77777777" w:rsidR="007C1806" w:rsidRPr="008544A5" w:rsidRDefault="007C1806" w:rsidP="008544A5">
      <w:pPr>
        <w:spacing w:after="0"/>
        <w:rPr>
          <w:sz w:val="18"/>
        </w:rPr>
      </w:pPr>
    </w:p>
    <w:p w14:paraId="43AFE582" w14:textId="39D43130" w:rsidR="007C1806" w:rsidRPr="008544A5" w:rsidRDefault="005A4E64" w:rsidP="005A4E64">
      <w:pPr>
        <w:spacing w:after="0"/>
        <w:rPr>
          <w:rFonts w:ascii="Arial" w:hAnsi="Arial" w:cs="Arial"/>
          <w:i/>
          <w:sz w:val="18"/>
        </w:rPr>
      </w:pPr>
      <w:r w:rsidRPr="008544A5">
        <w:rPr>
          <w:noProof/>
          <w:sz w:val="18"/>
        </w:rPr>
        <w:drawing>
          <wp:anchor distT="0" distB="0" distL="114300" distR="114300" simplePos="0" relativeHeight="251693056" behindDoc="0" locked="0" layoutInCell="1" allowOverlap="1" wp14:anchorId="46E736EF" wp14:editId="21845ABE">
            <wp:simplePos x="0" y="0"/>
            <wp:positionH relativeFrom="column">
              <wp:posOffset>-22860</wp:posOffset>
            </wp:positionH>
            <wp:positionV relativeFrom="paragraph">
              <wp:posOffset>214630</wp:posOffset>
            </wp:positionV>
            <wp:extent cx="5532120" cy="2545080"/>
            <wp:effectExtent l="0" t="0" r="11430" b="7620"/>
            <wp:wrapTopAndBottom/>
            <wp:docPr id="91" name="Chart 91">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7C1806" w:rsidRPr="008544A5">
        <w:rPr>
          <w:rFonts w:ascii="Arial" w:hAnsi="Arial" w:cs="Arial"/>
          <w:i/>
          <w:sz w:val="18"/>
        </w:rPr>
        <w:t>Figure 5-</w:t>
      </w:r>
      <w:r w:rsidR="007E576A">
        <w:rPr>
          <w:rFonts w:ascii="Arial" w:hAnsi="Arial" w:cs="Arial"/>
          <w:i/>
          <w:sz w:val="18"/>
        </w:rPr>
        <w:t>12</w:t>
      </w:r>
      <w:r w:rsidR="0071346A">
        <w:rPr>
          <w:rFonts w:ascii="Arial" w:hAnsi="Arial" w:cs="Arial"/>
          <w:i/>
          <w:sz w:val="18"/>
        </w:rPr>
        <w:t>.</w:t>
      </w:r>
      <w:r w:rsidR="007C1806" w:rsidRPr="008544A5">
        <w:rPr>
          <w:rFonts w:ascii="Arial" w:hAnsi="Arial" w:cs="Arial"/>
          <w:i/>
          <w:sz w:val="18"/>
        </w:rPr>
        <w:t xml:space="preserve"> Resource needs</w:t>
      </w:r>
      <w:r w:rsidR="0071346A">
        <w:rPr>
          <w:rFonts w:ascii="Arial" w:hAnsi="Arial" w:cs="Arial"/>
          <w:i/>
          <w:sz w:val="18"/>
        </w:rPr>
        <w:t xml:space="preserve"> of O-</w:t>
      </w:r>
      <w:r w:rsidR="00116101">
        <w:rPr>
          <w:rFonts w:ascii="Arial" w:hAnsi="Arial" w:cs="Arial"/>
          <w:i/>
          <w:sz w:val="18"/>
        </w:rPr>
        <w:t>CC</w:t>
      </w:r>
      <w:r w:rsidR="0071346A">
        <w:rPr>
          <w:rFonts w:ascii="Arial" w:hAnsi="Arial" w:cs="Arial"/>
          <w:i/>
          <w:sz w:val="18"/>
        </w:rPr>
        <w:t xml:space="preserve">F compared to </w:t>
      </w:r>
      <w:r w:rsidR="00116101">
        <w:rPr>
          <w:rFonts w:ascii="Arial" w:hAnsi="Arial" w:cs="Arial"/>
          <w:i/>
          <w:sz w:val="18"/>
        </w:rPr>
        <w:t>CC and</w:t>
      </w:r>
      <w:r w:rsidR="0071346A">
        <w:rPr>
          <w:rFonts w:ascii="Arial" w:hAnsi="Arial" w:cs="Arial"/>
          <w:i/>
          <w:sz w:val="18"/>
        </w:rPr>
        <w:t xml:space="preserve"> NS</w:t>
      </w:r>
      <w:r w:rsidR="007C1806" w:rsidRPr="008544A5">
        <w:rPr>
          <w:rFonts w:ascii="Arial" w:hAnsi="Arial" w:cs="Arial"/>
          <w:i/>
          <w:sz w:val="18"/>
        </w:rPr>
        <w:t xml:space="preserve"> 2019-2030</w:t>
      </w:r>
    </w:p>
    <w:p w14:paraId="2E2AB59F" w14:textId="4E62A802" w:rsidR="00BA0709" w:rsidRPr="008F65EE" w:rsidRDefault="007C1806" w:rsidP="008F65EE">
      <w:r w:rsidRPr="007C1806">
        <w:t xml:space="preserve"> </w:t>
      </w:r>
    </w:p>
    <w:p w14:paraId="29A7EA25" w14:textId="75A85B2A" w:rsidR="006B6903" w:rsidRDefault="006B6903" w:rsidP="006B6903">
      <w:pPr>
        <w:pStyle w:val="ListParagraph"/>
        <w:spacing w:after="0"/>
        <w:ind w:left="0"/>
        <w:rPr>
          <w:rFonts w:ascii="Arial" w:hAnsi="Arial" w:cs="Arial"/>
        </w:rPr>
      </w:pPr>
      <w:r>
        <w:rPr>
          <w:rFonts w:ascii="Arial" w:hAnsi="Arial" w:cs="Arial"/>
        </w:rPr>
        <w:t xml:space="preserve">Compared to the </w:t>
      </w:r>
      <w:r w:rsidR="00C93968">
        <w:rPr>
          <w:rFonts w:ascii="Arial" w:hAnsi="Arial" w:cs="Arial"/>
        </w:rPr>
        <w:t>Constant Coverage</w:t>
      </w:r>
      <w:r>
        <w:rPr>
          <w:rFonts w:ascii="Arial" w:hAnsi="Arial" w:cs="Arial"/>
        </w:rPr>
        <w:t xml:space="preserve"> </w:t>
      </w:r>
      <w:r w:rsidR="00534FF7">
        <w:rPr>
          <w:rFonts w:ascii="Arial" w:hAnsi="Arial" w:cs="Arial"/>
        </w:rPr>
        <w:t>S</w:t>
      </w:r>
      <w:r>
        <w:rPr>
          <w:rFonts w:ascii="Arial" w:hAnsi="Arial" w:cs="Arial"/>
        </w:rPr>
        <w:t xml:space="preserve">cenario, </w:t>
      </w:r>
      <w:r w:rsidR="002F5376">
        <w:rPr>
          <w:rFonts w:ascii="Arial" w:hAnsi="Arial" w:cs="Arial"/>
        </w:rPr>
        <w:t>O-</w:t>
      </w:r>
      <w:r w:rsidR="00C93968">
        <w:rPr>
          <w:rFonts w:ascii="Arial" w:hAnsi="Arial" w:cs="Arial"/>
        </w:rPr>
        <w:t>CC</w:t>
      </w:r>
      <w:r w:rsidR="002F5376">
        <w:rPr>
          <w:rFonts w:ascii="Arial" w:hAnsi="Arial" w:cs="Arial"/>
        </w:rPr>
        <w:t xml:space="preserve">F </w:t>
      </w:r>
      <w:r>
        <w:rPr>
          <w:rFonts w:ascii="Arial" w:hAnsi="Arial" w:cs="Arial"/>
        </w:rPr>
        <w:t xml:space="preserve">would achieve significantly more impact, but for </w:t>
      </w:r>
      <w:r w:rsidR="00CE6F5D">
        <w:rPr>
          <w:rFonts w:ascii="Arial" w:hAnsi="Arial" w:cs="Arial"/>
        </w:rPr>
        <w:t>even less money</w:t>
      </w:r>
      <w:r>
        <w:rPr>
          <w:rFonts w:ascii="Arial" w:hAnsi="Arial" w:cs="Arial"/>
        </w:rPr>
        <w:t xml:space="preserve">. </w:t>
      </w:r>
      <w:r w:rsidR="00CE6F5D">
        <w:rPr>
          <w:rFonts w:ascii="Arial" w:hAnsi="Arial" w:cs="Arial"/>
        </w:rPr>
        <w:t>In cost-effectiveness terms, the</w:t>
      </w:r>
      <w:r>
        <w:rPr>
          <w:rFonts w:ascii="Arial" w:hAnsi="Arial" w:cs="Arial"/>
        </w:rPr>
        <w:t xml:space="preserve"> </w:t>
      </w:r>
      <w:r w:rsidR="002F5376">
        <w:rPr>
          <w:rFonts w:ascii="Arial" w:hAnsi="Arial" w:cs="Arial"/>
        </w:rPr>
        <w:t>O-</w:t>
      </w:r>
      <w:r w:rsidR="00C93968">
        <w:rPr>
          <w:rFonts w:ascii="Arial" w:hAnsi="Arial" w:cs="Arial"/>
        </w:rPr>
        <w:t>CC</w:t>
      </w:r>
      <w:r w:rsidR="002F5376">
        <w:rPr>
          <w:rFonts w:ascii="Arial" w:hAnsi="Arial" w:cs="Arial"/>
        </w:rPr>
        <w:t>F</w:t>
      </w:r>
      <w:r>
        <w:rPr>
          <w:rFonts w:ascii="Arial" w:hAnsi="Arial" w:cs="Arial"/>
        </w:rPr>
        <w:t xml:space="preserve"> </w:t>
      </w:r>
      <w:r w:rsidR="00CE6F5D">
        <w:rPr>
          <w:rFonts w:ascii="Arial" w:hAnsi="Arial" w:cs="Arial"/>
        </w:rPr>
        <w:t xml:space="preserve">scenario </w:t>
      </w:r>
      <w:r>
        <w:rPr>
          <w:rFonts w:ascii="Arial" w:hAnsi="Arial" w:cs="Arial"/>
        </w:rPr>
        <w:t>dominat</w:t>
      </w:r>
      <w:r w:rsidR="00CE6F5D">
        <w:rPr>
          <w:rFonts w:ascii="Arial" w:hAnsi="Arial" w:cs="Arial"/>
        </w:rPr>
        <w:t>es</w:t>
      </w:r>
      <w:r>
        <w:rPr>
          <w:rFonts w:ascii="Arial" w:hAnsi="Arial" w:cs="Arial"/>
        </w:rPr>
        <w:t xml:space="preserve"> the </w:t>
      </w:r>
      <w:r w:rsidR="00C93968">
        <w:rPr>
          <w:rFonts w:ascii="Arial" w:hAnsi="Arial" w:cs="Arial"/>
        </w:rPr>
        <w:t>Constant Coverage scenario</w:t>
      </w:r>
      <w:r w:rsidR="00CE6F5D">
        <w:rPr>
          <w:rFonts w:ascii="Arial" w:hAnsi="Arial" w:cs="Arial"/>
        </w:rPr>
        <w:t xml:space="preserve"> as cost-saving with higher impact</w:t>
      </w:r>
      <w:r w:rsidR="002F5376">
        <w:rPr>
          <w:rFonts w:ascii="Arial" w:hAnsi="Arial" w:cs="Arial"/>
        </w:rPr>
        <w:t>, as</w:t>
      </w:r>
      <w:r w:rsidR="0044237A">
        <w:rPr>
          <w:rFonts w:ascii="Arial" w:hAnsi="Arial" w:cs="Arial"/>
        </w:rPr>
        <w:t xml:space="preserve"> </w:t>
      </w:r>
      <w:r>
        <w:rPr>
          <w:rFonts w:ascii="Arial" w:hAnsi="Arial" w:cs="Arial"/>
        </w:rPr>
        <w:t xml:space="preserve">shown in </w:t>
      </w:r>
      <w:r w:rsidR="00C86D0D" w:rsidRPr="008F65EE">
        <w:rPr>
          <w:rFonts w:ascii="Arial" w:hAnsi="Arial" w:cs="Arial"/>
          <w:i/>
        </w:rPr>
        <w:t>Figure</w:t>
      </w:r>
      <w:r w:rsidR="007C1806" w:rsidRPr="008F65EE">
        <w:rPr>
          <w:rFonts w:ascii="Arial" w:hAnsi="Arial" w:cs="Arial"/>
          <w:i/>
        </w:rPr>
        <w:t xml:space="preserve"> 5-</w:t>
      </w:r>
      <w:r w:rsidR="007E576A">
        <w:rPr>
          <w:rFonts w:ascii="Arial" w:hAnsi="Arial" w:cs="Arial"/>
          <w:i/>
        </w:rPr>
        <w:t>13</w:t>
      </w:r>
      <w:r w:rsidRPr="008F65EE">
        <w:rPr>
          <w:rFonts w:ascii="Arial" w:hAnsi="Arial" w:cs="Arial"/>
          <w:i/>
        </w:rPr>
        <w:t>.</w:t>
      </w:r>
      <w:r w:rsidR="00497C1C">
        <w:rPr>
          <w:rFonts w:ascii="Arial" w:hAnsi="Arial" w:cs="Arial"/>
        </w:rPr>
        <w:t xml:space="preserve"> </w:t>
      </w:r>
      <w:r w:rsidR="00CE6F5D">
        <w:rPr>
          <w:rFonts w:ascii="Arial" w:hAnsi="Arial" w:cs="Arial"/>
        </w:rPr>
        <w:t>If the Optimization approaches are feasible, this assessment would suggest that the O-CCF scenario should be adopted over the CC.</w:t>
      </w:r>
    </w:p>
    <w:p w14:paraId="244E884F" w14:textId="73D005BA" w:rsidR="00497C1C" w:rsidRDefault="00497C1C" w:rsidP="006B6903">
      <w:pPr>
        <w:pStyle w:val="ListParagraph"/>
        <w:spacing w:after="0"/>
        <w:ind w:left="0"/>
        <w:rPr>
          <w:rFonts w:ascii="Arial" w:hAnsi="Arial" w:cs="Arial"/>
        </w:rPr>
      </w:pPr>
    </w:p>
    <w:p w14:paraId="2E8DBDBC" w14:textId="262FC4AE" w:rsidR="006B6903" w:rsidRDefault="00C86D0D" w:rsidP="006B6903">
      <w:pPr>
        <w:pStyle w:val="ListParagraph"/>
        <w:spacing w:after="0"/>
        <w:ind w:left="0"/>
        <w:rPr>
          <w:rFonts w:ascii="Arial" w:hAnsi="Arial" w:cs="Arial"/>
        </w:rPr>
      </w:pPr>
      <w:r>
        <w:rPr>
          <w:rFonts w:ascii="Arial" w:hAnsi="Arial" w:cs="Arial"/>
          <w:i/>
          <w:sz w:val="18"/>
        </w:rPr>
        <w:t>Figure</w:t>
      </w:r>
      <w:r w:rsidR="00497C1C" w:rsidRPr="008544A5">
        <w:rPr>
          <w:rFonts w:ascii="Arial" w:hAnsi="Arial" w:cs="Arial"/>
          <w:i/>
          <w:sz w:val="18"/>
        </w:rPr>
        <w:t xml:space="preserve"> </w:t>
      </w:r>
      <w:r w:rsidR="007C1806">
        <w:rPr>
          <w:rFonts w:ascii="Arial" w:hAnsi="Arial" w:cs="Arial"/>
          <w:i/>
          <w:sz w:val="18"/>
        </w:rPr>
        <w:t>5-</w:t>
      </w:r>
      <w:r w:rsidR="007E576A">
        <w:rPr>
          <w:rFonts w:ascii="Arial" w:hAnsi="Arial" w:cs="Arial"/>
          <w:i/>
          <w:sz w:val="18"/>
        </w:rPr>
        <w:t>13</w:t>
      </w:r>
      <w:r w:rsidR="0071346A">
        <w:rPr>
          <w:rFonts w:ascii="Arial" w:hAnsi="Arial" w:cs="Arial"/>
          <w:i/>
          <w:sz w:val="18"/>
        </w:rPr>
        <w:t>.</w:t>
      </w:r>
      <w:r w:rsidR="00497C1C" w:rsidRPr="008544A5">
        <w:rPr>
          <w:rFonts w:ascii="Arial" w:hAnsi="Arial" w:cs="Arial"/>
          <w:i/>
          <w:sz w:val="18"/>
        </w:rPr>
        <w:t xml:space="preserve"> Cost-effectiveness of </w:t>
      </w:r>
      <w:r w:rsidR="00E46497">
        <w:rPr>
          <w:rFonts w:ascii="Arial" w:hAnsi="Arial" w:cs="Arial"/>
          <w:i/>
          <w:sz w:val="18"/>
        </w:rPr>
        <w:t>Optimization-</w:t>
      </w:r>
      <w:r w:rsidR="00C93968">
        <w:rPr>
          <w:rFonts w:ascii="Arial" w:hAnsi="Arial" w:cs="Arial"/>
          <w:i/>
          <w:sz w:val="18"/>
        </w:rPr>
        <w:t>Constant Coverage</w:t>
      </w:r>
      <w:r w:rsidR="00E46497">
        <w:rPr>
          <w:rFonts w:ascii="Arial" w:hAnsi="Arial" w:cs="Arial"/>
          <w:i/>
          <w:sz w:val="18"/>
        </w:rPr>
        <w:t xml:space="preserve"> Funding</w:t>
      </w:r>
      <w:r w:rsidR="002F5376" w:rsidRPr="008544A5">
        <w:rPr>
          <w:rFonts w:ascii="Arial" w:hAnsi="Arial" w:cs="Arial"/>
          <w:i/>
          <w:sz w:val="18"/>
        </w:rPr>
        <w:t xml:space="preserve"> </w:t>
      </w:r>
      <w:r w:rsidR="00497C1C" w:rsidRPr="008544A5">
        <w:rPr>
          <w:rFonts w:ascii="Arial" w:hAnsi="Arial" w:cs="Arial"/>
          <w:i/>
          <w:sz w:val="18"/>
        </w:rPr>
        <w:t xml:space="preserve">vs </w:t>
      </w:r>
      <w:r w:rsidR="00C93968">
        <w:rPr>
          <w:rFonts w:ascii="Arial" w:hAnsi="Arial" w:cs="Arial"/>
          <w:i/>
          <w:sz w:val="18"/>
        </w:rPr>
        <w:t>Constant Coverage</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635"/>
        <w:gridCol w:w="1463"/>
        <w:gridCol w:w="1893"/>
        <w:gridCol w:w="1724"/>
        <w:gridCol w:w="2068"/>
      </w:tblGrid>
      <w:tr w:rsidR="00BC2FC5" w:rsidRPr="00444084" w14:paraId="2306F789" w14:textId="77777777" w:rsidTr="00BC2FC5">
        <w:trPr>
          <w:trHeight w:val="207"/>
        </w:trPr>
        <w:tc>
          <w:tcPr>
            <w:tcW w:w="1200" w:type="dxa"/>
            <w:shd w:val="clear" w:color="auto" w:fill="C00000"/>
            <w:noWrap/>
            <w:vAlign w:val="bottom"/>
            <w:hideMark/>
          </w:tcPr>
          <w:p w14:paraId="78516543" w14:textId="77777777" w:rsidR="006B6903" w:rsidRPr="00444084" w:rsidRDefault="006B6903" w:rsidP="0007051B">
            <w:pPr>
              <w:spacing w:after="0" w:line="240" w:lineRule="auto"/>
              <w:rPr>
                <w:rFonts w:ascii="Arial" w:eastAsia="Times New Roman" w:hAnsi="Arial" w:cs="Arial"/>
                <w:color w:val="FFFFFF" w:themeColor="background1"/>
                <w:sz w:val="18"/>
                <w:szCs w:val="24"/>
              </w:rPr>
            </w:pPr>
          </w:p>
        </w:tc>
        <w:tc>
          <w:tcPr>
            <w:tcW w:w="1635" w:type="dxa"/>
            <w:shd w:val="clear" w:color="auto" w:fill="C00000"/>
            <w:noWrap/>
            <w:vAlign w:val="center"/>
            <w:hideMark/>
          </w:tcPr>
          <w:p w14:paraId="1C6D905F" w14:textId="0EF52E0E" w:rsidR="00BC2FC5" w:rsidRDefault="006B6903"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 xml:space="preserve">Total cost </w:t>
            </w:r>
          </w:p>
          <w:p w14:paraId="6EF47D04" w14:textId="1BE22BB0" w:rsidR="0075442F" w:rsidRPr="00444084" w:rsidRDefault="0075442F" w:rsidP="0007051B">
            <w:pPr>
              <w:spacing w:after="0" w:line="240" w:lineRule="auto"/>
              <w:jc w:val="center"/>
              <w:rPr>
                <w:rFonts w:ascii="Arial" w:eastAsia="Times New Roman" w:hAnsi="Arial" w:cs="Arial"/>
                <w:b/>
                <w:color w:val="FFFFFF" w:themeColor="background1"/>
                <w:sz w:val="18"/>
                <w:szCs w:val="22"/>
              </w:rPr>
            </w:pPr>
            <w:r>
              <w:rPr>
                <w:rFonts w:ascii="Arial" w:eastAsia="Times New Roman" w:hAnsi="Arial" w:cs="Arial"/>
                <w:b/>
                <w:color w:val="FFFFFF" w:themeColor="background1"/>
                <w:sz w:val="18"/>
                <w:szCs w:val="22"/>
              </w:rPr>
              <w:t>2019-2030</w:t>
            </w:r>
          </w:p>
          <w:p w14:paraId="65A6B240" w14:textId="641F3628" w:rsidR="006B6903" w:rsidRPr="00444084" w:rsidRDefault="006B6903"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(USD M)</w:t>
            </w:r>
          </w:p>
        </w:tc>
        <w:tc>
          <w:tcPr>
            <w:tcW w:w="1463" w:type="dxa"/>
            <w:shd w:val="clear" w:color="auto" w:fill="C00000"/>
            <w:noWrap/>
            <w:vAlign w:val="center"/>
            <w:hideMark/>
          </w:tcPr>
          <w:p w14:paraId="72CBF0BE" w14:textId="77777777" w:rsidR="00BC2FC5" w:rsidRPr="00444084" w:rsidRDefault="006B6903"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Incremental cost</w:t>
            </w:r>
          </w:p>
          <w:p w14:paraId="47112547" w14:textId="51CAF954" w:rsidR="006B6903" w:rsidRPr="00444084" w:rsidRDefault="00BC2FC5"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 xml:space="preserve"> (USD M)</w:t>
            </w:r>
          </w:p>
        </w:tc>
        <w:tc>
          <w:tcPr>
            <w:tcW w:w="1893" w:type="dxa"/>
            <w:shd w:val="clear" w:color="auto" w:fill="C00000"/>
            <w:noWrap/>
            <w:vAlign w:val="center"/>
            <w:hideMark/>
          </w:tcPr>
          <w:p w14:paraId="11818038" w14:textId="77777777" w:rsidR="00BC2FC5" w:rsidRPr="00444084" w:rsidRDefault="006B6903"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 xml:space="preserve">Infections </w:t>
            </w:r>
          </w:p>
          <w:p w14:paraId="77D00170" w14:textId="07A9A091" w:rsidR="006B6903" w:rsidRPr="00444084" w:rsidRDefault="006B6903"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2019-2030</w:t>
            </w:r>
          </w:p>
        </w:tc>
        <w:tc>
          <w:tcPr>
            <w:tcW w:w="1724" w:type="dxa"/>
            <w:shd w:val="clear" w:color="auto" w:fill="C00000"/>
            <w:noWrap/>
            <w:vAlign w:val="center"/>
            <w:hideMark/>
          </w:tcPr>
          <w:p w14:paraId="01D40E11" w14:textId="10E56DB7" w:rsidR="006B6903" w:rsidRPr="00444084"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Additional</w:t>
            </w:r>
            <w:r w:rsidR="006B6903" w:rsidRPr="00444084">
              <w:rPr>
                <w:rFonts w:ascii="Arial" w:eastAsia="Times New Roman" w:hAnsi="Arial" w:cs="Arial"/>
                <w:b/>
                <w:color w:val="FFFFFF" w:themeColor="background1"/>
                <w:sz w:val="18"/>
                <w:szCs w:val="22"/>
              </w:rPr>
              <w:t xml:space="preserve"> infections averted</w:t>
            </w:r>
          </w:p>
        </w:tc>
        <w:tc>
          <w:tcPr>
            <w:tcW w:w="2068" w:type="dxa"/>
            <w:shd w:val="clear" w:color="auto" w:fill="C00000"/>
            <w:noWrap/>
            <w:vAlign w:val="center"/>
            <w:hideMark/>
          </w:tcPr>
          <w:p w14:paraId="37376CFE" w14:textId="77777777" w:rsidR="00BC2FC5" w:rsidRPr="00444084" w:rsidRDefault="006B6903"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ICER</w:t>
            </w:r>
            <w:r w:rsidR="00BC2FC5" w:rsidRPr="00444084">
              <w:rPr>
                <w:rFonts w:ascii="Arial" w:eastAsia="Times New Roman" w:hAnsi="Arial" w:cs="Arial"/>
                <w:b/>
                <w:color w:val="FFFFFF" w:themeColor="background1"/>
                <w:sz w:val="18"/>
                <w:szCs w:val="22"/>
              </w:rPr>
              <w:t xml:space="preserve"> </w:t>
            </w:r>
          </w:p>
          <w:p w14:paraId="3F2C56B3" w14:textId="7B1D86AB" w:rsidR="006B6903" w:rsidRPr="00444084" w:rsidRDefault="00BC2FC5"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(USD per additional infection averted)</w:t>
            </w:r>
          </w:p>
        </w:tc>
      </w:tr>
      <w:tr w:rsidR="006B6903" w:rsidRPr="00444084" w14:paraId="003D4AC9" w14:textId="77777777" w:rsidTr="00444084">
        <w:trPr>
          <w:trHeight w:val="207"/>
        </w:trPr>
        <w:tc>
          <w:tcPr>
            <w:tcW w:w="1200" w:type="dxa"/>
            <w:shd w:val="clear" w:color="auto" w:fill="auto"/>
            <w:noWrap/>
            <w:vAlign w:val="center"/>
            <w:hideMark/>
          </w:tcPr>
          <w:p w14:paraId="5D52F977" w14:textId="50534093" w:rsidR="006B6903" w:rsidRPr="00444084" w:rsidRDefault="00C93968" w:rsidP="0007051B">
            <w:pPr>
              <w:spacing w:after="0" w:line="240" w:lineRule="auto"/>
              <w:rPr>
                <w:rFonts w:ascii="Arial" w:eastAsia="Times New Roman" w:hAnsi="Arial" w:cs="Arial"/>
                <w:b/>
                <w:color w:val="000000"/>
                <w:sz w:val="18"/>
                <w:szCs w:val="22"/>
              </w:rPr>
            </w:pPr>
            <w:r>
              <w:rPr>
                <w:rFonts w:ascii="Arial" w:eastAsia="Times New Roman" w:hAnsi="Arial" w:cs="Arial"/>
                <w:b/>
                <w:color w:val="000000"/>
                <w:sz w:val="18"/>
                <w:szCs w:val="22"/>
              </w:rPr>
              <w:t>CC</w:t>
            </w:r>
          </w:p>
        </w:tc>
        <w:tc>
          <w:tcPr>
            <w:tcW w:w="1635" w:type="dxa"/>
            <w:shd w:val="clear" w:color="auto" w:fill="auto"/>
            <w:noWrap/>
            <w:vAlign w:val="center"/>
            <w:hideMark/>
          </w:tcPr>
          <w:p w14:paraId="53393AFF" w14:textId="77777777" w:rsidR="006B6903" w:rsidRPr="00444084" w:rsidRDefault="006B6903"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5,783</w:t>
            </w:r>
          </w:p>
        </w:tc>
        <w:tc>
          <w:tcPr>
            <w:tcW w:w="1463" w:type="dxa"/>
            <w:shd w:val="clear" w:color="auto" w:fill="auto"/>
            <w:noWrap/>
            <w:vAlign w:val="center"/>
            <w:hideMark/>
          </w:tcPr>
          <w:p w14:paraId="559930A3" w14:textId="77777777" w:rsidR="006B6903" w:rsidRPr="00444084" w:rsidRDefault="006B6903"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w:t>
            </w:r>
          </w:p>
        </w:tc>
        <w:tc>
          <w:tcPr>
            <w:tcW w:w="1893" w:type="dxa"/>
            <w:shd w:val="clear" w:color="auto" w:fill="auto"/>
            <w:noWrap/>
            <w:vAlign w:val="center"/>
            <w:hideMark/>
          </w:tcPr>
          <w:p w14:paraId="70EBBB8C" w14:textId="292D4F7E" w:rsidR="006B6903" w:rsidRPr="00444084" w:rsidRDefault="006B6903"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53</w:t>
            </w:r>
            <w:r w:rsidR="00032469" w:rsidRPr="00444084">
              <w:rPr>
                <w:rFonts w:ascii="Arial" w:eastAsia="Times New Roman" w:hAnsi="Arial" w:cs="Arial"/>
                <w:color w:val="000000"/>
                <w:sz w:val="18"/>
                <w:szCs w:val="22"/>
              </w:rPr>
              <w:t>3,000</w:t>
            </w:r>
          </w:p>
        </w:tc>
        <w:tc>
          <w:tcPr>
            <w:tcW w:w="1724" w:type="dxa"/>
            <w:shd w:val="clear" w:color="auto" w:fill="auto"/>
            <w:noWrap/>
            <w:vAlign w:val="center"/>
            <w:hideMark/>
          </w:tcPr>
          <w:p w14:paraId="1E86DE00" w14:textId="77777777" w:rsidR="006B6903" w:rsidRPr="00444084" w:rsidRDefault="006B6903"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w:t>
            </w:r>
          </w:p>
        </w:tc>
        <w:tc>
          <w:tcPr>
            <w:tcW w:w="2068" w:type="dxa"/>
            <w:shd w:val="clear" w:color="auto" w:fill="auto"/>
            <w:noWrap/>
            <w:vAlign w:val="center"/>
            <w:hideMark/>
          </w:tcPr>
          <w:p w14:paraId="36FF6E75" w14:textId="77777777" w:rsidR="006B6903" w:rsidRPr="00444084" w:rsidRDefault="006B6903" w:rsidP="0007051B">
            <w:pPr>
              <w:spacing w:after="0" w:line="240" w:lineRule="auto"/>
              <w:jc w:val="center"/>
              <w:rPr>
                <w:rFonts w:ascii="Arial" w:eastAsia="Times New Roman" w:hAnsi="Arial" w:cs="Arial"/>
                <w:sz w:val="18"/>
              </w:rPr>
            </w:pPr>
            <w:r w:rsidRPr="00444084">
              <w:rPr>
                <w:rFonts w:ascii="Arial" w:eastAsia="Times New Roman" w:hAnsi="Arial" w:cs="Arial"/>
                <w:sz w:val="18"/>
              </w:rPr>
              <w:t>--</w:t>
            </w:r>
          </w:p>
        </w:tc>
      </w:tr>
      <w:tr w:rsidR="006B6903" w:rsidRPr="00444084" w14:paraId="7B142897" w14:textId="77777777" w:rsidTr="00444084">
        <w:trPr>
          <w:trHeight w:val="207"/>
        </w:trPr>
        <w:tc>
          <w:tcPr>
            <w:tcW w:w="1200" w:type="dxa"/>
            <w:shd w:val="clear" w:color="auto" w:fill="auto"/>
            <w:noWrap/>
            <w:vAlign w:val="center"/>
            <w:hideMark/>
          </w:tcPr>
          <w:p w14:paraId="4A6AB10C" w14:textId="7DC444FB" w:rsidR="006B6903" w:rsidRPr="00444084" w:rsidRDefault="00E46497" w:rsidP="0007051B">
            <w:pPr>
              <w:spacing w:after="0" w:line="240" w:lineRule="auto"/>
              <w:rPr>
                <w:rFonts w:ascii="Arial" w:eastAsia="Times New Roman" w:hAnsi="Arial" w:cs="Arial"/>
                <w:b/>
                <w:color w:val="000000"/>
                <w:sz w:val="18"/>
                <w:szCs w:val="22"/>
              </w:rPr>
            </w:pPr>
            <w:r w:rsidRPr="00444084">
              <w:rPr>
                <w:rFonts w:ascii="Arial" w:eastAsia="Times New Roman" w:hAnsi="Arial" w:cs="Arial"/>
                <w:b/>
                <w:color w:val="000000"/>
                <w:sz w:val="18"/>
                <w:szCs w:val="22"/>
              </w:rPr>
              <w:t>O-</w:t>
            </w:r>
            <w:r w:rsidR="00C93968">
              <w:rPr>
                <w:rFonts w:ascii="Arial" w:eastAsia="Times New Roman" w:hAnsi="Arial" w:cs="Arial"/>
                <w:b/>
                <w:color w:val="000000"/>
                <w:sz w:val="18"/>
                <w:szCs w:val="22"/>
              </w:rPr>
              <w:t>CC</w:t>
            </w:r>
            <w:r w:rsidRPr="00444084">
              <w:rPr>
                <w:rFonts w:ascii="Arial" w:eastAsia="Times New Roman" w:hAnsi="Arial" w:cs="Arial"/>
                <w:b/>
                <w:color w:val="000000"/>
                <w:sz w:val="18"/>
                <w:szCs w:val="22"/>
              </w:rPr>
              <w:t>F</w:t>
            </w:r>
          </w:p>
        </w:tc>
        <w:tc>
          <w:tcPr>
            <w:tcW w:w="1635" w:type="dxa"/>
            <w:shd w:val="clear" w:color="auto" w:fill="auto"/>
            <w:noWrap/>
            <w:vAlign w:val="center"/>
            <w:hideMark/>
          </w:tcPr>
          <w:p w14:paraId="7A1703C1" w14:textId="5738F00B" w:rsidR="006B6903" w:rsidRPr="00444084" w:rsidRDefault="006B6903"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5,</w:t>
            </w:r>
            <w:r w:rsidR="00CE6F5D">
              <w:rPr>
                <w:rFonts w:ascii="Arial" w:eastAsia="Times New Roman" w:hAnsi="Arial" w:cs="Arial"/>
                <w:color w:val="000000"/>
                <w:sz w:val="18"/>
                <w:szCs w:val="22"/>
              </w:rPr>
              <w:t>461</w:t>
            </w:r>
          </w:p>
        </w:tc>
        <w:tc>
          <w:tcPr>
            <w:tcW w:w="1463" w:type="dxa"/>
            <w:shd w:val="clear" w:color="auto" w:fill="auto"/>
            <w:noWrap/>
            <w:vAlign w:val="center"/>
            <w:hideMark/>
          </w:tcPr>
          <w:p w14:paraId="5FF80F01" w14:textId="0D22D023" w:rsidR="006B6903"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w:t>
            </w:r>
            <w:r w:rsidR="00CE6F5D">
              <w:rPr>
                <w:rFonts w:ascii="Arial" w:eastAsia="Times New Roman" w:hAnsi="Arial" w:cs="Arial"/>
                <w:color w:val="000000"/>
                <w:sz w:val="18"/>
                <w:szCs w:val="22"/>
              </w:rPr>
              <w:t>322</w:t>
            </w:r>
          </w:p>
        </w:tc>
        <w:tc>
          <w:tcPr>
            <w:tcW w:w="1893" w:type="dxa"/>
            <w:shd w:val="clear" w:color="auto" w:fill="auto"/>
            <w:noWrap/>
            <w:vAlign w:val="center"/>
            <w:hideMark/>
          </w:tcPr>
          <w:p w14:paraId="4A6477FF" w14:textId="4A4F50DE" w:rsidR="006B6903"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290,0</w:t>
            </w:r>
            <w:r w:rsidR="00032469" w:rsidRPr="00444084">
              <w:rPr>
                <w:rFonts w:ascii="Arial" w:eastAsia="Times New Roman" w:hAnsi="Arial" w:cs="Arial"/>
                <w:color w:val="000000"/>
                <w:sz w:val="18"/>
                <w:szCs w:val="22"/>
              </w:rPr>
              <w:t>00</w:t>
            </w:r>
          </w:p>
        </w:tc>
        <w:tc>
          <w:tcPr>
            <w:tcW w:w="1724" w:type="dxa"/>
            <w:shd w:val="clear" w:color="auto" w:fill="auto"/>
            <w:noWrap/>
            <w:vAlign w:val="center"/>
            <w:hideMark/>
          </w:tcPr>
          <w:p w14:paraId="6674EC93" w14:textId="5FDE220C" w:rsidR="006B6903"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24</w:t>
            </w:r>
            <w:r w:rsidR="00E8612E" w:rsidRPr="00444084">
              <w:rPr>
                <w:rFonts w:ascii="Arial" w:eastAsia="Times New Roman" w:hAnsi="Arial" w:cs="Arial"/>
                <w:color w:val="000000"/>
                <w:sz w:val="18"/>
                <w:szCs w:val="22"/>
              </w:rPr>
              <w:t>3,000</w:t>
            </w:r>
          </w:p>
          <w:p w14:paraId="0B5C5B4A" w14:textId="7E46353A" w:rsidR="00497C1C" w:rsidRPr="00444084" w:rsidRDefault="00497C1C" w:rsidP="0007051B">
            <w:pPr>
              <w:spacing w:after="0" w:line="240" w:lineRule="auto"/>
              <w:jc w:val="center"/>
              <w:rPr>
                <w:rFonts w:ascii="Arial" w:eastAsia="Times New Roman" w:hAnsi="Arial" w:cs="Arial"/>
                <w:color w:val="000000"/>
                <w:sz w:val="18"/>
                <w:szCs w:val="22"/>
              </w:rPr>
            </w:pPr>
          </w:p>
        </w:tc>
        <w:tc>
          <w:tcPr>
            <w:tcW w:w="2068" w:type="dxa"/>
            <w:shd w:val="clear" w:color="auto" w:fill="auto"/>
            <w:noWrap/>
            <w:vAlign w:val="center"/>
            <w:hideMark/>
          </w:tcPr>
          <w:p w14:paraId="7126DDB4" w14:textId="67CD188C" w:rsidR="006B6903"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-88</w:t>
            </w:r>
            <w:r w:rsidR="00BC2FC5" w:rsidRPr="00444084">
              <w:rPr>
                <w:rFonts w:ascii="Arial" w:eastAsia="Times New Roman" w:hAnsi="Arial" w:cs="Arial"/>
                <w:color w:val="000000"/>
                <w:sz w:val="18"/>
                <w:szCs w:val="22"/>
              </w:rPr>
              <w:t>1</w:t>
            </w:r>
          </w:p>
        </w:tc>
      </w:tr>
    </w:tbl>
    <w:p w14:paraId="414E6A50" w14:textId="34E962BF" w:rsidR="006B6903" w:rsidRDefault="006B6903" w:rsidP="006B6903">
      <w:pPr>
        <w:pStyle w:val="ListParagraph"/>
        <w:spacing w:after="0"/>
        <w:ind w:left="0"/>
        <w:rPr>
          <w:rFonts w:ascii="Arial" w:hAnsi="Arial" w:cs="Arial"/>
        </w:rPr>
      </w:pPr>
    </w:p>
    <w:p w14:paraId="7490E9E9" w14:textId="5765B5B2" w:rsidR="00497C1C" w:rsidRDefault="00497C1C" w:rsidP="006B6903">
      <w:pPr>
        <w:pStyle w:val="ListParagraph"/>
        <w:spacing w:after="0"/>
        <w:ind w:left="0"/>
        <w:rPr>
          <w:rFonts w:ascii="Arial" w:hAnsi="Arial" w:cs="Arial"/>
        </w:rPr>
      </w:pPr>
      <w:r>
        <w:rPr>
          <w:rFonts w:ascii="Arial" w:hAnsi="Arial" w:cs="Arial"/>
        </w:rPr>
        <w:t xml:space="preserve">Compared to the National Strategy, </w:t>
      </w:r>
      <w:r w:rsidR="00CE6F5D">
        <w:rPr>
          <w:rFonts w:ascii="Arial" w:hAnsi="Arial" w:cs="Arial"/>
        </w:rPr>
        <w:t xml:space="preserve">the </w:t>
      </w:r>
      <w:r w:rsidR="002F5376">
        <w:rPr>
          <w:rFonts w:ascii="Arial" w:hAnsi="Arial" w:cs="Arial"/>
        </w:rPr>
        <w:t>O-</w:t>
      </w:r>
      <w:r w:rsidR="00C93968">
        <w:rPr>
          <w:rFonts w:ascii="Arial" w:hAnsi="Arial" w:cs="Arial"/>
        </w:rPr>
        <w:t>CC</w:t>
      </w:r>
      <w:r w:rsidR="002F5376">
        <w:rPr>
          <w:rFonts w:ascii="Arial" w:hAnsi="Arial" w:cs="Arial"/>
        </w:rPr>
        <w:t xml:space="preserve">F </w:t>
      </w:r>
      <w:r w:rsidR="00CE6F5D">
        <w:rPr>
          <w:rFonts w:ascii="Arial" w:hAnsi="Arial" w:cs="Arial"/>
        </w:rPr>
        <w:t xml:space="preserve">also </w:t>
      </w:r>
      <w:r>
        <w:rPr>
          <w:rFonts w:ascii="Arial" w:hAnsi="Arial" w:cs="Arial"/>
        </w:rPr>
        <w:t xml:space="preserve">appears </w:t>
      </w:r>
      <w:r w:rsidR="00CE6F5D">
        <w:rPr>
          <w:rFonts w:ascii="Arial" w:hAnsi="Arial" w:cs="Arial"/>
        </w:rPr>
        <w:t>to be a cost-effective</w:t>
      </w:r>
      <w:r>
        <w:rPr>
          <w:rFonts w:ascii="Arial" w:hAnsi="Arial" w:cs="Arial"/>
        </w:rPr>
        <w:t xml:space="preserve"> </w:t>
      </w:r>
      <w:r w:rsidR="00CE6F5D">
        <w:rPr>
          <w:rFonts w:ascii="Arial" w:hAnsi="Arial" w:cs="Arial"/>
        </w:rPr>
        <w:t>choice for a resource constrained environment</w:t>
      </w:r>
      <w:r>
        <w:rPr>
          <w:rFonts w:ascii="Arial" w:hAnsi="Arial" w:cs="Arial"/>
        </w:rPr>
        <w:t xml:space="preserve">. The </w:t>
      </w:r>
      <w:r w:rsidR="002F5376">
        <w:rPr>
          <w:rFonts w:ascii="Arial" w:hAnsi="Arial" w:cs="Arial"/>
        </w:rPr>
        <w:t>NS</w:t>
      </w:r>
      <w:r>
        <w:rPr>
          <w:rFonts w:ascii="Arial" w:hAnsi="Arial" w:cs="Arial"/>
        </w:rPr>
        <w:t xml:space="preserve"> does avert slightly more infections (12,</w:t>
      </w:r>
      <w:r w:rsidR="00E8612E">
        <w:rPr>
          <w:rFonts w:ascii="Arial" w:hAnsi="Arial" w:cs="Arial"/>
        </w:rPr>
        <w:t>000</w:t>
      </w:r>
      <w:r>
        <w:rPr>
          <w:rFonts w:ascii="Arial" w:hAnsi="Arial" w:cs="Arial"/>
        </w:rPr>
        <w:t xml:space="preserve">) than </w:t>
      </w:r>
      <w:r w:rsidR="002F5376">
        <w:rPr>
          <w:rFonts w:ascii="Arial" w:hAnsi="Arial" w:cs="Arial"/>
        </w:rPr>
        <w:t>O-</w:t>
      </w:r>
      <w:r w:rsidR="00C93968">
        <w:rPr>
          <w:rFonts w:ascii="Arial" w:hAnsi="Arial" w:cs="Arial"/>
        </w:rPr>
        <w:t>CC</w:t>
      </w:r>
      <w:r w:rsidR="002F5376">
        <w:rPr>
          <w:rFonts w:ascii="Arial" w:hAnsi="Arial" w:cs="Arial"/>
        </w:rPr>
        <w:t>F</w:t>
      </w:r>
      <w:r>
        <w:rPr>
          <w:rFonts w:ascii="Arial" w:hAnsi="Arial" w:cs="Arial"/>
        </w:rPr>
        <w:t xml:space="preserve">, but at a much higher price tag. The cost </w:t>
      </w:r>
      <w:r w:rsidR="00CE6F5D">
        <w:rPr>
          <w:rFonts w:ascii="Arial" w:hAnsi="Arial" w:cs="Arial"/>
        </w:rPr>
        <w:t xml:space="preserve">to avert each of these </w:t>
      </w:r>
      <w:r>
        <w:rPr>
          <w:rFonts w:ascii="Arial" w:hAnsi="Arial" w:cs="Arial"/>
        </w:rPr>
        <w:t>additional infection</w:t>
      </w:r>
      <w:r w:rsidR="00CE6F5D">
        <w:rPr>
          <w:rFonts w:ascii="Arial" w:hAnsi="Arial" w:cs="Arial"/>
        </w:rPr>
        <w:t>s under the NS</w:t>
      </w:r>
      <w:r>
        <w:rPr>
          <w:rFonts w:ascii="Arial" w:hAnsi="Arial" w:cs="Arial"/>
        </w:rPr>
        <w:t xml:space="preserve"> would be USD </w:t>
      </w:r>
      <w:r w:rsidR="0099346C">
        <w:rPr>
          <w:rFonts w:ascii="Arial" w:hAnsi="Arial" w:cs="Arial"/>
        </w:rPr>
        <w:t>21</w:t>
      </w:r>
      <w:r w:rsidR="00CE6F5D">
        <w:rPr>
          <w:rFonts w:ascii="Arial" w:hAnsi="Arial" w:cs="Arial"/>
        </w:rPr>
        <w:t>9</w:t>
      </w:r>
      <w:r w:rsidR="0099346C">
        <w:rPr>
          <w:rFonts w:ascii="Arial" w:hAnsi="Arial" w:cs="Arial"/>
        </w:rPr>
        <w:t>,66</w:t>
      </w:r>
      <w:r w:rsidR="00CE6F5D">
        <w:rPr>
          <w:rFonts w:ascii="Arial" w:hAnsi="Arial" w:cs="Arial"/>
        </w:rPr>
        <w:t>7.</w:t>
      </w:r>
    </w:p>
    <w:p w14:paraId="71B2361E" w14:textId="77777777" w:rsidR="00BD2E89" w:rsidRDefault="00BD2E89" w:rsidP="006B6903">
      <w:pPr>
        <w:pStyle w:val="ListParagraph"/>
        <w:spacing w:after="0"/>
        <w:ind w:left="0"/>
        <w:rPr>
          <w:rFonts w:ascii="Arial" w:hAnsi="Arial" w:cs="Arial"/>
          <w:i/>
          <w:sz w:val="18"/>
        </w:rPr>
      </w:pPr>
    </w:p>
    <w:p w14:paraId="3D5F013E" w14:textId="3A118758" w:rsidR="00497C1C" w:rsidRDefault="00C86D0D" w:rsidP="006B6903">
      <w:pPr>
        <w:pStyle w:val="ListParagraph"/>
        <w:spacing w:after="0"/>
        <w:ind w:left="0"/>
        <w:rPr>
          <w:rFonts w:ascii="Arial" w:hAnsi="Arial" w:cs="Arial"/>
        </w:rPr>
      </w:pPr>
      <w:r>
        <w:rPr>
          <w:rFonts w:ascii="Arial" w:hAnsi="Arial" w:cs="Arial"/>
          <w:i/>
          <w:sz w:val="18"/>
        </w:rPr>
        <w:t>Figure</w:t>
      </w:r>
      <w:r w:rsidR="007C1806" w:rsidRPr="008544A5">
        <w:rPr>
          <w:rFonts w:ascii="Arial" w:hAnsi="Arial" w:cs="Arial"/>
          <w:i/>
          <w:sz w:val="18"/>
        </w:rPr>
        <w:t xml:space="preserve"> 5-1</w:t>
      </w:r>
      <w:r w:rsidR="007E576A">
        <w:rPr>
          <w:rFonts w:ascii="Arial" w:hAnsi="Arial" w:cs="Arial"/>
          <w:i/>
          <w:sz w:val="18"/>
        </w:rPr>
        <w:t>4</w:t>
      </w:r>
      <w:r w:rsidR="0071346A">
        <w:rPr>
          <w:rFonts w:ascii="Arial" w:hAnsi="Arial" w:cs="Arial"/>
          <w:i/>
          <w:sz w:val="18"/>
        </w:rPr>
        <w:t>.</w:t>
      </w:r>
      <w:r w:rsidR="007C1806" w:rsidRPr="008544A5">
        <w:rPr>
          <w:rFonts w:ascii="Arial" w:hAnsi="Arial" w:cs="Arial"/>
          <w:i/>
          <w:sz w:val="18"/>
        </w:rPr>
        <w:t xml:space="preserve"> Cost-effectiveness of O</w:t>
      </w:r>
      <w:r w:rsidR="00E46497">
        <w:rPr>
          <w:rFonts w:ascii="Arial" w:hAnsi="Arial" w:cs="Arial"/>
          <w:i/>
          <w:sz w:val="18"/>
        </w:rPr>
        <w:t>ptimization-</w:t>
      </w:r>
      <w:r w:rsidR="00C93968">
        <w:rPr>
          <w:rFonts w:ascii="Arial" w:hAnsi="Arial" w:cs="Arial"/>
          <w:i/>
          <w:sz w:val="18"/>
        </w:rPr>
        <w:t>Constant Coverage</w:t>
      </w:r>
      <w:r w:rsidR="00E46497">
        <w:rPr>
          <w:rFonts w:ascii="Arial" w:hAnsi="Arial" w:cs="Arial"/>
          <w:i/>
          <w:sz w:val="18"/>
        </w:rPr>
        <w:t xml:space="preserve"> Fundin</w:t>
      </w:r>
      <w:r w:rsidR="0099346C">
        <w:rPr>
          <w:rFonts w:ascii="Arial" w:hAnsi="Arial" w:cs="Arial"/>
          <w:i/>
          <w:sz w:val="18"/>
        </w:rPr>
        <w:t>g</w:t>
      </w:r>
      <w:r w:rsidR="007C1806" w:rsidRPr="008544A5">
        <w:rPr>
          <w:rFonts w:ascii="Arial" w:hAnsi="Arial" w:cs="Arial"/>
          <w:i/>
          <w:sz w:val="18"/>
        </w:rPr>
        <w:t xml:space="preserve"> vs National Strategy</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200"/>
        <w:gridCol w:w="1236"/>
        <w:gridCol w:w="1271"/>
        <w:gridCol w:w="1271"/>
        <w:gridCol w:w="2162"/>
      </w:tblGrid>
      <w:tr w:rsidR="00BD2E89" w:rsidRPr="00444084" w14:paraId="493757D4" w14:textId="77777777" w:rsidTr="00BD2E89">
        <w:trPr>
          <w:trHeight w:val="158"/>
        </w:trPr>
        <w:tc>
          <w:tcPr>
            <w:tcW w:w="2368" w:type="dxa"/>
            <w:shd w:val="clear" w:color="auto" w:fill="C00000"/>
            <w:noWrap/>
            <w:vAlign w:val="bottom"/>
            <w:hideMark/>
          </w:tcPr>
          <w:p w14:paraId="10B387F0" w14:textId="77777777" w:rsidR="00497C1C" w:rsidRPr="00444084" w:rsidRDefault="00497C1C" w:rsidP="0007051B">
            <w:pPr>
              <w:spacing w:after="0" w:line="240" w:lineRule="auto"/>
              <w:rPr>
                <w:rFonts w:ascii="Arial" w:eastAsia="Times New Roman" w:hAnsi="Arial" w:cs="Arial"/>
                <w:color w:val="FFFFFF" w:themeColor="background1"/>
                <w:sz w:val="18"/>
                <w:szCs w:val="24"/>
              </w:rPr>
            </w:pPr>
          </w:p>
        </w:tc>
        <w:tc>
          <w:tcPr>
            <w:tcW w:w="1200" w:type="dxa"/>
            <w:shd w:val="clear" w:color="auto" w:fill="C00000"/>
            <w:noWrap/>
            <w:vAlign w:val="center"/>
            <w:hideMark/>
          </w:tcPr>
          <w:p w14:paraId="394254DE" w14:textId="77777777" w:rsidR="0075442F"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 xml:space="preserve">Total cost </w:t>
            </w:r>
          </w:p>
          <w:p w14:paraId="4945E9C2" w14:textId="77777777" w:rsidR="0075442F" w:rsidRDefault="0075442F" w:rsidP="0007051B">
            <w:pPr>
              <w:spacing w:after="0" w:line="240" w:lineRule="auto"/>
              <w:jc w:val="center"/>
              <w:rPr>
                <w:rFonts w:ascii="Arial" w:eastAsia="Times New Roman" w:hAnsi="Arial" w:cs="Arial"/>
                <w:b/>
                <w:color w:val="FFFFFF" w:themeColor="background1"/>
                <w:sz w:val="18"/>
                <w:szCs w:val="22"/>
              </w:rPr>
            </w:pPr>
            <w:r>
              <w:rPr>
                <w:rFonts w:ascii="Arial" w:eastAsia="Times New Roman" w:hAnsi="Arial" w:cs="Arial"/>
                <w:b/>
                <w:color w:val="FFFFFF" w:themeColor="background1"/>
                <w:sz w:val="18"/>
                <w:szCs w:val="22"/>
              </w:rPr>
              <w:t>2019-2030</w:t>
            </w:r>
          </w:p>
          <w:p w14:paraId="5272C46C" w14:textId="1A3047F9" w:rsidR="00497C1C" w:rsidRPr="00444084"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(USD M)</w:t>
            </w:r>
          </w:p>
        </w:tc>
        <w:tc>
          <w:tcPr>
            <w:tcW w:w="1236" w:type="dxa"/>
            <w:shd w:val="clear" w:color="auto" w:fill="C00000"/>
            <w:noWrap/>
            <w:vAlign w:val="center"/>
            <w:hideMark/>
          </w:tcPr>
          <w:p w14:paraId="4F96833B" w14:textId="77777777" w:rsidR="00E8612E" w:rsidRPr="00444084"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Incremental cost</w:t>
            </w:r>
            <w:r w:rsidR="00E8612E" w:rsidRPr="00444084">
              <w:rPr>
                <w:rFonts w:ascii="Arial" w:eastAsia="Times New Roman" w:hAnsi="Arial" w:cs="Arial"/>
                <w:b/>
                <w:color w:val="FFFFFF" w:themeColor="background1"/>
                <w:sz w:val="18"/>
                <w:szCs w:val="22"/>
              </w:rPr>
              <w:t xml:space="preserve"> </w:t>
            </w:r>
          </w:p>
          <w:p w14:paraId="17E652F5" w14:textId="30D752F6" w:rsidR="00497C1C" w:rsidRPr="00444084" w:rsidRDefault="00E8612E"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(USD M)</w:t>
            </w:r>
          </w:p>
        </w:tc>
        <w:tc>
          <w:tcPr>
            <w:tcW w:w="1271" w:type="dxa"/>
            <w:shd w:val="clear" w:color="auto" w:fill="C00000"/>
            <w:noWrap/>
            <w:vAlign w:val="center"/>
            <w:hideMark/>
          </w:tcPr>
          <w:p w14:paraId="7A092DCF" w14:textId="00B6776D" w:rsidR="00497C1C" w:rsidRPr="00444084"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Infections averted 2019-2030</w:t>
            </w:r>
          </w:p>
        </w:tc>
        <w:tc>
          <w:tcPr>
            <w:tcW w:w="1271" w:type="dxa"/>
            <w:shd w:val="clear" w:color="auto" w:fill="C00000"/>
            <w:noWrap/>
            <w:vAlign w:val="center"/>
            <w:hideMark/>
          </w:tcPr>
          <w:p w14:paraId="4D2F4FDD" w14:textId="3E558BEA" w:rsidR="00497C1C" w:rsidRPr="00444084"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Additional infections averted</w:t>
            </w:r>
          </w:p>
        </w:tc>
        <w:tc>
          <w:tcPr>
            <w:tcW w:w="2162" w:type="dxa"/>
            <w:shd w:val="clear" w:color="auto" w:fill="C00000"/>
            <w:noWrap/>
            <w:vAlign w:val="center"/>
            <w:hideMark/>
          </w:tcPr>
          <w:p w14:paraId="4560F02C" w14:textId="77777777" w:rsidR="00BC2FC5" w:rsidRPr="00444084" w:rsidRDefault="00497C1C"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ICER</w:t>
            </w:r>
            <w:r w:rsidR="00BC2FC5" w:rsidRPr="00444084">
              <w:rPr>
                <w:rFonts w:ascii="Arial" w:eastAsia="Times New Roman" w:hAnsi="Arial" w:cs="Arial"/>
                <w:b/>
                <w:color w:val="FFFFFF" w:themeColor="background1"/>
                <w:sz w:val="18"/>
                <w:szCs w:val="22"/>
              </w:rPr>
              <w:t xml:space="preserve"> </w:t>
            </w:r>
          </w:p>
          <w:p w14:paraId="2B17C041" w14:textId="6B5C0CB8" w:rsidR="00497C1C" w:rsidRPr="00444084" w:rsidRDefault="00BC2FC5" w:rsidP="0007051B">
            <w:pPr>
              <w:spacing w:after="0" w:line="240" w:lineRule="auto"/>
              <w:jc w:val="center"/>
              <w:rPr>
                <w:rFonts w:ascii="Arial" w:eastAsia="Times New Roman" w:hAnsi="Arial" w:cs="Arial"/>
                <w:b/>
                <w:color w:val="FFFFFF" w:themeColor="background1"/>
                <w:sz w:val="18"/>
                <w:szCs w:val="22"/>
              </w:rPr>
            </w:pPr>
            <w:r w:rsidRPr="00444084">
              <w:rPr>
                <w:rFonts w:ascii="Arial" w:eastAsia="Times New Roman" w:hAnsi="Arial" w:cs="Arial"/>
                <w:b/>
                <w:color w:val="FFFFFF" w:themeColor="background1"/>
                <w:sz w:val="18"/>
                <w:szCs w:val="22"/>
              </w:rPr>
              <w:t>(USD per additional infection averted)</w:t>
            </w:r>
          </w:p>
        </w:tc>
      </w:tr>
      <w:tr w:rsidR="00497C1C" w:rsidRPr="00444084" w14:paraId="42073546" w14:textId="77777777" w:rsidTr="00444084">
        <w:trPr>
          <w:trHeight w:val="158"/>
        </w:trPr>
        <w:tc>
          <w:tcPr>
            <w:tcW w:w="2368" w:type="dxa"/>
            <w:shd w:val="clear" w:color="auto" w:fill="auto"/>
            <w:noWrap/>
            <w:vAlign w:val="center"/>
            <w:hideMark/>
          </w:tcPr>
          <w:p w14:paraId="6B312E2A" w14:textId="4EFEB51E" w:rsidR="00497C1C" w:rsidRPr="00444084" w:rsidRDefault="00E46497" w:rsidP="0007051B">
            <w:pPr>
              <w:spacing w:after="0" w:line="240" w:lineRule="auto"/>
              <w:rPr>
                <w:rFonts w:ascii="Arial" w:eastAsia="Times New Roman" w:hAnsi="Arial" w:cs="Arial"/>
                <w:b/>
                <w:color w:val="000000"/>
                <w:sz w:val="18"/>
                <w:szCs w:val="22"/>
              </w:rPr>
            </w:pPr>
            <w:r w:rsidRPr="00444084">
              <w:rPr>
                <w:rFonts w:ascii="Arial" w:eastAsia="Times New Roman" w:hAnsi="Arial" w:cs="Arial"/>
                <w:b/>
                <w:color w:val="000000"/>
                <w:sz w:val="18"/>
                <w:szCs w:val="22"/>
              </w:rPr>
              <w:t>O-</w:t>
            </w:r>
            <w:r w:rsidR="00C93968">
              <w:rPr>
                <w:rFonts w:ascii="Arial" w:eastAsia="Times New Roman" w:hAnsi="Arial" w:cs="Arial"/>
                <w:b/>
                <w:color w:val="000000"/>
                <w:sz w:val="18"/>
                <w:szCs w:val="22"/>
              </w:rPr>
              <w:t>CC</w:t>
            </w:r>
            <w:r w:rsidRPr="00444084">
              <w:rPr>
                <w:rFonts w:ascii="Arial" w:eastAsia="Times New Roman" w:hAnsi="Arial" w:cs="Arial"/>
                <w:b/>
                <w:color w:val="000000"/>
                <w:sz w:val="18"/>
                <w:szCs w:val="22"/>
              </w:rPr>
              <w:t>F</w:t>
            </w:r>
          </w:p>
        </w:tc>
        <w:tc>
          <w:tcPr>
            <w:tcW w:w="1200" w:type="dxa"/>
            <w:shd w:val="clear" w:color="auto" w:fill="auto"/>
            <w:noWrap/>
            <w:vAlign w:val="center"/>
            <w:hideMark/>
          </w:tcPr>
          <w:p w14:paraId="58C4EC67" w14:textId="1F8ADAA2"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5,</w:t>
            </w:r>
            <w:r w:rsidR="00CE6F5D">
              <w:rPr>
                <w:rFonts w:ascii="Arial" w:eastAsia="Times New Roman" w:hAnsi="Arial" w:cs="Arial"/>
                <w:color w:val="000000"/>
                <w:sz w:val="18"/>
                <w:szCs w:val="22"/>
              </w:rPr>
              <w:t>461</w:t>
            </w:r>
          </w:p>
        </w:tc>
        <w:tc>
          <w:tcPr>
            <w:tcW w:w="1236" w:type="dxa"/>
            <w:shd w:val="clear" w:color="auto" w:fill="auto"/>
            <w:noWrap/>
            <w:vAlign w:val="center"/>
            <w:hideMark/>
          </w:tcPr>
          <w:p w14:paraId="15AE2208" w14:textId="77777777"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w:t>
            </w:r>
          </w:p>
        </w:tc>
        <w:tc>
          <w:tcPr>
            <w:tcW w:w="1271" w:type="dxa"/>
            <w:shd w:val="clear" w:color="auto" w:fill="auto"/>
            <w:noWrap/>
            <w:vAlign w:val="center"/>
            <w:hideMark/>
          </w:tcPr>
          <w:p w14:paraId="545C54FD" w14:textId="5DF42629"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24</w:t>
            </w:r>
            <w:r w:rsidR="00032469" w:rsidRPr="00444084">
              <w:rPr>
                <w:rFonts w:ascii="Arial" w:eastAsia="Times New Roman" w:hAnsi="Arial" w:cs="Arial"/>
                <w:color w:val="000000"/>
                <w:sz w:val="18"/>
                <w:szCs w:val="22"/>
              </w:rPr>
              <w:t>3,000</w:t>
            </w:r>
          </w:p>
        </w:tc>
        <w:tc>
          <w:tcPr>
            <w:tcW w:w="1271" w:type="dxa"/>
            <w:shd w:val="clear" w:color="auto" w:fill="auto"/>
            <w:noWrap/>
            <w:vAlign w:val="center"/>
            <w:hideMark/>
          </w:tcPr>
          <w:p w14:paraId="75353DB5" w14:textId="77777777"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w:t>
            </w:r>
          </w:p>
        </w:tc>
        <w:tc>
          <w:tcPr>
            <w:tcW w:w="2162" w:type="dxa"/>
            <w:shd w:val="clear" w:color="auto" w:fill="auto"/>
            <w:noWrap/>
            <w:vAlign w:val="center"/>
            <w:hideMark/>
          </w:tcPr>
          <w:p w14:paraId="168D33C1" w14:textId="77777777" w:rsidR="00497C1C" w:rsidRPr="00444084" w:rsidRDefault="00497C1C" w:rsidP="0007051B">
            <w:pPr>
              <w:spacing w:after="0" w:line="240" w:lineRule="auto"/>
              <w:jc w:val="center"/>
              <w:rPr>
                <w:rFonts w:ascii="Arial" w:eastAsia="Times New Roman" w:hAnsi="Arial" w:cs="Arial"/>
                <w:sz w:val="18"/>
              </w:rPr>
            </w:pPr>
            <w:r w:rsidRPr="00444084">
              <w:rPr>
                <w:rFonts w:ascii="Arial" w:eastAsia="Times New Roman" w:hAnsi="Arial" w:cs="Arial"/>
                <w:sz w:val="18"/>
              </w:rPr>
              <w:t>--</w:t>
            </w:r>
          </w:p>
        </w:tc>
      </w:tr>
      <w:tr w:rsidR="00497C1C" w:rsidRPr="00444084" w14:paraId="57B861C3" w14:textId="77777777" w:rsidTr="00444084">
        <w:trPr>
          <w:trHeight w:val="158"/>
        </w:trPr>
        <w:tc>
          <w:tcPr>
            <w:tcW w:w="2368" w:type="dxa"/>
            <w:shd w:val="clear" w:color="auto" w:fill="auto"/>
            <w:noWrap/>
            <w:vAlign w:val="center"/>
            <w:hideMark/>
          </w:tcPr>
          <w:p w14:paraId="2993A72E" w14:textId="1DE24C29" w:rsidR="00497C1C" w:rsidRPr="00444084" w:rsidRDefault="00E46497" w:rsidP="0007051B">
            <w:pPr>
              <w:spacing w:after="0" w:line="240" w:lineRule="auto"/>
              <w:rPr>
                <w:rFonts w:ascii="Arial" w:eastAsia="Times New Roman" w:hAnsi="Arial" w:cs="Arial"/>
                <w:b/>
                <w:color w:val="000000"/>
                <w:sz w:val="18"/>
                <w:szCs w:val="22"/>
              </w:rPr>
            </w:pPr>
            <w:r w:rsidRPr="00444084">
              <w:rPr>
                <w:rFonts w:ascii="Arial" w:eastAsia="Times New Roman" w:hAnsi="Arial" w:cs="Arial"/>
                <w:b/>
                <w:color w:val="000000"/>
                <w:sz w:val="18"/>
                <w:szCs w:val="22"/>
              </w:rPr>
              <w:t>NS</w:t>
            </w:r>
          </w:p>
        </w:tc>
        <w:tc>
          <w:tcPr>
            <w:tcW w:w="1200" w:type="dxa"/>
            <w:shd w:val="clear" w:color="auto" w:fill="auto"/>
            <w:noWrap/>
            <w:vAlign w:val="center"/>
            <w:hideMark/>
          </w:tcPr>
          <w:p w14:paraId="20816701" w14:textId="3251E35D"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8,097</w:t>
            </w:r>
          </w:p>
        </w:tc>
        <w:tc>
          <w:tcPr>
            <w:tcW w:w="1236" w:type="dxa"/>
            <w:shd w:val="clear" w:color="auto" w:fill="auto"/>
            <w:noWrap/>
            <w:vAlign w:val="center"/>
            <w:hideMark/>
          </w:tcPr>
          <w:p w14:paraId="1F595C4B" w14:textId="10CAF487"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2,</w:t>
            </w:r>
            <w:r w:rsidR="00CE6F5D">
              <w:rPr>
                <w:rFonts w:ascii="Arial" w:eastAsia="Times New Roman" w:hAnsi="Arial" w:cs="Arial"/>
                <w:color w:val="000000"/>
                <w:sz w:val="18"/>
                <w:szCs w:val="22"/>
              </w:rPr>
              <w:t>636</w:t>
            </w:r>
          </w:p>
        </w:tc>
        <w:tc>
          <w:tcPr>
            <w:tcW w:w="1271" w:type="dxa"/>
            <w:shd w:val="clear" w:color="auto" w:fill="auto"/>
            <w:noWrap/>
            <w:vAlign w:val="center"/>
            <w:hideMark/>
          </w:tcPr>
          <w:p w14:paraId="4236754C" w14:textId="7A68D832" w:rsidR="00497C1C" w:rsidRPr="00444084" w:rsidRDefault="00497C1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255,</w:t>
            </w:r>
            <w:r w:rsidR="00032469" w:rsidRPr="00444084">
              <w:rPr>
                <w:rFonts w:ascii="Arial" w:eastAsia="Times New Roman" w:hAnsi="Arial" w:cs="Arial"/>
                <w:color w:val="000000"/>
                <w:sz w:val="18"/>
                <w:szCs w:val="22"/>
              </w:rPr>
              <w:t>000</w:t>
            </w:r>
          </w:p>
        </w:tc>
        <w:tc>
          <w:tcPr>
            <w:tcW w:w="1271" w:type="dxa"/>
            <w:shd w:val="clear" w:color="auto" w:fill="auto"/>
            <w:noWrap/>
            <w:vAlign w:val="center"/>
            <w:hideMark/>
          </w:tcPr>
          <w:p w14:paraId="3E3ECC76" w14:textId="259D61D5" w:rsidR="00497C1C" w:rsidRPr="00444084" w:rsidRDefault="00E8612E"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12,000</w:t>
            </w:r>
          </w:p>
          <w:p w14:paraId="0A369B45" w14:textId="77777777" w:rsidR="00497C1C" w:rsidRPr="00444084" w:rsidRDefault="00497C1C" w:rsidP="0007051B">
            <w:pPr>
              <w:spacing w:after="0" w:line="240" w:lineRule="auto"/>
              <w:jc w:val="center"/>
              <w:rPr>
                <w:rFonts w:ascii="Arial" w:eastAsia="Times New Roman" w:hAnsi="Arial" w:cs="Arial"/>
                <w:color w:val="000000"/>
                <w:sz w:val="18"/>
                <w:szCs w:val="22"/>
              </w:rPr>
            </w:pPr>
          </w:p>
        </w:tc>
        <w:tc>
          <w:tcPr>
            <w:tcW w:w="2162" w:type="dxa"/>
            <w:shd w:val="clear" w:color="auto" w:fill="auto"/>
            <w:noWrap/>
            <w:vAlign w:val="center"/>
            <w:hideMark/>
          </w:tcPr>
          <w:p w14:paraId="6BEF55B8" w14:textId="287FA595" w:rsidR="00497C1C" w:rsidRPr="00444084" w:rsidRDefault="0099346C" w:rsidP="0007051B">
            <w:pPr>
              <w:spacing w:after="0" w:line="240" w:lineRule="auto"/>
              <w:jc w:val="center"/>
              <w:rPr>
                <w:rFonts w:ascii="Arial" w:eastAsia="Times New Roman" w:hAnsi="Arial" w:cs="Arial"/>
                <w:color w:val="000000"/>
                <w:sz w:val="18"/>
                <w:szCs w:val="22"/>
              </w:rPr>
            </w:pPr>
            <w:r w:rsidRPr="00444084">
              <w:rPr>
                <w:rFonts w:ascii="Arial" w:eastAsia="Times New Roman" w:hAnsi="Arial" w:cs="Arial"/>
                <w:color w:val="000000"/>
                <w:sz w:val="18"/>
                <w:szCs w:val="22"/>
              </w:rPr>
              <w:t>21</w:t>
            </w:r>
            <w:r w:rsidR="00CE6F5D">
              <w:rPr>
                <w:rFonts w:ascii="Arial" w:eastAsia="Times New Roman" w:hAnsi="Arial" w:cs="Arial"/>
                <w:color w:val="000000"/>
                <w:sz w:val="18"/>
                <w:szCs w:val="22"/>
              </w:rPr>
              <w:t>9</w:t>
            </w:r>
            <w:r w:rsidRPr="00444084">
              <w:rPr>
                <w:rFonts w:ascii="Arial" w:eastAsia="Times New Roman" w:hAnsi="Arial" w:cs="Arial"/>
                <w:color w:val="000000"/>
                <w:sz w:val="18"/>
                <w:szCs w:val="22"/>
              </w:rPr>
              <w:t>,66</w:t>
            </w:r>
            <w:r w:rsidR="00CE6F5D">
              <w:rPr>
                <w:rFonts w:ascii="Arial" w:eastAsia="Times New Roman" w:hAnsi="Arial" w:cs="Arial"/>
                <w:color w:val="000000"/>
                <w:sz w:val="18"/>
                <w:szCs w:val="22"/>
              </w:rPr>
              <w:t>7</w:t>
            </w:r>
          </w:p>
        </w:tc>
      </w:tr>
    </w:tbl>
    <w:p w14:paraId="408B0DFD" w14:textId="77777777" w:rsidR="003B53D6" w:rsidRPr="00534FF7" w:rsidRDefault="003B53D6" w:rsidP="00444084">
      <w:pPr>
        <w:spacing w:after="0"/>
      </w:pPr>
    </w:p>
    <w:p w14:paraId="45107E03" w14:textId="2EA8A3F2" w:rsidR="0010792B" w:rsidRPr="00534FF7" w:rsidRDefault="003B53D6" w:rsidP="00444084">
      <w:pPr>
        <w:pStyle w:val="Heading2"/>
        <w:rPr>
          <w:rFonts w:ascii="Arial" w:hAnsi="Arial" w:cs="Arial"/>
          <w:i/>
          <w:color w:val="000000" w:themeColor="text1"/>
        </w:rPr>
      </w:pPr>
      <w:bookmarkStart w:id="100" w:name="_Toc57035194"/>
      <w:r w:rsidRPr="00534FF7">
        <w:rPr>
          <w:rFonts w:ascii="Arial" w:hAnsi="Arial" w:cs="Arial"/>
          <w:i/>
          <w:color w:val="000000" w:themeColor="text1"/>
        </w:rPr>
        <w:t>Key Takeaways of Optimizatio</w:t>
      </w:r>
      <w:r w:rsidR="00355514" w:rsidRPr="00534FF7">
        <w:rPr>
          <w:rFonts w:ascii="Arial" w:hAnsi="Arial" w:cs="Arial"/>
          <w:i/>
          <w:color w:val="000000" w:themeColor="text1"/>
        </w:rPr>
        <w:t>n</w:t>
      </w:r>
      <w:bookmarkEnd w:id="100"/>
    </w:p>
    <w:p w14:paraId="16A63549" w14:textId="0156F81B" w:rsidR="00585A95" w:rsidRDefault="00585A95" w:rsidP="00444084">
      <w:pPr>
        <w:spacing w:after="0"/>
      </w:pPr>
    </w:p>
    <w:p w14:paraId="37831636" w14:textId="60675E1B" w:rsidR="00585A95" w:rsidRPr="00D76E49" w:rsidRDefault="00585A95" w:rsidP="00585A95">
      <w:pPr>
        <w:spacing w:after="0"/>
        <w:rPr>
          <w:rFonts w:ascii="Arial" w:hAnsi="Arial" w:cs="Arial"/>
        </w:rPr>
      </w:pPr>
      <w:r>
        <w:rPr>
          <w:rFonts w:ascii="Arial" w:hAnsi="Arial" w:cs="Arial"/>
        </w:rPr>
        <w:t xml:space="preserve">Optimization of </w:t>
      </w:r>
      <w:r w:rsidR="00C93968">
        <w:rPr>
          <w:rFonts w:ascii="Arial" w:hAnsi="Arial" w:cs="Arial"/>
        </w:rPr>
        <w:t>Constant Coverage</w:t>
      </w:r>
      <w:r>
        <w:rPr>
          <w:rFonts w:ascii="Arial" w:hAnsi="Arial" w:cs="Arial"/>
        </w:rPr>
        <w:t xml:space="preserve"> Fund</w:t>
      </w:r>
      <w:r w:rsidR="00534FF7">
        <w:rPr>
          <w:rFonts w:ascii="Arial" w:hAnsi="Arial" w:cs="Arial"/>
        </w:rPr>
        <w:t>s</w:t>
      </w:r>
      <w:r>
        <w:rPr>
          <w:rFonts w:ascii="Arial" w:hAnsi="Arial" w:cs="Arial"/>
        </w:rPr>
        <w:t xml:space="preserve"> would achieve the same </w:t>
      </w:r>
      <w:r w:rsidR="008F65EE">
        <w:rPr>
          <w:rFonts w:ascii="Arial" w:hAnsi="Arial" w:cs="Arial"/>
        </w:rPr>
        <w:t>large</w:t>
      </w:r>
      <w:r>
        <w:rPr>
          <w:rFonts w:ascii="Arial" w:hAnsi="Arial" w:cs="Arial"/>
        </w:rPr>
        <w:t xml:space="preserve"> impacts of the National Strategy </w:t>
      </w:r>
      <w:r w:rsidR="00534FF7">
        <w:rPr>
          <w:rFonts w:ascii="Arial" w:hAnsi="Arial" w:cs="Arial"/>
        </w:rPr>
        <w:t>S</w:t>
      </w:r>
      <w:r>
        <w:rPr>
          <w:rFonts w:ascii="Arial" w:hAnsi="Arial" w:cs="Arial"/>
        </w:rPr>
        <w:t xml:space="preserve">cenario but </w:t>
      </w:r>
      <w:r w:rsidR="008F65EE">
        <w:rPr>
          <w:rFonts w:ascii="Arial" w:hAnsi="Arial" w:cs="Arial"/>
        </w:rPr>
        <w:t xml:space="preserve">at a much lower cost, </w:t>
      </w:r>
      <w:r>
        <w:rPr>
          <w:rFonts w:ascii="Arial" w:hAnsi="Arial" w:cs="Arial"/>
        </w:rPr>
        <w:t xml:space="preserve">with funding levels similar to the </w:t>
      </w:r>
      <w:r w:rsidR="00C93968">
        <w:rPr>
          <w:rFonts w:ascii="Arial" w:hAnsi="Arial" w:cs="Arial"/>
        </w:rPr>
        <w:t>Constant Coverage</w:t>
      </w:r>
      <w:r>
        <w:rPr>
          <w:rFonts w:ascii="Arial" w:hAnsi="Arial" w:cs="Arial"/>
        </w:rPr>
        <w:t xml:space="preserve"> </w:t>
      </w:r>
      <w:r w:rsidR="00534FF7">
        <w:rPr>
          <w:rFonts w:ascii="Arial" w:hAnsi="Arial" w:cs="Arial"/>
        </w:rPr>
        <w:t>S</w:t>
      </w:r>
      <w:r>
        <w:rPr>
          <w:rFonts w:ascii="Arial" w:hAnsi="Arial" w:cs="Arial"/>
        </w:rPr>
        <w:t>cenario.</w:t>
      </w:r>
    </w:p>
    <w:p w14:paraId="3AF7DBC9" w14:textId="77777777" w:rsidR="00585A95" w:rsidRPr="008544A5" w:rsidRDefault="00585A95" w:rsidP="00585A95">
      <w:pPr>
        <w:spacing w:after="0"/>
        <w:rPr>
          <w:rFonts w:ascii="Arial" w:hAnsi="Arial" w:cs="Arial"/>
          <w:i/>
          <w:sz w:val="18"/>
        </w:rPr>
      </w:pPr>
    </w:p>
    <w:p w14:paraId="5C014FAB" w14:textId="77777777" w:rsidR="002E4A0E" w:rsidRDefault="002E4A0E">
      <w:pPr>
        <w:rPr>
          <w:rFonts w:ascii="Arial" w:hAnsi="Arial" w:cs="Arial"/>
          <w:i/>
          <w:sz w:val="18"/>
        </w:rPr>
      </w:pPr>
      <w:r>
        <w:rPr>
          <w:rFonts w:ascii="Arial" w:hAnsi="Arial" w:cs="Arial"/>
          <w:i/>
          <w:sz w:val="18"/>
        </w:rPr>
        <w:br w:type="page"/>
      </w:r>
    </w:p>
    <w:p w14:paraId="08EF5415" w14:textId="3B342F24" w:rsidR="00585A95" w:rsidRDefault="00585A95" w:rsidP="00585A95">
      <w:pPr>
        <w:spacing w:after="0"/>
        <w:rPr>
          <w:rFonts w:ascii="Arial" w:hAnsi="Arial" w:cs="Arial"/>
        </w:rPr>
      </w:pPr>
      <w:r w:rsidRPr="008544A5">
        <w:rPr>
          <w:rFonts w:ascii="Arial" w:hAnsi="Arial" w:cs="Arial"/>
          <w:i/>
          <w:sz w:val="18"/>
        </w:rPr>
        <w:t>Figure 5-</w:t>
      </w:r>
      <w:r>
        <w:rPr>
          <w:rFonts w:ascii="Arial" w:hAnsi="Arial" w:cs="Arial"/>
          <w:i/>
          <w:sz w:val="18"/>
        </w:rPr>
        <w:t>1</w:t>
      </w:r>
      <w:r w:rsidR="007E576A">
        <w:rPr>
          <w:rFonts w:ascii="Arial" w:hAnsi="Arial" w:cs="Arial"/>
          <w:i/>
          <w:sz w:val="18"/>
        </w:rPr>
        <w:t>5</w:t>
      </w:r>
      <w:r>
        <w:rPr>
          <w:rFonts w:ascii="Arial" w:hAnsi="Arial" w:cs="Arial"/>
          <w:i/>
          <w:sz w:val="18"/>
        </w:rPr>
        <w:t>.</w:t>
      </w:r>
      <w:r w:rsidRPr="008544A5">
        <w:rPr>
          <w:rFonts w:ascii="Arial" w:hAnsi="Arial" w:cs="Arial"/>
          <w:i/>
          <w:sz w:val="18"/>
        </w:rPr>
        <w:t xml:space="preserve"> Impact of </w:t>
      </w:r>
      <w:r w:rsidR="00C93968">
        <w:rPr>
          <w:rFonts w:ascii="Arial" w:hAnsi="Arial" w:cs="Arial"/>
          <w:i/>
          <w:sz w:val="18"/>
        </w:rPr>
        <w:t>CC</w:t>
      </w:r>
      <w:r w:rsidRPr="008544A5">
        <w:rPr>
          <w:rFonts w:ascii="Arial" w:hAnsi="Arial" w:cs="Arial"/>
          <w:i/>
          <w:sz w:val="18"/>
        </w:rPr>
        <w:t>, NS, and O-</w:t>
      </w:r>
      <w:r w:rsidR="00C93968">
        <w:rPr>
          <w:rFonts w:ascii="Arial" w:hAnsi="Arial" w:cs="Arial"/>
          <w:i/>
          <w:sz w:val="18"/>
        </w:rPr>
        <w:t>CC</w:t>
      </w:r>
      <w:r w:rsidRPr="008544A5">
        <w:rPr>
          <w:rFonts w:ascii="Arial" w:hAnsi="Arial" w:cs="Arial"/>
          <w:i/>
          <w:sz w:val="18"/>
        </w:rPr>
        <w:t>F scenarios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930"/>
        <w:gridCol w:w="1946"/>
        <w:gridCol w:w="1992"/>
      </w:tblGrid>
      <w:tr w:rsidR="00585A95" w:rsidRPr="00444084" w14:paraId="16C10D5A" w14:textId="77777777" w:rsidTr="00AC4829">
        <w:trPr>
          <w:trHeight w:val="209"/>
        </w:trPr>
        <w:tc>
          <w:tcPr>
            <w:tcW w:w="3757" w:type="dxa"/>
            <w:vAlign w:val="center"/>
          </w:tcPr>
          <w:p w14:paraId="60794C2B" w14:textId="77777777" w:rsidR="00585A95" w:rsidRPr="00444084" w:rsidRDefault="00585A95" w:rsidP="00AC4829">
            <w:pPr>
              <w:spacing w:after="0"/>
              <w:rPr>
                <w:rFonts w:ascii="Arial" w:hAnsi="Arial" w:cs="Arial"/>
                <w:sz w:val="18"/>
              </w:rPr>
            </w:pPr>
          </w:p>
        </w:tc>
        <w:tc>
          <w:tcPr>
            <w:tcW w:w="1930" w:type="dxa"/>
            <w:shd w:val="clear" w:color="auto" w:fill="C00000"/>
            <w:vAlign w:val="center"/>
          </w:tcPr>
          <w:p w14:paraId="286C03B6" w14:textId="7D2B0C2F" w:rsidR="00585A95" w:rsidRPr="00444084" w:rsidRDefault="00C93968" w:rsidP="00AC4829">
            <w:pPr>
              <w:spacing w:after="0"/>
              <w:rPr>
                <w:rFonts w:ascii="Arial" w:hAnsi="Arial" w:cs="Arial"/>
                <w:b/>
                <w:sz w:val="18"/>
              </w:rPr>
            </w:pPr>
            <w:r>
              <w:rPr>
                <w:rFonts w:ascii="Arial" w:hAnsi="Arial" w:cs="Arial"/>
                <w:b/>
                <w:sz w:val="18"/>
              </w:rPr>
              <w:t>CC</w:t>
            </w:r>
          </w:p>
        </w:tc>
        <w:tc>
          <w:tcPr>
            <w:tcW w:w="1946" w:type="dxa"/>
            <w:shd w:val="clear" w:color="auto" w:fill="C00000"/>
            <w:vAlign w:val="center"/>
          </w:tcPr>
          <w:p w14:paraId="52D71AC8" w14:textId="77777777" w:rsidR="00585A95" w:rsidRPr="00444084" w:rsidRDefault="00585A95" w:rsidP="00AC4829">
            <w:pPr>
              <w:spacing w:after="0"/>
              <w:rPr>
                <w:rFonts w:ascii="Arial" w:hAnsi="Arial" w:cs="Arial"/>
                <w:b/>
                <w:sz w:val="18"/>
              </w:rPr>
            </w:pPr>
            <w:r w:rsidRPr="00444084">
              <w:rPr>
                <w:rFonts w:ascii="Arial" w:hAnsi="Arial" w:cs="Arial"/>
                <w:b/>
                <w:sz w:val="18"/>
              </w:rPr>
              <w:t>NS</w:t>
            </w:r>
          </w:p>
        </w:tc>
        <w:tc>
          <w:tcPr>
            <w:tcW w:w="1992" w:type="dxa"/>
            <w:shd w:val="clear" w:color="auto" w:fill="C00000"/>
            <w:vAlign w:val="center"/>
          </w:tcPr>
          <w:p w14:paraId="212B574E" w14:textId="54296461" w:rsidR="00585A95" w:rsidRPr="00444084" w:rsidRDefault="00585A95" w:rsidP="00AC4829">
            <w:pPr>
              <w:spacing w:after="0"/>
              <w:rPr>
                <w:rFonts w:ascii="Arial" w:hAnsi="Arial" w:cs="Arial"/>
                <w:b/>
                <w:sz w:val="18"/>
              </w:rPr>
            </w:pPr>
            <w:r w:rsidRPr="00444084">
              <w:rPr>
                <w:rFonts w:ascii="Arial" w:hAnsi="Arial" w:cs="Arial"/>
                <w:b/>
                <w:sz w:val="18"/>
              </w:rPr>
              <w:t>O</w:t>
            </w:r>
            <w:r w:rsidR="00C93968">
              <w:rPr>
                <w:rFonts w:ascii="Arial" w:hAnsi="Arial" w:cs="Arial"/>
                <w:b/>
                <w:sz w:val="18"/>
              </w:rPr>
              <w:t>-CCF</w:t>
            </w:r>
          </w:p>
        </w:tc>
      </w:tr>
      <w:tr w:rsidR="00585A95" w:rsidRPr="00444084" w14:paraId="224D3C3F" w14:textId="77777777" w:rsidTr="00AC4829">
        <w:trPr>
          <w:trHeight w:val="209"/>
        </w:trPr>
        <w:tc>
          <w:tcPr>
            <w:tcW w:w="5687" w:type="dxa"/>
            <w:gridSpan w:val="2"/>
            <w:shd w:val="clear" w:color="auto" w:fill="D9D9D9" w:themeFill="background1" w:themeFillShade="D9"/>
            <w:vAlign w:val="center"/>
          </w:tcPr>
          <w:p w14:paraId="0729EA26" w14:textId="77777777" w:rsidR="00585A95" w:rsidRPr="00444084" w:rsidRDefault="00585A95" w:rsidP="00AC4829">
            <w:pPr>
              <w:spacing w:after="0"/>
              <w:rPr>
                <w:rFonts w:ascii="Arial" w:hAnsi="Arial" w:cs="Arial"/>
                <w:sz w:val="18"/>
              </w:rPr>
            </w:pPr>
            <w:r w:rsidRPr="00444084">
              <w:rPr>
                <w:rFonts w:ascii="Arial" w:hAnsi="Arial" w:cs="Arial"/>
                <w:b/>
                <w:sz w:val="18"/>
              </w:rPr>
              <w:t>New infections (All adults)</w:t>
            </w:r>
          </w:p>
        </w:tc>
        <w:tc>
          <w:tcPr>
            <w:tcW w:w="1946" w:type="dxa"/>
            <w:shd w:val="clear" w:color="auto" w:fill="D9D9D9" w:themeFill="background1" w:themeFillShade="D9"/>
            <w:vAlign w:val="center"/>
          </w:tcPr>
          <w:p w14:paraId="6E086CF9" w14:textId="77777777" w:rsidR="00585A95" w:rsidRPr="00444084" w:rsidRDefault="00585A95" w:rsidP="00AC4829">
            <w:pPr>
              <w:spacing w:after="0"/>
              <w:rPr>
                <w:rFonts w:ascii="Arial" w:hAnsi="Arial" w:cs="Arial"/>
                <w:b/>
                <w:sz w:val="18"/>
              </w:rPr>
            </w:pPr>
          </w:p>
        </w:tc>
        <w:tc>
          <w:tcPr>
            <w:tcW w:w="1992" w:type="dxa"/>
            <w:shd w:val="clear" w:color="auto" w:fill="D9D9D9" w:themeFill="background1" w:themeFillShade="D9"/>
            <w:vAlign w:val="center"/>
          </w:tcPr>
          <w:p w14:paraId="54497D00" w14:textId="77777777" w:rsidR="00585A95" w:rsidRPr="00444084" w:rsidRDefault="00585A95" w:rsidP="00AC4829">
            <w:pPr>
              <w:spacing w:after="0"/>
              <w:rPr>
                <w:rFonts w:ascii="Arial" w:hAnsi="Arial" w:cs="Arial"/>
                <w:b/>
                <w:sz w:val="18"/>
              </w:rPr>
            </w:pPr>
          </w:p>
        </w:tc>
      </w:tr>
      <w:tr w:rsidR="00585A95" w:rsidRPr="00444084" w14:paraId="7DF3BA47" w14:textId="77777777" w:rsidTr="00AC4829">
        <w:trPr>
          <w:trHeight w:val="209"/>
        </w:trPr>
        <w:tc>
          <w:tcPr>
            <w:tcW w:w="3757" w:type="dxa"/>
            <w:vAlign w:val="center"/>
          </w:tcPr>
          <w:p w14:paraId="080D0F29" w14:textId="3A7A400B" w:rsidR="00585A95" w:rsidRPr="00444084" w:rsidRDefault="00585A95" w:rsidP="00AC4829">
            <w:pPr>
              <w:spacing w:after="0"/>
              <w:rPr>
                <w:rFonts w:ascii="Arial" w:hAnsi="Arial" w:cs="Arial"/>
                <w:sz w:val="18"/>
              </w:rPr>
            </w:pPr>
            <w:r w:rsidRPr="00444084">
              <w:rPr>
                <w:rFonts w:ascii="Arial" w:hAnsi="Arial" w:cs="Arial"/>
                <w:sz w:val="18"/>
              </w:rPr>
              <w:t>Cumulative</w:t>
            </w:r>
            <w:r w:rsidR="00E7689C">
              <w:rPr>
                <w:rFonts w:ascii="Arial" w:hAnsi="Arial" w:cs="Arial"/>
                <w:sz w:val="18"/>
              </w:rPr>
              <w:t xml:space="preserve"> new infections</w:t>
            </w:r>
            <w:r w:rsidRPr="00444084">
              <w:rPr>
                <w:rFonts w:ascii="Arial" w:hAnsi="Arial" w:cs="Arial"/>
                <w:sz w:val="18"/>
              </w:rPr>
              <w:t xml:space="preserve"> 2019-2030</w:t>
            </w:r>
          </w:p>
        </w:tc>
        <w:tc>
          <w:tcPr>
            <w:tcW w:w="1930" w:type="dxa"/>
            <w:vAlign w:val="center"/>
          </w:tcPr>
          <w:p w14:paraId="780B5C4D" w14:textId="294FC1E0" w:rsidR="00585A95" w:rsidRPr="00444084" w:rsidRDefault="00585A95" w:rsidP="00AC4829">
            <w:pPr>
              <w:spacing w:after="0"/>
              <w:rPr>
                <w:rFonts w:ascii="Arial" w:hAnsi="Arial" w:cs="Arial"/>
                <w:sz w:val="18"/>
              </w:rPr>
            </w:pPr>
            <w:r w:rsidRPr="00444084">
              <w:rPr>
                <w:rFonts w:ascii="Arial" w:hAnsi="Arial" w:cs="Arial"/>
                <w:sz w:val="18"/>
              </w:rPr>
              <w:t>53</w:t>
            </w:r>
            <w:r w:rsidR="00032469" w:rsidRPr="00444084">
              <w:rPr>
                <w:rFonts w:ascii="Arial" w:hAnsi="Arial" w:cs="Arial"/>
                <w:sz w:val="18"/>
              </w:rPr>
              <w:t>3,000</w:t>
            </w:r>
          </w:p>
        </w:tc>
        <w:tc>
          <w:tcPr>
            <w:tcW w:w="1946" w:type="dxa"/>
            <w:vAlign w:val="center"/>
          </w:tcPr>
          <w:p w14:paraId="66E0EFF4" w14:textId="73CD6AB0" w:rsidR="00585A95" w:rsidRPr="00444084" w:rsidRDefault="00585A95" w:rsidP="00AC4829">
            <w:pPr>
              <w:spacing w:after="0"/>
              <w:rPr>
                <w:rFonts w:ascii="Arial" w:hAnsi="Arial" w:cs="Arial"/>
                <w:sz w:val="18"/>
              </w:rPr>
            </w:pPr>
            <w:r w:rsidRPr="00444084">
              <w:rPr>
                <w:rFonts w:ascii="Arial" w:hAnsi="Arial" w:cs="Arial"/>
                <w:sz w:val="18"/>
              </w:rPr>
              <w:t>27</w:t>
            </w:r>
            <w:r w:rsidR="00032469" w:rsidRPr="00444084">
              <w:rPr>
                <w:rFonts w:ascii="Arial" w:hAnsi="Arial" w:cs="Arial"/>
                <w:sz w:val="18"/>
              </w:rPr>
              <w:t>8,000</w:t>
            </w:r>
          </w:p>
        </w:tc>
        <w:tc>
          <w:tcPr>
            <w:tcW w:w="1992" w:type="dxa"/>
            <w:vAlign w:val="center"/>
          </w:tcPr>
          <w:p w14:paraId="5E6258C1" w14:textId="2A82EA9C" w:rsidR="00585A95" w:rsidRPr="00444084" w:rsidRDefault="00585A95" w:rsidP="00AC4829">
            <w:pPr>
              <w:spacing w:after="0"/>
              <w:rPr>
                <w:rFonts w:ascii="Arial" w:hAnsi="Arial" w:cs="Arial"/>
                <w:sz w:val="18"/>
              </w:rPr>
            </w:pPr>
            <w:r w:rsidRPr="00444084">
              <w:rPr>
                <w:rFonts w:ascii="Arial" w:hAnsi="Arial" w:cs="Arial"/>
                <w:sz w:val="18"/>
              </w:rPr>
              <w:t>290,0</w:t>
            </w:r>
            <w:r w:rsidR="00032469" w:rsidRPr="00444084">
              <w:rPr>
                <w:rFonts w:ascii="Arial" w:hAnsi="Arial" w:cs="Arial"/>
                <w:sz w:val="18"/>
              </w:rPr>
              <w:t>00</w:t>
            </w:r>
          </w:p>
        </w:tc>
      </w:tr>
      <w:tr w:rsidR="00585A95" w:rsidRPr="00444084" w14:paraId="2F1381AF" w14:textId="77777777" w:rsidTr="00AC4829">
        <w:trPr>
          <w:trHeight w:val="209"/>
        </w:trPr>
        <w:tc>
          <w:tcPr>
            <w:tcW w:w="3757" w:type="dxa"/>
            <w:vAlign w:val="center"/>
          </w:tcPr>
          <w:p w14:paraId="0A3E31A7" w14:textId="5FC79D0D" w:rsidR="00585A95" w:rsidRPr="00444084" w:rsidRDefault="00E7689C" w:rsidP="00AC4829">
            <w:pPr>
              <w:spacing w:after="0"/>
              <w:rPr>
                <w:rFonts w:ascii="Arial" w:hAnsi="Arial" w:cs="Arial"/>
                <w:sz w:val="18"/>
              </w:rPr>
            </w:pPr>
            <w:r>
              <w:rPr>
                <w:rFonts w:ascii="Arial" w:hAnsi="Arial" w:cs="Arial"/>
                <w:sz w:val="18"/>
              </w:rPr>
              <w:t>Number of new infections</w:t>
            </w:r>
            <w:r w:rsidR="00585A95" w:rsidRPr="00444084">
              <w:rPr>
                <w:rFonts w:ascii="Arial" w:hAnsi="Arial" w:cs="Arial"/>
                <w:sz w:val="18"/>
              </w:rPr>
              <w:t xml:space="preserve"> in 2030</w:t>
            </w:r>
          </w:p>
        </w:tc>
        <w:tc>
          <w:tcPr>
            <w:tcW w:w="1930" w:type="dxa"/>
            <w:vAlign w:val="center"/>
          </w:tcPr>
          <w:p w14:paraId="0F0390E3" w14:textId="7B6F2222" w:rsidR="00585A95" w:rsidRPr="00444084" w:rsidRDefault="00585A95" w:rsidP="00AC4829">
            <w:pPr>
              <w:spacing w:after="0"/>
              <w:rPr>
                <w:rFonts w:ascii="Arial" w:hAnsi="Arial" w:cs="Arial"/>
                <w:sz w:val="18"/>
              </w:rPr>
            </w:pPr>
            <w:r w:rsidRPr="00444084">
              <w:rPr>
                <w:rFonts w:ascii="Arial" w:hAnsi="Arial" w:cs="Arial"/>
                <w:sz w:val="18"/>
              </w:rPr>
              <w:t>44,</w:t>
            </w:r>
            <w:r w:rsidR="00032469" w:rsidRPr="00444084">
              <w:rPr>
                <w:rFonts w:ascii="Arial" w:hAnsi="Arial" w:cs="Arial"/>
                <w:sz w:val="18"/>
              </w:rPr>
              <w:t>000</w:t>
            </w:r>
          </w:p>
        </w:tc>
        <w:tc>
          <w:tcPr>
            <w:tcW w:w="1946" w:type="dxa"/>
            <w:vAlign w:val="center"/>
          </w:tcPr>
          <w:p w14:paraId="16DA174E" w14:textId="717D6CC8" w:rsidR="00585A95" w:rsidRPr="00444084" w:rsidRDefault="00585A95" w:rsidP="00AC4829">
            <w:pPr>
              <w:spacing w:after="0"/>
              <w:rPr>
                <w:rFonts w:ascii="Arial" w:hAnsi="Arial" w:cs="Arial"/>
                <w:sz w:val="18"/>
              </w:rPr>
            </w:pPr>
            <w:r w:rsidRPr="00444084">
              <w:rPr>
                <w:rFonts w:ascii="Arial" w:hAnsi="Arial" w:cs="Arial"/>
                <w:sz w:val="18"/>
              </w:rPr>
              <w:t>14,</w:t>
            </w:r>
            <w:r w:rsidR="00032469" w:rsidRPr="00444084">
              <w:rPr>
                <w:rFonts w:ascii="Arial" w:hAnsi="Arial" w:cs="Arial"/>
                <w:sz w:val="18"/>
              </w:rPr>
              <w:t>000</w:t>
            </w:r>
          </w:p>
        </w:tc>
        <w:tc>
          <w:tcPr>
            <w:tcW w:w="1992" w:type="dxa"/>
            <w:vAlign w:val="center"/>
          </w:tcPr>
          <w:p w14:paraId="47BCBFB6" w14:textId="73C32D5D" w:rsidR="00585A95" w:rsidRPr="00444084" w:rsidRDefault="00585A95"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6,000</w:t>
            </w:r>
          </w:p>
        </w:tc>
      </w:tr>
      <w:tr w:rsidR="00585A95" w:rsidRPr="00444084" w14:paraId="2F53AC6A" w14:textId="77777777" w:rsidTr="00AC4829">
        <w:trPr>
          <w:trHeight w:val="209"/>
        </w:trPr>
        <w:tc>
          <w:tcPr>
            <w:tcW w:w="3757" w:type="dxa"/>
            <w:vAlign w:val="center"/>
          </w:tcPr>
          <w:p w14:paraId="1A62E4E0" w14:textId="7E67D219" w:rsidR="00585A95" w:rsidRPr="00444084" w:rsidRDefault="00E7689C" w:rsidP="00AC4829">
            <w:pPr>
              <w:spacing w:after="0"/>
              <w:rPr>
                <w:rFonts w:ascii="Arial" w:hAnsi="Arial" w:cs="Arial"/>
                <w:sz w:val="18"/>
              </w:rPr>
            </w:pPr>
            <w:r>
              <w:rPr>
                <w:rFonts w:ascii="Arial" w:hAnsi="Arial" w:cs="Arial"/>
                <w:sz w:val="18"/>
              </w:rPr>
              <w:t>Percent</w:t>
            </w:r>
            <w:r w:rsidR="00585A95" w:rsidRPr="00444084">
              <w:rPr>
                <w:rFonts w:ascii="Arial" w:hAnsi="Arial" w:cs="Arial"/>
                <w:sz w:val="18"/>
              </w:rPr>
              <w:t xml:space="preserve"> change 2019-2030</w:t>
            </w:r>
          </w:p>
        </w:tc>
        <w:tc>
          <w:tcPr>
            <w:tcW w:w="1930" w:type="dxa"/>
            <w:vAlign w:val="center"/>
          </w:tcPr>
          <w:p w14:paraId="5EF33818" w14:textId="77777777" w:rsidR="00585A95" w:rsidRPr="00444084" w:rsidRDefault="00585A95" w:rsidP="00AC4829">
            <w:pPr>
              <w:spacing w:after="0"/>
              <w:rPr>
                <w:rFonts w:ascii="Arial" w:hAnsi="Arial" w:cs="Arial"/>
                <w:sz w:val="18"/>
              </w:rPr>
            </w:pPr>
            <w:r w:rsidRPr="00444084">
              <w:rPr>
                <w:rFonts w:ascii="Arial" w:hAnsi="Arial" w:cs="Arial"/>
                <w:sz w:val="18"/>
              </w:rPr>
              <w:t>-2%</w:t>
            </w:r>
          </w:p>
        </w:tc>
        <w:tc>
          <w:tcPr>
            <w:tcW w:w="1946" w:type="dxa"/>
            <w:vAlign w:val="center"/>
          </w:tcPr>
          <w:p w14:paraId="33BBDEF0" w14:textId="77777777" w:rsidR="00585A95" w:rsidRPr="00444084" w:rsidRDefault="00585A95" w:rsidP="00AC4829">
            <w:pPr>
              <w:spacing w:after="0"/>
              <w:rPr>
                <w:rFonts w:ascii="Arial" w:hAnsi="Arial" w:cs="Arial"/>
                <w:sz w:val="18"/>
              </w:rPr>
            </w:pPr>
            <w:r w:rsidRPr="00444084">
              <w:rPr>
                <w:rFonts w:ascii="Arial" w:hAnsi="Arial" w:cs="Arial"/>
                <w:sz w:val="18"/>
              </w:rPr>
              <w:t>-72%</w:t>
            </w:r>
          </w:p>
        </w:tc>
        <w:tc>
          <w:tcPr>
            <w:tcW w:w="1992" w:type="dxa"/>
            <w:vAlign w:val="center"/>
          </w:tcPr>
          <w:p w14:paraId="49647E72" w14:textId="77777777" w:rsidR="00585A95" w:rsidRPr="00444084" w:rsidRDefault="00585A95" w:rsidP="00AC4829">
            <w:pPr>
              <w:spacing w:after="0"/>
              <w:rPr>
                <w:rFonts w:ascii="Arial" w:hAnsi="Arial" w:cs="Arial"/>
                <w:sz w:val="18"/>
              </w:rPr>
            </w:pPr>
            <w:r w:rsidRPr="00444084">
              <w:rPr>
                <w:rFonts w:ascii="Arial" w:hAnsi="Arial" w:cs="Arial"/>
                <w:sz w:val="18"/>
              </w:rPr>
              <w:t>-70%</w:t>
            </w:r>
          </w:p>
        </w:tc>
      </w:tr>
      <w:tr w:rsidR="00585A95" w:rsidRPr="00444084" w14:paraId="7B0766F5" w14:textId="77777777" w:rsidTr="00AC4829">
        <w:trPr>
          <w:trHeight w:val="209"/>
        </w:trPr>
        <w:tc>
          <w:tcPr>
            <w:tcW w:w="3757" w:type="dxa"/>
            <w:vAlign w:val="center"/>
          </w:tcPr>
          <w:p w14:paraId="380A1F8C" w14:textId="1D34A78D" w:rsidR="00585A95" w:rsidRPr="00444084" w:rsidRDefault="00585A95" w:rsidP="00AC4829">
            <w:pPr>
              <w:spacing w:after="0"/>
              <w:rPr>
                <w:rFonts w:ascii="Arial" w:hAnsi="Arial" w:cs="Arial"/>
                <w:sz w:val="18"/>
              </w:rPr>
            </w:pPr>
            <w:r w:rsidRPr="00444084">
              <w:rPr>
                <w:rFonts w:ascii="Arial" w:hAnsi="Arial" w:cs="Arial"/>
                <w:sz w:val="18"/>
              </w:rPr>
              <w:t>Fast Track target (</w:t>
            </w:r>
            <w:r w:rsidR="00E7689C">
              <w:rPr>
                <w:rFonts w:ascii="Arial" w:hAnsi="Arial" w:cs="Arial"/>
                <w:sz w:val="18"/>
              </w:rPr>
              <w:t>Percent</w:t>
            </w:r>
            <w:r w:rsidRPr="00444084">
              <w:rPr>
                <w:rFonts w:ascii="Arial" w:hAnsi="Arial" w:cs="Arial"/>
                <w:sz w:val="18"/>
              </w:rPr>
              <w:t xml:space="preserve"> </w:t>
            </w:r>
            <w:r w:rsidR="00E7689C">
              <w:rPr>
                <w:rFonts w:ascii="Arial" w:hAnsi="Arial" w:cs="Arial"/>
                <w:sz w:val="18"/>
              </w:rPr>
              <w:t>r</w:t>
            </w:r>
            <w:r w:rsidRPr="00444084">
              <w:rPr>
                <w:rFonts w:ascii="Arial" w:hAnsi="Arial" w:cs="Arial"/>
                <w:sz w:val="18"/>
              </w:rPr>
              <w:t>eduction 2010-2030)</w:t>
            </w:r>
          </w:p>
        </w:tc>
        <w:tc>
          <w:tcPr>
            <w:tcW w:w="1930" w:type="dxa"/>
            <w:vAlign w:val="center"/>
          </w:tcPr>
          <w:p w14:paraId="77690ACF" w14:textId="77777777" w:rsidR="00585A95" w:rsidRPr="00444084" w:rsidRDefault="00585A95" w:rsidP="00AC4829">
            <w:pPr>
              <w:spacing w:after="0"/>
              <w:rPr>
                <w:rFonts w:ascii="Arial" w:hAnsi="Arial" w:cs="Arial"/>
                <w:sz w:val="18"/>
              </w:rPr>
            </w:pPr>
            <w:r w:rsidRPr="00444084">
              <w:rPr>
                <w:rFonts w:ascii="Arial" w:hAnsi="Arial" w:cs="Arial"/>
                <w:sz w:val="18"/>
              </w:rPr>
              <w:t>-55%</w:t>
            </w:r>
          </w:p>
        </w:tc>
        <w:tc>
          <w:tcPr>
            <w:tcW w:w="1946" w:type="dxa"/>
            <w:shd w:val="clear" w:color="auto" w:fill="FBE4D5" w:themeFill="accent2" w:themeFillTint="33"/>
            <w:vAlign w:val="center"/>
          </w:tcPr>
          <w:p w14:paraId="13D095F2" w14:textId="77777777" w:rsidR="00585A95" w:rsidRPr="00444084" w:rsidRDefault="00585A95" w:rsidP="00AC4829">
            <w:pPr>
              <w:spacing w:after="0"/>
              <w:rPr>
                <w:rFonts w:ascii="Arial" w:hAnsi="Arial" w:cs="Arial"/>
                <w:sz w:val="18"/>
              </w:rPr>
            </w:pPr>
            <w:r w:rsidRPr="00444084">
              <w:rPr>
                <w:rFonts w:ascii="Arial" w:hAnsi="Arial" w:cs="Arial"/>
                <w:sz w:val="18"/>
              </w:rPr>
              <w:t>-85%</w:t>
            </w:r>
          </w:p>
        </w:tc>
        <w:tc>
          <w:tcPr>
            <w:tcW w:w="1992" w:type="dxa"/>
            <w:shd w:val="clear" w:color="auto" w:fill="FBE4D5" w:themeFill="accent2" w:themeFillTint="33"/>
            <w:vAlign w:val="center"/>
          </w:tcPr>
          <w:p w14:paraId="44152A5F" w14:textId="77777777" w:rsidR="00585A95" w:rsidRPr="00444084" w:rsidRDefault="00585A95" w:rsidP="00AC4829">
            <w:pPr>
              <w:spacing w:after="0"/>
              <w:rPr>
                <w:rFonts w:ascii="Arial" w:hAnsi="Arial" w:cs="Arial"/>
                <w:sz w:val="18"/>
              </w:rPr>
            </w:pPr>
            <w:r w:rsidRPr="00444084">
              <w:rPr>
                <w:rFonts w:ascii="Arial" w:hAnsi="Arial" w:cs="Arial"/>
                <w:sz w:val="18"/>
              </w:rPr>
              <w:t>-84%</w:t>
            </w:r>
          </w:p>
        </w:tc>
      </w:tr>
      <w:tr w:rsidR="00585A95" w:rsidRPr="00444084" w14:paraId="38681F49" w14:textId="77777777" w:rsidTr="00AC4829">
        <w:trPr>
          <w:trHeight w:val="209"/>
        </w:trPr>
        <w:tc>
          <w:tcPr>
            <w:tcW w:w="3757" w:type="dxa"/>
            <w:shd w:val="clear" w:color="auto" w:fill="D0CECE" w:themeFill="background2" w:themeFillShade="E6"/>
            <w:vAlign w:val="center"/>
          </w:tcPr>
          <w:p w14:paraId="6605CD26" w14:textId="77777777" w:rsidR="00585A95" w:rsidRPr="00444084" w:rsidRDefault="00585A95" w:rsidP="00AC4829">
            <w:pPr>
              <w:spacing w:after="0"/>
              <w:rPr>
                <w:rFonts w:ascii="Arial" w:hAnsi="Arial" w:cs="Arial"/>
                <w:b/>
                <w:sz w:val="18"/>
              </w:rPr>
            </w:pPr>
            <w:r w:rsidRPr="00444084">
              <w:rPr>
                <w:rFonts w:ascii="Arial" w:hAnsi="Arial" w:cs="Arial"/>
                <w:b/>
                <w:sz w:val="18"/>
              </w:rPr>
              <w:t>New infections (Adolescents)</w:t>
            </w:r>
          </w:p>
        </w:tc>
        <w:tc>
          <w:tcPr>
            <w:tcW w:w="1930" w:type="dxa"/>
            <w:shd w:val="clear" w:color="auto" w:fill="D0CECE" w:themeFill="background2" w:themeFillShade="E6"/>
            <w:vAlign w:val="center"/>
          </w:tcPr>
          <w:p w14:paraId="079C064C" w14:textId="77777777" w:rsidR="00585A95" w:rsidRPr="00444084" w:rsidRDefault="00585A95" w:rsidP="00AC4829">
            <w:pPr>
              <w:spacing w:after="0"/>
              <w:rPr>
                <w:rFonts w:ascii="Arial" w:hAnsi="Arial" w:cs="Arial"/>
                <w:b/>
                <w:sz w:val="18"/>
              </w:rPr>
            </w:pPr>
          </w:p>
        </w:tc>
        <w:tc>
          <w:tcPr>
            <w:tcW w:w="1946" w:type="dxa"/>
            <w:shd w:val="clear" w:color="auto" w:fill="D0CECE" w:themeFill="background2" w:themeFillShade="E6"/>
            <w:vAlign w:val="center"/>
          </w:tcPr>
          <w:p w14:paraId="07AA3CC6" w14:textId="77777777" w:rsidR="00585A95" w:rsidRPr="00444084" w:rsidRDefault="00585A95" w:rsidP="00AC4829">
            <w:pPr>
              <w:spacing w:after="0"/>
              <w:rPr>
                <w:rFonts w:ascii="Arial" w:hAnsi="Arial" w:cs="Arial"/>
                <w:b/>
                <w:sz w:val="18"/>
              </w:rPr>
            </w:pPr>
          </w:p>
        </w:tc>
        <w:tc>
          <w:tcPr>
            <w:tcW w:w="1992" w:type="dxa"/>
            <w:shd w:val="clear" w:color="auto" w:fill="D0CECE" w:themeFill="background2" w:themeFillShade="E6"/>
            <w:vAlign w:val="center"/>
          </w:tcPr>
          <w:p w14:paraId="28EA1D05" w14:textId="77777777" w:rsidR="00585A95" w:rsidRPr="00444084" w:rsidRDefault="00585A95" w:rsidP="00AC4829">
            <w:pPr>
              <w:spacing w:after="0"/>
              <w:rPr>
                <w:rFonts w:ascii="Arial" w:hAnsi="Arial" w:cs="Arial"/>
                <w:b/>
                <w:sz w:val="18"/>
              </w:rPr>
            </w:pPr>
          </w:p>
        </w:tc>
      </w:tr>
      <w:tr w:rsidR="00585A95" w:rsidRPr="00444084" w14:paraId="0B6DA7C0" w14:textId="77777777" w:rsidTr="00AC4829">
        <w:trPr>
          <w:trHeight w:val="209"/>
        </w:trPr>
        <w:tc>
          <w:tcPr>
            <w:tcW w:w="3757" w:type="dxa"/>
            <w:vAlign w:val="center"/>
          </w:tcPr>
          <w:p w14:paraId="0D84FE87" w14:textId="2F4F430D" w:rsidR="00585A95" w:rsidRPr="00444084" w:rsidRDefault="00585A95" w:rsidP="00AC4829">
            <w:pPr>
              <w:spacing w:after="0"/>
              <w:rPr>
                <w:rFonts w:ascii="Arial" w:hAnsi="Arial" w:cs="Arial"/>
                <w:sz w:val="18"/>
              </w:rPr>
            </w:pPr>
            <w:r w:rsidRPr="00444084">
              <w:rPr>
                <w:rFonts w:ascii="Arial" w:hAnsi="Arial" w:cs="Arial"/>
                <w:sz w:val="18"/>
              </w:rPr>
              <w:t>Cumulative</w:t>
            </w:r>
            <w:r w:rsidR="00E7689C">
              <w:rPr>
                <w:rFonts w:ascii="Arial" w:hAnsi="Arial" w:cs="Arial"/>
                <w:sz w:val="18"/>
              </w:rPr>
              <w:t xml:space="preserve"> new infections</w:t>
            </w:r>
            <w:r w:rsidRPr="00444084">
              <w:rPr>
                <w:rFonts w:ascii="Arial" w:hAnsi="Arial" w:cs="Arial"/>
                <w:sz w:val="18"/>
              </w:rPr>
              <w:t xml:space="preserve"> 2019-2030</w:t>
            </w:r>
          </w:p>
        </w:tc>
        <w:tc>
          <w:tcPr>
            <w:tcW w:w="1930" w:type="dxa"/>
            <w:vAlign w:val="center"/>
          </w:tcPr>
          <w:p w14:paraId="42252DB3" w14:textId="21B03A9A" w:rsidR="00585A95" w:rsidRPr="00444084" w:rsidRDefault="00585A95" w:rsidP="00AC4829">
            <w:pPr>
              <w:spacing w:after="0"/>
              <w:rPr>
                <w:rFonts w:ascii="Arial" w:hAnsi="Arial" w:cs="Arial"/>
                <w:sz w:val="18"/>
              </w:rPr>
            </w:pPr>
            <w:r w:rsidRPr="00444084">
              <w:rPr>
                <w:rFonts w:ascii="Arial" w:hAnsi="Arial" w:cs="Arial"/>
                <w:sz w:val="18"/>
              </w:rPr>
              <w:t>150,</w:t>
            </w:r>
            <w:r w:rsidR="00032469" w:rsidRPr="00444084">
              <w:rPr>
                <w:rFonts w:ascii="Arial" w:hAnsi="Arial" w:cs="Arial"/>
                <w:sz w:val="18"/>
              </w:rPr>
              <w:t>000</w:t>
            </w:r>
          </w:p>
        </w:tc>
        <w:tc>
          <w:tcPr>
            <w:tcW w:w="1946" w:type="dxa"/>
            <w:vAlign w:val="center"/>
          </w:tcPr>
          <w:p w14:paraId="27570FC2" w14:textId="00C4FC7E" w:rsidR="00585A95" w:rsidRPr="00444084" w:rsidRDefault="00585A95" w:rsidP="00AC4829">
            <w:pPr>
              <w:spacing w:after="0"/>
              <w:rPr>
                <w:rFonts w:ascii="Arial" w:hAnsi="Arial" w:cs="Arial"/>
                <w:sz w:val="18"/>
              </w:rPr>
            </w:pPr>
            <w:r w:rsidRPr="00444084">
              <w:rPr>
                <w:rFonts w:ascii="Arial" w:hAnsi="Arial" w:cs="Arial"/>
                <w:sz w:val="18"/>
              </w:rPr>
              <w:t>74,8</w:t>
            </w:r>
            <w:r w:rsidR="00032469" w:rsidRPr="00444084">
              <w:rPr>
                <w:rFonts w:ascii="Arial" w:hAnsi="Arial" w:cs="Arial"/>
                <w:sz w:val="18"/>
              </w:rPr>
              <w:t>00</w:t>
            </w:r>
          </w:p>
        </w:tc>
        <w:tc>
          <w:tcPr>
            <w:tcW w:w="1992" w:type="dxa"/>
            <w:vAlign w:val="center"/>
          </w:tcPr>
          <w:p w14:paraId="52045640" w14:textId="20171962" w:rsidR="00585A95" w:rsidRPr="00444084" w:rsidRDefault="00032469" w:rsidP="00AC4829">
            <w:pPr>
              <w:spacing w:after="0"/>
              <w:rPr>
                <w:rFonts w:ascii="Arial" w:hAnsi="Arial" w:cs="Arial"/>
                <w:sz w:val="18"/>
              </w:rPr>
            </w:pPr>
            <w:r w:rsidRPr="00444084">
              <w:rPr>
                <w:rFonts w:ascii="Arial" w:hAnsi="Arial" w:cs="Arial"/>
                <w:sz w:val="18"/>
              </w:rPr>
              <w:t>79,000</w:t>
            </w:r>
          </w:p>
        </w:tc>
      </w:tr>
      <w:tr w:rsidR="00585A95" w:rsidRPr="00444084" w14:paraId="1FF85478" w14:textId="77777777" w:rsidTr="00AC4829">
        <w:trPr>
          <w:trHeight w:val="209"/>
        </w:trPr>
        <w:tc>
          <w:tcPr>
            <w:tcW w:w="3757" w:type="dxa"/>
            <w:vAlign w:val="center"/>
          </w:tcPr>
          <w:p w14:paraId="08C923B4" w14:textId="77D0044C" w:rsidR="00585A95" w:rsidRPr="00444084" w:rsidRDefault="00E7689C" w:rsidP="00AC4829">
            <w:pPr>
              <w:spacing w:after="0"/>
              <w:rPr>
                <w:rFonts w:ascii="Arial" w:hAnsi="Arial" w:cs="Arial"/>
                <w:sz w:val="18"/>
              </w:rPr>
            </w:pPr>
            <w:r>
              <w:rPr>
                <w:rFonts w:ascii="Arial" w:hAnsi="Arial" w:cs="Arial"/>
                <w:sz w:val="18"/>
              </w:rPr>
              <w:t>Number of new infections</w:t>
            </w:r>
            <w:r w:rsidR="00585A95" w:rsidRPr="00444084">
              <w:rPr>
                <w:rFonts w:ascii="Arial" w:hAnsi="Arial" w:cs="Arial"/>
                <w:sz w:val="18"/>
              </w:rPr>
              <w:t xml:space="preserve"> in 2030</w:t>
            </w:r>
          </w:p>
        </w:tc>
        <w:tc>
          <w:tcPr>
            <w:tcW w:w="1930" w:type="dxa"/>
            <w:vAlign w:val="center"/>
          </w:tcPr>
          <w:p w14:paraId="276B77A6" w14:textId="31359381" w:rsidR="00585A95" w:rsidRPr="00444084" w:rsidRDefault="00585A95" w:rsidP="00AC4829">
            <w:pPr>
              <w:spacing w:after="0"/>
              <w:rPr>
                <w:rFonts w:ascii="Arial" w:hAnsi="Arial" w:cs="Arial"/>
                <w:sz w:val="18"/>
              </w:rPr>
            </w:pPr>
            <w:r w:rsidRPr="00444084">
              <w:rPr>
                <w:rFonts w:ascii="Arial" w:hAnsi="Arial" w:cs="Arial"/>
                <w:sz w:val="18"/>
              </w:rPr>
              <w:t>13,0</w:t>
            </w:r>
            <w:r w:rsidR="00032469" w:rsidRPr="00444084">
              <w:rPr>
                <w:rFonts w:ascii="Arial" w:hAnsi="Arial" w:cs="Arial"/>
                <w:sz w:val="18"/>
              </w:rPr>
              <w:t>00</w:t>
            </w:r>
          </w:p>
        </w:tc>
        <w:tc>
          <w:tcPr>
            <w:tcW w:w="1946" w:type="dxa"/>
            <w:vAlign w:val="center"/>
          </w:tcPr>
          <w:p w14:paraId="60D9EB2D" w14:textId="6F68851A" w:rsidR="00585A95" w:rsidRPr="00444084" w:rsidRDefault="00032469" w:rsidP="00AC4829">
            <w:pPr>
              <w:spacing w:after="0"/>
              <w:rPr>
                <w:rFonts w:ascii="Arial" w:hAnsi="Arial" w:cs="Arial"/>
                <w:sz w:val="18"/>
              </w:rPr>
            </w:pPr>
            <w:r w:rsidRPr="00444084">
              <w:rPr>
                <w:rFonts w:ascii="Arial" w:hAnsi="Arial" w:cs="Arial"/>
                <w:sz w:val="18"/>
              </w:rPr>
              <w:t>4,000</w:t>
            </w:r>
          </w:p>
        </w:tc>
        <w:tc>
          <w:tcPr>
            <w:tcW w:w="1992" w:type="dxa"/>
            <w:vAlign w:val="center"/>
          </w:tcPr>
          <w:p w14:paraId="23200F51" w14:textId="17C738B6" w:rsidR="00585A95" w:rsidRPr="00444084" w:rsidRDefault="00585A95" w:rsidP="00AC4829">
            <w:pPr>
              <w:spacing w:after="0"/>
              <w:rPr>
                <w:rFonts w:ascii="Arial" w:hAnsi="Arial" w:cs="Arial"/>
                <w:sz w:val="18"/>
              </w:rPr>
            </w:pPr>
            <w:r w:rsidRPr="00444084">
              <w:rPr>
                <w:rFonts w:ascii="Arial" w:hAnsi="Arial" w:cs="Arial"/>
                <w:sz w:val="18"/>
              </w:rPr>
              <w:t>4,</w:t>
            </w:r>
            <w:r w:rsidR="00032469" w:rsidRPr="00444084">
              <w:rPr>
                <w:rFonts w:ascii="Arial" w:hAnsi="Arial" w:cs="Arial"/>
                <w:sz w:val="18"/>
              </w:rPr>
              <w:t>000</w:t>
            </w:r>
          </w:p>
        </w:tc>
      </w:tr>
      <w:tr w:rsidR="00585A95" w:rsidRPr="00444084" w14:paraId="0ED2DDAC" w14:textId="77777777" w:rsidTr="00AC4829">
        <w:trPr>
          <w:trHeight w:val="209"/>
        </w:trPr>
        <w:tc>
          <w:tcPr>
            <w:tcW w:w="3757" w:type="dxa"/>
            <w:vAlign w:val="center"/>
          </w:tcPr>
          <w:p w14:paraId="14CD425C" w14:textId="114008AE" w:rsidR="00585A95" w:rsidRPr="00444084" w:rsidRDefault="00E7689C" w:rsidP="00AC4829">
            <w:pPr>
              <w:spacing w:after="0"/>
              <w:rPr>
                <w:rFonts w:ascii="Arial" w:hAnsi="Arial" w:cs="Arial"/>
                <w:sz w:val="18"/>
              </w:rPr>
            </w:pPr>
            <w:r>
              <w:rPr>
                <w:rFonts w:ascii="Arial" w:hAnsi="Arial" w:cs="Arial"/>
                <w:sz w:val="18"/>
              </w:rPr>
              <w:t>Percent</w:t>
            </w:r>
            <w:r w:rsidR="00585A95" w:rsidRPr="00444084">
              <w:rPr>
                <w:rFonts w:ascii="Arial" w:hAnsi="Arial" w:cs="Arial"/>
                <w:sz w:val="18"/>
              </w:rPr>
              <w:t xml:space="preserve"> change 2019-2030</w:t>
            </w:r>
          </w:p>
        </w:tc>
        <w:tc>
          <w:tcPr>
            <w:tcW w:w="1930" w:type="dxa"/>
            <w:vAlign w:val="center"/>
          </w:tcPr>
          <w:p w14:paraId="217770D5" w14:textId="77777777" w:rsidR="00585A95" w:rsidRPr="00444084" w:rsidRDefault="00585A95" w:rsidP="00AC4829">
            <w:pPr>
              <w:spacing w:after="0"/>
              <w:rPr>
                <w:rFonts w:ascii="Arial" w:hAnsi="Arial" w:cs="Arial"/>
                <w:sz w:val="18"/>
              </w:rPr>
            </w:pPr>
            <w:r w:rsidRPr="00444084">
              <w:rPr>
                <w:rFonts w:ascii="Arial" w:hAnsi="Arial" w:cs="Arial"/>
                <w:sz w:val="18"/>
              </w:rPr>
              <w:t>+9%</w:t>
            </w:r>
          </w:p>
        </w:tc>
        <w:tc>
          <w:tcPr>
            <w:tcW w:w="1946" w:type="dxa"/>
            <w:vAlign w:val="center"/>
          </w:tcPr>
          <w:p w14:paraId="7E3051B3" w14:textId="77777777" w:rsidR="00585A95" w:rsidRPr="00444084" w:rsidRDefault="00585A95" w:rsidP="00AC4829">
            <w:pPr>
              <w:spacing w:after="0"/>
              <w:rPr>
                <w:rFonts w:ascii="Arial" w:hAnsi="Arial" w:cs="Arial"/>
                <w:sz w:val="18"/>
              </w:rPr>
            </w:pPr>
            <w:r w:rsidRPr="00444084">
              <w:rPr>
                <w:rFonts w:ascii="Arial" w:hAnsi="Arial" w:cs="Arial"/>
                <w:sz w:val="18"/>
              </w:rPr>
              <w:t>-67%</w:t>
            </w:r>
          </w:p>
        </w:tc>
        <w:tc>
          <w:tcPr>
            <w:tcW w:w="1992" w:type="dxa"/>
            <w:vAlign w:val="center"/>
          </w:tcPr>
          <w:p w14:paraId="1EBB3452" w14:textId="77777777" w:rsidR="00585A95" w:rsidRPr="00444084" w:rsidRDefault="00585A95" w:rsidP="00AC4829">
            <w:pPr>
              <w:spacing w:after="0"/>
              <w:rPr>
                <w:rFonts w:ascii="Arial" w:hAnsi="Arial" w:cs="Arial"/>
                <w:sz w:val="18"/>
              </w:rPr>
            </w:pPr>
            <w:r w:rsidRPr="00444084">
              <w:rPr>
                <w:rFonts w:ascii="Arial" w:hAnsi="Arial" w:cs="Arial"/>
                <w:sz w:val="18"/>
              </w:rPr>
              <w:t>-66%</w:t>
            </w:r>
          </w:p>
        </w:tc>
      </w:tr>
      <w:tr w:rsidR="00585A95" w:rsidRPr="00444084" w14:paraId="7F783180" w14:textId="77777777" w:rsidTr="00AC4829">
        <w:trPr>
          <w:trHeight w:val="209"/>
        </w:trPr>
        <w:tc>
          <w:tcPr>
            <w:tcW w:w="5687" w:type="dxa"/>
            <w:gridSpan w:val="2"/>
            <w:shd w:val="clear" w:color="auto" w:fill="D9D9D9" w:themeFill="background1" w:themeFillShade="D9"/>
            <w:vAlign w:val="center"/>
          </w:tcPr>
          <w:p w14:paraId="4A8EC595" w14:textId="77777777" w:rsidR="00585A95" w:rsidRPr="00444084" w:rsidRDefault="00585A95" w:rsidP="00AC4829">
            <w:pPr>
              <w:spacing w:after="0"/>
              <w:rPr>
                <w:rFonts w:ascii="Arial" w:hAnsi="Arial" w:cs="Arial"/>
                <w:sz w:val="18"/>
              </w:rPr>
            </w:pPr>
            <w:r w:rsidRPr="00444084">
              <w:rPr>
                <w:rFonts w:ascii="Arial" w:hAnsi="Arial" w:cs="Arial"/>
                <w:b/>
                <w:sz w:val="18"/>
              </w:rPr>
              <w:t>AIDS-related deaths</w:t>
            </w:r>
          </w:p>
        </w:tc>
        <w:tc>
          <w:tcPr>
            <w:tcW w:w="1946" w:type="dxa"/>
            <w:shd w:val="clear" w:color="auto" w:fill="D9D9D9" w:themeFill="background1" w:themeFillShade="D9"/>
            <w:vAlign w:val="center"/>
          </w:tcPr>
          <w:p w14:paraId="623EC483" w14:textId="77777777" w:rsidR="00585A95" w:rsidRPr="00444084" w:rsidRDefault="00585A95" w:rsidP="00AC4829">
            <w:pPr>
              <w:spacing w:after="0"/>
              <w:rPr>
                <w:rFonts w:ascii="Arial" w:hAnsi="Arial" w:cs="Arial"/>
                <w:b/>
                <w:sz w:val="18"/>
              </w:rPr>
            </w:pPr>
          </w:p>
        </w:tc>
        <w:tc>
          <w:tcPr>
            <w:tcW w:w="1992" w:type="dxa"/>
            <w:shd w:val="clear" w:color="auto" w:fill="D9D9D9" w:themeFill="background1" w:themeFillShade="D9"/>
            <w:vAlign w:val="center"/>
          </w:tcPr>
          <w:p w14:paraId="1D05B833" w14:textId="77777777" w:rsidR="00585A95" w:rsidRPr="00444084" w:rsidRDefault="00585A95" w:rsidP="00AC4829">
            <w:pPr>
              <w:spacing w:after="0"/>
              <w:rPr>
                <w:rFonts w:ascii="Arial" w:hAnsi="Arial" w:cs="Arial"/>
                <w:b/>
                <w:sz w:val="18"/>
              </w:rPr>
            </w:pPr>
          </w:p>
        </w:tc>
      </w:tr>
      <w:tr w:rsidR="00585A95" w:rsidRPr="00444084" w14:paraId="3324FC77" w14:textId="77777777" w:rsidTr="00AC4829">
        <w:trPr>
          <w:trHeight w:val="209"/>
        </w:trPr>
        <w:tc>
          <w:tcPr>
            <w:tcW w:w="3757" w:type="dxa"/>
            <w:vAlign w:val="center"/>
          </w:tcPr>
          <w:p w14:paraId="410FE573" w14:textId="214744D6" w:rsidR="00585A95" w:rsidRPr="00444084" w:rsidRDefault="00585A95" w:rsidP="00AC4829">
            <w:pPr>
              <w:spacing w:after="0"/>
              <w:rPr>
                <w:rFonts w:ascii="Arial" w:hAnsi="Arial" w:cs="Arial"/>
                <w:sz w:val="18"/>
              </w:rPr>
            </w:pPr>
            <w:r w:rsidRPr="00444084">
              <w:rPr>
                <w:rFonts w:ascii="Arial" w:hAnsi="Arial" w:cs="Arial"/>
                <w:sz w:val="18"/>
              </w:rPr>
              <w:t xml:space="preserve">Cumulative </w:t>
            </w:r>
            <w:r w:rsidR="00931A9D">
              <w:rPr>
                <w:rFonts w:ascii="Arial" w:hAnsi="Arial" w:cs="Arial"/>
                <w:sz w:val="18"/>
              </w:rPr>
              <w:t xml:space="preserve">deaths </w:t>
            </w:r>
            <w:r w:rsidRPr="00444084">
              <w:rPr>
                <w:rFonts w:ascii="Arial" w:hAnsi="Arial" w:cs="Arial"/>
                <w:sz w:val="18"/>
              </w:rPr>
              <w:t>2019-2030</w:t>
            </w:r>
          </w:p>
        </w:tc>
        <w:tc>
          <w:tcPr>
            <w:tcW w:w="1930" w:type="dxa"/>
            <w:vAlign w:val="center"/>
          </w:tcPr>
          <w:p w14:paraId="19E240A0" w14:textId="50D75C88" w:rsidR="00585A95" w:rsidRPr="00444084" w:rsidRDefault="00585A95" w:rsidP="00AC4829">
            <w:pPr>
              <w:spacing w:after="0"/>
              <w:rPr>
                <w:rFonts w:ascii="Arial" w:hAnsi="Arial" w:cs="Arial"/>
                <w:sz w:val="18"/>
              </w:rPr>
            </w:pPr>
            <w:r w:rsidRPr="00444084">
              <w:rPr>
                <w:rFonts w:ascii="Arial" w:hAnsi="Arial" w:cs="Arial"/>
                <w:sz w:val="18"/>
              </w:rPr>
              <w:t>40</w:t>
            </w:r>
            <w:r w:rsidR="00032469" w:rsidRPr="00444084">
              <w:rPr>
                <w:rFonts w:ascii="Arial" w:hAnsi="Arial" w:cs="Arial"/>
                <w:sz w:val="18"/>
              </w:rPr>
              <w:t>8,000</w:t>
            </w:r>
          </w:p>
        </w:tc>
        <w:tc>
          <w:tcPr>
            <w:tcW w:w="1946" w:type="dxa"/>
            <w:vAlign w:val="center"/>
          </w:tcPr>
          <w:p w14:paraId="17D5F76B" w14:textId="7105B302" w:rsidR="00585A95" w:rsidRPr="00444084" w:rsidRDefault="00585A95" w:rsidP="00AC4829">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c>
          <w:tcPr>
            <w:tcW w:w="1992" w:type="dxa"/>
            <w:vAlign w:val="center"/>
          </w:tcPr>
          <w:p w14:paraId="06818DAE" w14:textId="63EE513F" w:rsidR="00585A95" w:rsidRPr="00444084" w:rsidRDefault="00585A95" w:rsidP="00AC4829">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r>
      <w:tr w:rsidR="00585A95" w:rsidRPr="00444084" w14:paraId="32D78DD6" w14:textId="77777777" w:rsidTr="00AC4829">
        <w:trPr>
          <w:trHeight w:val="152"/>
        </w:trPr>
        <w:tc>
          <w:tcPr>
            <w:tcW w:w="3757" w:type="dxa"/>
            <w:vAlign w:val="center"/>
          </w:tcPr>
          <w:p w14:paraId="2CF63A2C" w14:textId="18BDF32A" w:rsidR="00585A95" w:rsidRPr="00444084" w:rsidRDefault="00E7689C" w:rsidP="00AC4829">
            <w:pPr>
              <w:spacing w:after="0"/>
              <w:rPr>
                <w:rFonts w:ascii="Arial" w:hAnsi="Arial" w:cs="Arial"/>
                <w:sz w:val="18"/>
              </w:rPr>
            </w:pPr>
            <w:r>
              <w:rPr>
                <w:rFonts w:ascii="Arial" w:hAnsi="Arial" w:cs="Arial"/>
                <w:sz w:val="18"/>
              </w:rPr>
              <w:t>Number of new infections</w:t>
            </w:r>
            <w:r w:rsidR="00585A95" w:rsidRPr="00444084">
              <w:rPr>
                <w:rFonts w:ascii="Arial" w:hAnsi="Arial" w:cs="Arial"/>
                <w:sz w:val="18"/>
              </w:rPr>
              <w:t xml:space="preserve"> in 2030</w:t>
            </w:r>
          </w:p>
        </w:tc>
        <w:tc>
          <w:tcPr>
            <w:tcW w:w="1930" w:type="dxa"/>
            <w:vAlign w:val="center"/>
          </w:tcPr>
          <w:p w14:paraId="7D2274C2" w14:textId="48AFC78A" w:rsidR="00585A95" w:rsidRPr="00444084" w:rsidRDefault="00585A95" w:rsidP="00AC4829">
            <w:pPr>
              <w:spacing w:after="0"/>
              <w:rPr>
                <w:rFonts w:ascii="Arial" w:hAnsi="Arial" w:cs="Arial"/>
                <w:sz w:val="18"/>
              </w:rPr>
            </w:pPr>
            <w:r w:rsidRPr="00444084">
              <w:rPr>
                <w:rFonts w:ascii="Arial" w:hAnsi="Arial" w:cs="Arial"/>
                <w:sz w:val="18"/>
              </w:rPr>
              <w:t>3</w:t>
            </w:r>
            <w:r w:rsidR="00032469" w:rsidRPr="00444084">
              <w:rPr>
                <w:rFonts w:ascii="Arial" w:hAnsi="Arial" w:cs="Arial"/>
                <w:sz w:val="18"/>
              </w:rPr>
              <w:t>9,000</w:t>
            </w:r>
          </w:p>
        </w:tc>
        <w:tc>
          <w:tcPr>
            <w:tcW w:w="1946" w:type="dxa"/>
            <w:vAlign w:val="center"/>
          </w:tcPr>
          <w:p w14:paraId="2DE64152" w14:textId="3FB1DF24" w:rsidR="00585A95" w:rsidRPr="00444084" w:rsidRDefault="00585A95"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4,000</w:t>
            </w:r>
          </w:p>
        </w:tc>
        <w:tc>
          <w:tcPr>
            <w:tcW w:w="1992" w:type="dxa"/>
            <w:vAlign w:val="center"/>
          </w:tcPr>
          <w:p w14:paraId="7564B097" w14:textId="25CA3974" w:rsidR="00585A95" w:rsidRPr="00444084" w:rsidRDefault="00585A95"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4,000</w:t>
            </w:r>
          </w:p>
        </w:tc>
      </w:tr>
      <w:tr w:rsidR="00585A95" w:rsidRPr="00444084" w14:paraId="7B7906E9" w14:textId="77777777" w:rsidTr="00AC4829">
        <w:trPr>
          <w:trHeight w:val="209"/>
        </w:trPr>
        <w:tc>
          <w:tcPr>
            <w:tcW w:w="3757" w:type="dxa"/>
            <w:vAlign w:val="center"/>
          </w:tcPr>
          <w:p w14:paraId="126923AF" w14:textId="5DBBFBE2" w:rsidR="00585A95" w:rsidRPr="00444084" w:rsidRDefault="00E7689C" w:rsidP="00AC4829">
            <w:pPr>
              <w:spacing w:after="0"/>
              <w:rPr>
                <w:rFonts w:ascii="Arial" w:hAnsi="Arial" w:cs="Arial"/>
                <w:sz w:val="18"/>
              </w:rPr>
            </w:pPr>
            <w:r>
              <w:rPr>
                <w:rFonts w:ascii="Arial" w:hAnsi="Arial" w:cs="Arial"/>
                <w:sz w:val="18"/>
              </w:rPr>
              <w:t>Percent</w:t>
            </w:r>
            <w:r w:rsidR="00585A95" w:rsidRPr="00444084">
              <w:rPr>
                <w:rFonts w:ascii="Arial" w:hAnsi="Arial" w:cs="Arial"/>
                <w:sz w:val="18"/>
              </w:rPr>
              <w:t xml:space="preserve"> change 2019-2030</w:t>
            </w:r>
          </w:p>
        </w:tc>
        <w:tc>
          <w:tcPr>
            <w:tcW w:w="1930" w:type="dxa"/>
            <w:vAlign w:val="center"/>
          </w:tcPr>
          <w:p w14:paraId="668ABB5A" w14:textId="77777777" w:rsidR="00585A95" w:rsidRPr="00444084" w:rsidRDefault="00585A95" w:rsidP="00AC4829">
            <w:pPr>
              <w:spacing w:after="0"/>
              <w:rPr>
                <w:rFonts w:ascii="Arial" w:hAnsi="Arial" w:cs="Arial"/>
                <w:sz w:val="18"/>
              </w:rPr>
            </w:pPr>
            <w:r w:rsidRPr="00444084">
              <w:rPr>
                <w:rFonts w:ascii="Arial" w:hAnsi="Arial" w:cs="Arial"/>
                <w:sz w:val="18"/>
              </w:rPr>
              <w:t>+36%</w:t>
            </w:r>
          </w:p>
        </w:tc>
        <w:tc>
          <w:tcPr>
            <w:tcW w:w="1946" w:type="dxa"/>
            <w:vAlign w:val="center"/>
          </w:tcPr>
          <w:p w14:paraId="7342502C" w14:textId="77777777" w:rsidR="00585A95" w:rsidRPr="00444084" w:rsidRDefault="00585A95" w:rsidP="00AC4829">
            <w:pPr>
              <w:spacing w:after="0"/>
              <w:rPr>
                <w:rFonts w:ascii="Arial" w:hAnsi="Arial" w:cs="Arial"/>
                <w:sz w:val="18"/>
              </w:rPr>
            </w:pPr>
            <w:r w:rsidRPr="00444084">
              <w:rPr>
                <w:rFonts w:ascii="Arial" w:hAnsi="Arial" w:cs="Arial"/>
                <w:sz w:val="18"/>
              </w:rPr>
              <w:t>-56%</w:t>
            </w:r>
          </w:p>
        </w:tc>
        <w:tc>
          <w:tcPr>
            <w:tcW w:w="1992" w:type="dxa"/>
            <w:vAlign w:val="center"/>
          </w:tcPr>
          <w:p w14:paraId="520A9814" w14:textId="77777777" w:rsidR="00585A95" w:rsidRPr="00444084" w:rsidRDefault="00585A95" w:rsidP="00AC4829">
            <w:pPr>
              <w:spacing w:after="0"/>
              <w:rPr>
                <w:rFonts w:ascii="Arial" w:hAnsi="Arial" w:cs="Arial"/>
                <w:sz w:val="18"/>
              </w:rPr>
            </w:pPr>
            <w:r w:rsidRPr="00444084">
              <w:rPr>
                <w:rFonts w:ascii="Arial" w:hAnsi="Arial" w:cs="Arial"/>
                <w:sz w:val="18"/>
              </w:rPr>
              <w:t>-56%</w:t>
            </w:r>
          </w:p>
        </w:tc>
      </w:tr>
      <w:tr w:rsidR="00585A95" w:rsidRPr="00444084" w14:paraId="0EE61E2D" w14:textId="77777777" w:rsidTr="00AC4829">
        <w:trPr>
          <w:trHeight w:val="209"/>
        </w:trPr>
        <w:tc>
          <w:tcPr>
            <w:tcW w:w="3757" w:type="dxa"/>
            <w:vAlign w:val="center"/>
          </w:tcPr>
          <w:p w14:paraId="6D0B1C11" w14:textId="5F9156F8" w:rsidR="00585A95" w:rsidRPr="00444084" w:rsidRDefault="00585A95" w:rsidP="00AC4829">
            <w:pPr>
              <w:spacing w:after="0"/>
              <w:rPr>
                <w:rFonts w:ascii="Arial" w:hAnsi="Arial" w:cs="Arial"/>
                <w:sz w:val="18"/>
              </w:rPr>
            </w:pPr>
            <w:r w:rsidRPr="00444084">
              <w:rPr>
                <w:rFonts w:ascii="Arial" w:hAnsi="Arial" w:cs="Arial"/>
                <w:sz w:val="18"/>
              </w:rPr>
              <w:t>Fast Track target (</w:t>
            </w:r>
            <w:r w:rsidR="00E7689C">
              <w:rPr>
                <w:rFonts w:ascii="Arial" w:hAnsi="Arial" w:cs="Arial"/>
                <w:sz w:val="18"/>
              </w:rPr>
              <w:t>Percent r</w:t>
            </w:r>
            <w:r w:rsidRPr="00444084">
              <w:rPr>
                <w:rFonts w:ascii="Arial" w:hAnsi="Arial" w:cs="Arial"/>
                <w:sz w:val="18"/>
              </w:rPr>
              <w:t>eduction 2010-2030)</w:t>
            </w:r>
          </w:p>
        </w:tc>
        <w:tc>
          <w:tcPr>
            <w:tcW w:w="1930" w:type="dxa"/>
            <w:vAlign w:val="center"/>
          </w:tcPr>
          <w:p w14:paraId="5E40A917" w14:textId="77777777" w:rsidR="00585A95" w:rsidRPr="00444084" w:rsidRDefault="00585A95" w:rsidP="00AC4829">
            <w:pPr>
              <w:spacing w:after="0"/>
              <w:rPr>
                <w:rFonts w:ascii="Arial" w:hAnsi="Arial" w:cs="Arial"/>
                <w:sz w:val="18"/>
              </w:rPr>
            </w:pPr>
            <w:r w:rsidRPr="00444084">
              <w:rPr>
                <w:rFonts w:ascii="Arial" w:hAnsi="Arial" w:cs="Arial"/>
                <w:sz w:val="18"/>
              </w:rPr>
              <w:t>-53%</w:t>
            </w:r>
          </w:p>
        </w:tc>
        <w:tc>
          <w:tcPr>
            <w:tcW w:w="1946" w:type="dxa"/>
            <w:shd w:val="clear" w:color="auto" w:fill="FBE4D5" w:themeFill="accent2" w:themeFillTint="33"/>
            <w:vAlign w:val="center"/>
          </w:tcPr>
          <w:p w14:paraId="71A3CD5D" w14:textId="77777777" w:rsidR="00585A95" w:rsidRPr="00444084" w:rsidRDefault="00585A95" w:rsidP="00AC4829">
            <w:pPr>
              <w:spacing w:after="0"/>
              <w:rPr>
                <w:rFonts w:ascii="Arial" w:hAnsi="Arial" w:cs="Arial"/>
                <w:sz w:val="18"/>
              </w:rPr>
            </w:pPr>
            <w:r w:rsidRPr="00444084">
              <w:rPr>
                <w:rFonts w:ascii="Arial" w:hAnsi="Arial" w:cs="Arial"/>
                <w:sz w:val="18"/>
              </w:rPr>
              <w:t>-83%</w:t>
            </w:r>
          </w:p>
        </w:tc>
        <w:tc>
          <w:tcPr>
            <w:tcW w:w="1992" w:type="dxa"/>
            <w:shd w:val="clear" w:color="auto" w:fill="FBE4D5" w:themeFill="accent2" w:themeFillTint="33"/>
            <w:vAlign w:val="center"/>
          </w:tcPr>
          <w:p w14:paraId="340A6C36" w14:textId="77777777" w:rsidR="00585A95" w:rsidRPr="00444084" w:rsidRDefault="00585A95" w:rsidP="00AC4829">
            <w:pPr>
              <w:spacing w:after="0"/>
              <w:rPr>
                <w:rFonts w:ascii="Arial" w:hAnsi="Arial" w:cs="Arial"/>
                <w:sz w:val="18"/>
              </w:rPr>
            </w:pPr>
            <w:r w:rsidRPr="00444084">
              <w:rPr>
                <w:rFonts w:ascii="Arial" w:hAnsi="Arial" w:cs="Arial"/>
                <w:sz w:val="18"/>
              </w:rPr>
              <w:t>-83%</w:t>
            </w:r>
          </w:p>
        </w:tc>
      </w:tr>
      <w:tr w:rsidR="00585A95" w:rsidRPr="00444084" w14:paraId="7F7DDEF0" w14:textId="77777777" w:rsidTr="00AC4829">
        <w:trPr>
          <w:trHeight w:val="209"/>
        </w:trPr>
        <w:tc>
          <w:tcPr>
            <w:tcW w:w="5687" w:type="dxa"/>
            <w:gridSpan w:val="2"/>
            <w:shd w:val="clear" w:color="auto" w:fill="D9D9D9" w:themeFill="background1" w:themeFillShade="D9"/>
            <w:vAlign w:val="center"/>
          </w:tcPr>
          <w:p w14:paraId="2D204D8F" w14:textId="77777777" w:rsidR="00585A95" w:rsidRPr="00444084" w:rsidRDefault="00585A95" w:rsidP="00AC4829">
            <w:pPr>
              <w:spacing w:after="0"/>
              <w:rPr>
                <w:rFonts w:ascii="Arial" w:hAnsi="Arial" w:cs="Arial"/>
                <w:sz w:val="18"/>
              </w:rPr>
            </w:pPr>
            <w:r w:rsidRPr="00444084">
              <w:rPr>
                <w:rFonts w:ascii="Arial" w:hAnsi="Arial" w:cs="Arial"/>
                <w:b/>
                <w:sz w:val="18"/>
              </w:rPr>
              <w:t>Number on ART</w:t>
            </w:r>
          </w:p>
        </w:tc>
        <w:tc>
          <w:tcPr>
            <w:tcW w:w="1946" w:type="dxa"/>
            <w:shd w:val="clear" w:color="auto" w:fill="D9D9D9" w:themeFill="background1" w:themeFillShade="D9"/>
            <w:vAlign w:val="center"/>
          </w:tcPr>
          <w:p w14:paraId="4B4C3D0B" w14:textId="77777777" w:rsidR="00585A95" w:rsidRPr="00444084" w:rsidRDefault="00585A95" w:rsidP="00AC4829">
            <w:pPr>
              <w:spacing w:after="0"/>
              <w:rPr>
                <w:rFonts w:ascii="Arial" w:hAnsi="Arial" w:cs="Arial"/>
                <w:b/>
                <w:sz w:val="18"/>
              </w:rPr>
            </w:pPr>
          </w:p>
        </w:tc>
        <w:tc>
          <w:tcPr>
            <w:tcW w:w="1992" w:type="dxa"/>
            <w:shd w:val="clear" w:color="auto" w:fill="D9D9D9" w:themeFill="background1" w:themeFillShade="D9"/>
            <w:vAlign w:val="center"/>
          </w:tcPr>
          <w:p w14:paraId="46CE9D85" w14:textId="77777777" w:rsidR="00585A95" w:rsidRPr="00444084" w:rsidRDefault="00585A95" w:rsidP="00AC4829">
            <w:pPr>
              <w:spacing w:after="0"/>
              <w:rPr>
                <w:rFonts w:ascii="Arial" w:hAnsi="Arial" w:cs="Arial"/>
                <w:b/>
                <w:sz w:val="18"/>
              </w:rPr>
            </w:pPr>
          </w:p>
        </w:tc>
      </w:tr>
      <w:tr w:rsidR="00585A95" w:rsidRPr="00444084" w14:paraId="22DE7D5A" w14:textId="77777777" w:rsidTr="00AC4829">
        <w:trPr>
          <w:trHeight w:val="209"/>
        </w:trPr>
        <w:tc>
          <w:tcPr>
            <w:tcW w:w="3757" w:type="dxa"/>
            <w:vAlign w:val="center"/>
          </w:tcPr>
          <w:p w14:paraId="1ADEA569" w14:textId="140DA952" w:rsidR="00585A95" w:rsidRPr="00444084" w:rsidRDefault="00E7689C" w:rsidP="00AC4829">
            <w:pPr>
              <w:spacing w:after="0"/>
              <w:rPr>
                <w:rFonts w:ascii="Arial" w:hAnsi="Arial" w:cs="Arial"/>
                <w:sz w:val="18"/>
              </w:rPr>
            </w:pPr>
            <w:r>
              <w:rPr>
                <w:rFonts w:ascii="Arial" w:hAnsi="Arial" w:cs="Arial"/>
                <w:sz w:val="18"/>
              </w:rPr>
              <w:t>Number on ART</w:t>
            </w:r>
            <w:r w:rsidR="00585A95" w:rsidRPr="00444084">
              <w:rPr>
                <w:rFonts w:ascii="Arial" w:hAnsi="Arial" w:cs="Arial"/>
                <w:sz w:val="18"/>
              </w:rPr>
              <w:t xml:space="preserve"> in 2030</w:t>
            </w:r>
          </w:p>
        </w:tc>
        <w:tc>
          <w:tcPr>
            <w:tcW w:w="1930" w:type="dxa"/>
            <w:vAlign w:val="center"/>
          </w:tcPr>
          <w:p w14:paraId="6A7C694F" w14:textId="77777777" w:rsidR="00585A95" w:rsidRPr="00444084" w:rsidRDefault="00585A95" w:rsidP="00AC4829">
            <w:pPr>
              <w:spacing w:after="0"/>
              <w:rPr>
                <w:rFonts w:ascii="Arial" w:hAnsi="Arial" w:cs="Arial"/>
                <w:sz w:val="18"/>
              </w:rPr>
            </w:pPr>
            <w:r w:rsidRPr="00444084">
              <w:rPr>
                <w:rFonts w:ascii="Arial" w:hAnsi="Arial" w:cs="Arial"/>
                <w:sz w:val="18"/>
              </w:rPr>
              <w:t>1.10 Million</w:t>
            </w:r>
          </w:p>
          <w:p w14:paraId="41E0F66F" w14:textId="77777777" w:rsidR="00585A95" w:rsidRPr="00444084" w:rsidRDefault="00585A95" w:rsidP="00AC4829">
            <w:pPr>
              <w:spacing w:after="0"/>
              <w:rPr>
                <w:rFonts w:ascii="Arial" w:hAnsi="Arial" w:cs="Arial"/>
                <w:sz w:val="18"/>
              </w:rPr>
            </w:pPr>
            <w:r w:rsidRPr="00444084">
              <w:rPr>
                <w:rFonts w:ascii="Arial" w:hAnsi="Arial" w:cs="Arial"/>
                <w:sz w:val="18"/>
              </w:rPr>
              <w:t>(68% of PLHIV)</w:t>
            </w:r>
          </w:p>
        </w:tc>
        <w:tc>
          <w:tcPr>
            <w:tcW w:w="1946" w:type="dxa"/>
            <w:vAlign w:val="center"/>
          </w:tcPr>
          <w:p w14:paraId="6E5AC807" w14:textId="77777777" w:rsidR="00585A95" w:rsidRPr="00444084" w:rsidRDefault="00585A95" w:rsidP="00AC4829">
            <w:pPr>
              <w:spacing w:after="0"/>
              <w:rPr>
                <w:rFonts w:ascii="Arial" w:hAnsi="Arial" w:cs="Arial"/>
                <w:sz w:val="18"/>
              </w:rPr>
            </w:pPr>
            <w:r w:rsidRPr="00444084">
              <w:rPr>
                <w:rFonts w:ascii="Arial" w:hAnsi="Arial" w:cs="Arial"/>
                <w:sz w:val="18"/>
              </w:rPr>
              <w:t xml:space="preserve">1.34 Million </w:t>
            </w:r>
          </w:p>
          <w:p w14:paraId="2BB8AE3A" w14:textId="77777777" w:rsidR="00585A95" w:rsidRPr="00444084" w:rsidRDefault="00585A95" w:rsidP="00AC4829">
            <w:pPr>
              <w:spacing w:after="0"/>
              <w:rPr>
                <w:rFonts w:ascii="Arial" w:hAnsi="Arial" w:cs="Arial"/>
                <w:sz w:val="18"/>
              </w:rPr>
            </w:pPr>
            <w:r w:rsidRPr="00444084">
              <w:rPr>
                <w:rFonts w:ascii="Arial" w:hAnsi="Arial" w:cs="Arial"/>
                <w:sz w:val="18"/>
              </w:rPr>
              <w:t>(87% of PLHIV)</w:t>
            </w:r>
          </w:p>
        </w:tc>
        <w:tc>
          <w:tcPr>
            <w:tcW w:w="1992" w:type="dxa"/>
            <w:vAlign w:val="center"/>
          </w:tcPr>
          <w:p w14:paraId="6700C04F" w14:textId="77777777" w:rsidR="00585A95" w:rsidRPr="00444084" w:rsidRDefault="00585A95" w:rsidP="00AC4829">
            <w:pPr>
              <w:spacing w:after="0"/>
              <w:rPr>
                <w:rFonts w:ascii="Arial" w:hAnsi="Arial" w:cs="Arial"/>
                <w:sz w:val="18"/>
              </w:rPr>
            </w:pPr>
            <w:r w:rsidRPr="00444084">
              <w:rPr>
                <w:rFonts w:ascii="Arial" w:hAnsi="Arial" w:cs="Arial"/>
                <w:sz w:val="18"/>
              </w:rPr>
              <w:t>1.35 Million (87% of PLHIVV)</w:t>
            </w:r>
          </w:p>
        </w:tc>
      </w:tr>
      <w:tr w:rsidR="00585A95" w:rsidRPr="00444084" w14:paraId="418F8687" w14:textId="77777777" w:rsidTr="00AC4829">
        <w:trPr>
          <w:trHeight w:val="209"/>
        </w:trPr>
        <w:tc>
          <w:tcPr>
            <w:tcW w:w="9625" w:type="dxa"/>
            <w:gridSpan w:val="4"/>
            <w:shd w:val="clear" w:color="auto" w:fill="DBDBDB" w:themeFill="accent3" w:themeFillTint="66"/>
            <w:vAlign w:val="center"/>
          </w:tcPr>
          <w:p w14:paraId="4C7BB9B1" w14:textId="77777777" w:rsidR="00585A95" w:rsidRPr="00444084" w:rsidRDefault="00585A95" w:rsidP="00AC4829">
            <w:pPr>
              <w:spacing w:after="0"/>
              <w:rPr>
                <w:rFonts w:ascii="Arial" w:hAnsi="Arial" w:cs="Arial"/>
                <w:b/>
                <w:sz w:val="18"/>
              </w:rPr>
            </w:pPr>
            <w:r w:rsidRPr="00444084">
              <w:rPr>
                <w:rFonts w:ascii="Arial" w:hAnsi="Arial" w:cs="Arial"/>
                <w:b/>
                <w:sz w:val="18"/>
              </w:rPr>
              <w:t>Resources (USD M)</w:t>
            </w:r>
          </w:p>
        </w:tc>
      </w:tr>
      <w:tr w:rsidR="00585A95" w:rsidRPr="00444084" w14:paraId="5D628093" w14:textId="77777777" w:rsidTr="00AC4829">
        <w:trPr>
          <w:trHeight w:val="209"/>
        </w:trPr>
        <w:tc>
          <w:tcPr>
            <w:tcW w:w="3757" w:type="dxa"/>
            <w:vAlign w:val="center"/>
          </w:tcPr>
          <w:p w14:paraId="3A28D0F8" w14:textId="4AAAEF07" w:rsidR="00585A95" w:rsidRPr="00444084" w:rsidRDefault="00585A95" w:rsidP="00AC4829">
            <w:pPr>
              <w:spacing w:after="0"/>
              <w:rPr>
                <w:rFonts w:ascii="Arial" w:hAnsi="Arial" w:cs="Arial"/>
                <w:sz w:val="18"/>
              </w:rPr>
            </w:pPr>
            <w:r w:rsidRPr="00444084">
              <w:rPr>
                <w:rFonts w:ascii="Arial" w:hAnsi="Arial" w:cs="Arial"/>
                <w:sz w:val="18"/>
              </w:rPr>
              <w:t xml:space="preserve">Cumulative </w:t>
            </w:r>
            <w:r w:rsidR="00E7689C">
              <w:rPr>
                <w:rFonts w:ascii="Arial" w:hAnsi="Arial" w:cs="Arial"/>
                <w:sz w:val="18"/>
              </w:rPr>
              <w:t xml:space="preserve">resources </w:t>
            </w:r>
            <w:r w:rsidRPr="00444084">
              <w:rPr>
                <w:rFonts w:ascii="Arial" w:hAnsi="Arial" w:cs="Arial"/>
                <w:sz w:val="18"/>
              </w:rPr>
              <w:t>2019-2030</w:t>
            </w:r>
          </w:p>
        </w:tc>
        <w:tc>
          <w:tcPr>
            <w:tcW w:w="1930" w:type="dxa"/>
            <w:vAlign w:val="center"/>
          </w:tcPr>
          <w:p w14:paraId="4AE59176" w14:textId="77777777" w:rsidR="00585A95" w:rsidRPr="00444084" w:rsidRDefault="00585A95" w:rsidP="00AC4829">
            <w:pPr>
              <w:spacing w:after="0"/>
              <w:rPr>
                <w:rFonts w:ascii="Arial" w:hAnsi="Arial" w:cs="Arial"/>
                <w:sz w:val="18"/>
              </w:rPr>
            </w:pPr>
            <w:r w:rsidRPr="00444084">
              <w:rPr>
                <w:rFonts w:ascii="Arial" w:hAnsi="Arial" w:cs="Arial"/>
                <w:sz w:val="18"/>
              </w:rPr>
              <w:t>5,783</w:t>
            </w:r>
          </w:p>
        </w:tc>
        <w:tc>
          <w:tcPr>
            <w:tcW w:w="1946" w:type="dxa"/>
            <w:vAlign w:val="center"/>
          </w:tcPr>
          <w:p w14:paraId="640A2DC3" w14:textId="77777777" w:rsidR="00585A95" w:rsidRPr="00444084" w:rsidRDefault="00585A95" w:rsidP="00AC4829">
            <w:pPr>
              <w:spacing w:after="0"/>
              <w:rPr>
                <w:rFonts w:ascii="Arial" w:hAnsi="Arial" w:cs="Arial"/>
                <w:sz w:val="18"/>
              </w:rPr>
            </w:pPr>
            <w:r w:rsidRPr="00444084">
              <w:rPr>
                <w:rFonts w:ascii="Arial" w:hAnsi="Arial" w:cs="Arial"/>
                <w:sz w:val="18"/>
              </w:rPr>
              <w:t>8,097</w:t>
            </w:r>
          </w:p>
        </w:tc>
        <w:tc>
          <w:tcPr>
            <w:tcW w:w="1992" w:type="dxa"/>
            <w:vAlign w:val="center"/>
          </w:tcPr>
          <w:p w14:paraId="758A8022" w14:textId="4C609C5A" w:rsidR="00585A95" w:rsidRPr="00444084" w:rsidRDefault="00585A95" w:rsidP="00AC4829">
            <w:pPr>
              <w:spacing w:after="0"/>
              <w:rPr>
                <w:rFonts w:ascii="Arial" w:hAnsi="Arial" w:cs="Arial"/>
                <w:sz w:val="18"/>
              </w:rPr>
            </w:pPr>
            <w:r w:rsidRPr="00444084">
              <w:rPr>
                <w:rFonts w:ascii="Arial" w:hAnsi="Arial" w:cs="Arial"/>
                <w:sz w:val="18"/>
              </w:rPr>
              <w:t>5,</w:t>
            </w:r>
            <w:r w:rsidR="004A05A9">
              <w:rPr>
                <w:rFonts w:ascii="Arial" w:hAnsi="Arial" w:cs="Arial"/>
                <w:sz w:val="18"/>
              </w:rPr>
              <w:t>461</w:t>
            </w:r>
          </w:p>
        </w:tc>
      </w:tr>
      <w:tr w:rsidR="00585A95" w:rsidRPr="00444084" w14:paraId="7EFCADC5" w14:textId="77777777" w:rsidTr="00AC4829">
        <w:trPr>
          <w:trHeight w:val="209"/>
        </w:trPr>
        <w:tc>
          <w:tcPr>
            <w:tcW w:w="3757" w:type="dxa"/>
            <w:vAlign w:val="center"/>
          </w:tcPr>
          <w:p w14:paraId="26EB7AB8" w14:textId="47A9210B" w:rsidR="00585A95" w:rsidRPr="00444084" w:rsidRDefault="00E7689C" w:rsidP="00AC4829">
            <w:pPr>
              <w:spacing w:after="0"/>
              <w:rPr>
                <w:rFonts w:ascii="Arial" w:hAnsi="Arial" w:cs="Arial"/>
                <w:sz w:val="18"/>
              </w:rPr>
            </w:pPr>
            <w:r>
              <w:rPr>
                <w:rFonts w:ascii="Arial" w:hAnsi="Arial" w:cs="Arial"/>
                <w:sz w:val="18"/>
              </w:rPr>
              <w:t>Resources required</w:t>
            </w:r>
            <w:r w:rsidR="00585A95" w:rsidRPr="00444084">
              <w:rPr>
                <w:rFonts w:ascii="Arial" w:hAnsi="Arial" w:cs="Arial"/>
                <w:sz w:val="18"/>
              </w:rPr>
              <w:t xml:space="preserve"> in 2030</w:t>
            </w:r>
          </w:p>
        </w:tc>
        <w:tc>
          <w:tcPr>
            <w:tcW w:w="1930" w:type="dxa"/>
            <w:shd w:val="clear" w:color="auto" w:fill="FBE4D5" w:themeFill="accent2" w:themeFillTint="33"/>
            <w:vAlign w:val="center"/>
          </w:tcPr>
          <w:p w14:paraId="32CFAD3A" w14:textId="77777777" w:rsidR="00585A95" w:rsidRPr="00444084" w:rsidRDefault="00585A95" w:rsidP="00AC4829">
            <w:pPr>
              <w:spacing w:after="0"/>
              <w:rPr>
                <w:rFonts w:ascii="Arial" w:hAnsi="Arial" w:cs="Arial"/>
                <w:sz w:val="18"/>
              </w:rPr>
            </w:pPr>
            <w:r w:rsidRPr="00444084">
              <w:rPr>
                <w:rFonts w:ascii="Arial" w:hAnsi="Arial" w:cs="Arial"/>
                <w:sz w:val="18"/>
              </w:rPr>
              <w:t>500</w:t>
            </w:r>
          </w:p>
        </w:tc>
        <w:tc>
          <w:tcPr>
            <w:tcW w:w="1946" w:type="dxa"/>
            <w:vAlign w:val="center"/>
          </w:tcPr>
          <w:p w14:paraId="64354F61" w14:textId="77777777" w:rsidR="00585A95" w:rsidRPr="00444084" w:rsidRDefault="00585A95" w:rsidP="00AC4829">
            <w:pPr>
              <w:spacing w:after="0"/>
              <w:rPr>
                <w:rFonts w:ascii="Arial" w:hAnsi="Arial" w:cs="Arial"/>
                <w:sz w:val="18"/>
              </w:rPr>
            </w:pPr>
            <w:r w:rsidRPr="00444084">
              <w:rPr>
                <w:rFonts w:ascii="Arial" w:hAnsi="Arial" w:cs="Arial"/>
                <w:sz w:val="18"/>
              </w:rPr>
              <w:t>839</w:t>
            </w:r>
          </w:p>
        </w:tc>
        <w:tc>
          <w:tcPr>
            <w:tcW w:w="1992" w:type="dxa"/>
            <w:shd w:val="clear" w:color="auto" w:fill="FBE4D5" w:themeFill="accent2" w:themeFillTint="33"/>
            <w:vAlign w:val="center"/>
          </w:tcPr>
          <w:p w14:paraId="6C3316C0" w14:textId="0A9CDD88" w:rsidR="00585A95" w:rsidRPr="00444084" w:rsidRDefault="00585A95" w:rsidP="00AC4829">
            <w:pPr>
              <w:spacing w:after="0"/>
              <w:rPr>
                <w:rFonts w:ascii="Arial" w:hAnsi="Arial" w:cs="Arial"/>
                <w:sz w:val="18"/>
              </w:rPr>
            </w:pPr>
            <w:r w:rsidRPr="00444084">
              <w:rPr>
                <w:rFonts w:ascii="Arial" w:hAnsi="Arial" w:cs="Arial"/>
                <w:sz w:val="18"/>
              </w:rPr>
              <w:t>46</w:t>
            </w:r>
            <w:r w:rsidR="004A05A9">
              <w:rPr>
                <w:rFonts w:ascii="Arial" w:hAnsi="Arial" w:cs="Arial"/>
                <w:sz w:val="18"/>
              </w:rPr>
              <w:t>3</w:t>
            </w:r>
          </w:p>
        </w:tc>
      </w:tr>
    </w:tbl>
    <w:p w14:paraId="24432E86" w14:textId="405C87F9" w:rsidR="003B53D6" w:rsidRDefault="003B53D6" w:rsidP="008544A5">
      <w:pPr>
        <w:spacing w:after="0"/>
      </w:pPr>
    </w:p>
    <w:p w14:paraId="2D63B6D7" w14:textId="768A5611" w:rsidR="008F65EE" w:rsidRPr="00AC0BA6" w:rsidRDefault="008F65EE" w:rsidP="008F65EE">
      <w:pPr>
        <w:pStyle w:val="ListParagraph"/>
        <w:numPr>
          <w:ilvl w:val="0"/>
          <w:numId w:val="43"/>
        </w:numPr>
        <w:spacing w:after="0"/>
        <w:rPr>
          <w:rFonts w:ascii="Arial" w:hAnsi="Arial" w:cs="Arial"/>
          <w:b/>
        </w:rPr>
      </w:pPr>
      <w:r>
        <w:rPr>
          <w:rFonts w:ascii="Arial" w:hAnsi="Arial" w:cs="Arial"/>
        </w:rPr>
        <w:t>Given the high price tag of the National Strategy, the O-</w:t>
      </w:r>
      <w:r w:rsidR="00C93968">
        <w:rPr>
          <w:rFonts w:ascii="Arial" w:hAnsi="Arial" w:cs="Arial"/>
        </w:rPr>
        <w:t>CC</w:t>
      </w:r>
      <w:r>
        <w:rPr>
          <w:rFonts w:ascii="Arial" w:hAnsi="Arial" w:cs="Arial"/>
        </w:rPr>
        <w:t xml:space="preserve">F scenario, in which </w:t>
      </w:r>
      <w:r w:rsidR="00C93968">
        <w:rPr>
          <w:rFonts w:ascii="Arial" w:hAnsi="Arial" w:cs="Arial"/>
        </w:rPr>
        <w:t>Constant Coverage</w:t>
      </w:r>
      <w:r>
        <w:rPr>
          <w:rFonts w:ascii="Arial" w:hAnsi="Arial" w:cs="Arial"/>
        </w:rPr>
        <w:t xml:space="preserve"> funding levels are more efficiently spent, offers an alternative to achieving the same impact of the NS at a much lower and potentially more affordable cost, and with higher cost-effectiveness</w:t>
      </w:r>
    </w:p>
    <w:p w14:paraId="656A145E" w14:textId="01B5E009" w:rsidR="008F65EE" w:rsidRPr="003B53D6" w:rsidRDefault="008F65EE" w:rsidP="008F65EE">
      <w:pPr>
        <w:pStyle w:val="ListParagraph"/>
        <w:numPr>
          <w:ilvl w:val="0"/>
          <w:numId w:val="43"/>
        </w:numPr>
        <w:rPr>
          <w:b/>
        </w:rPr>
      </w:pPr>
      <w:r w:rsidRPr="00505F88">
        <w:rPr>
          <w:rFonts w:ascii="Arial" w:hAnsi="Arial" w:cs="Arial"/>
        </w:rPr>
        <w:t xml:space="preserve">Technical efficiencies </w:t>
      </w:r>
      <w:r>
        <w:rPr>
          <w:rFonts w:ascii="Arial" w:hAnsi="Arial" w:cs="Arial"/>
        </w:rPr>
        <w:t>assumed in O-</w:t>
      </w:r>
      <w:r w:rsidR="00C93968">
        <w:rPr>
          <w:rFonts w:ascii="Arial" w:hAnsi="Arial" w:cs="Arial"/>
        </w:rPr>
        <w:t>CC</w:t>
      </w:r>
      <w:r>
        <w:rPr>
          <w:rFonts w:ascii="Arial" w:hAnsi="Arial" w:cs="Arial"/>
        </w:rPr>
        <w:t xml:space="preserve">F (related to lowering the cost of treatment) are gaining </w:t>
      </w:r>
      <w:r w:rsidRPr="00505F88">
        <w:rPr>
          <w:rFonts w:ascii="Arial" w:hAnsi="Arial" w:cs="Arial"/>
        </w:rPr>
        <w:t xml:space="preserve">political traction at present and thus may be feasible for Tanzania to </w:t>
      </w:r>
      <w:r>
        <w:rPr>
          <w:rFonts w:ascii="Arial" w:hAnsi="Arial" w:cs="Arial"/>
        </w:rPr>
        <w:t>scale</w:t>
      </w:r>
      <w:r w:rsidRPr="00505F88">
        <w:rPr>
          <w:rFonts w:ascii="Arial" w:hAnsi="Arial" w:cs="Arial"/>
        </w:rPr>
        <w:t xml:space="preserve">.  Allocative efficiencies via geographic targeting are also already under way, </w:t>
      </w:r>
      <w:r>
        <w:rPr>
          <w:rFonts w:ascii="Arial" w:hAnsi="Arial" w:cs="Arial"/>
        </w:rPr>
        <w:t>too</w:t>
      </w:r>
      <w:r w:rsidRPr="00505F88">
        <w:rPr>
          <w:rFonts w:ascii="Arial" w:hAnsi="Arial" w:cs="Arial"/>
        </w:rPr>
        <w:t>.</w:t>
      </w:r>
      <w:r>
        <w:rPr>
          <w:rFonts w:ascii="Arial" w:hAnsi="Arial" w:cs="Arial"/>
        </w:rPr>
        <w:t xml:space="preserve"> </w:t>
      </w:r>
      <w:r w:rsidRPr="00505F88">
        <w:rPr>
          <w:rFonts w:ascii="Arial" w:hAnsi="Arial" w:cs="Arial"/>
        </w:rPr>
        <w:t xml:space="preserve">  </w:t>
      </w:r>
      <w:r>
        <w:rPr>
          <w:rFonts w:ascii="Arial" w:hAnsi="Arial" w:cs="Arial"/>
        </w:rPr>
        <w:t>S</w:t>
      </w:r>
      <w:r w:rsidRPr="00505F88">
        <w:rPr>
          <w:rFonts w:ascii="Arial" w:hAnsi="Arial" w:cs="Arial"/>
        </w:rPr>
        <w:t xml:space="preserve">hifts in the mix of spending on prevention </w:t>
      </w:r>
      <w:r>
        <w:rPr>
          <w:rFonts w:ascii="Arial" w:hAnsi="Arial" w:cs="Arial"/>
        </w:rPr>
        <w:t xml:space="preserve">to the most cost-effective interventions </w:t>
      </w:r>
      <w:r w:rsidRPr="00505F88">
        <w:rPr>
          <w:rFonts w:ascii="Arial" w:hAnsi="Arial" w:cs="Arial"/>
        </w:rPr>
        <w:t xml:space="preserve">would stretch the scarce </w:t>
      </w:r>
      <w:r>
        <w:rPr>
          <w:rFonts w:ascii="Arial" w:hAnsi="Arial" w:cs="Arial"/>
        </w:rPr>
        <w:t xml:space="preserve">prevention </w:t>
      </w:r>
      <w:r w:rsidRPr="00505F88">
        <w:rPr>
          <w:rFonts w:ascii="Arial" w:hAnsi="Arial" w:cs="Arial"/>
        </w:rPr>
        <w:t xml:space="preserve">funds further in pursuit of Tanzania’s outcome targets, but </w:t>
      </w:r>
      <w:r>
        <w:rPr>
          <w:rFonts w:ascii="Arial" w:hAnsi="Arial" w:cs="Arial"/>
        </w:rPr>
        <w:t xml:space="preserve">the political feasibilities of </w:t>
      </w:r>
      <w:r w:rsidRPr="00505F88">
        <w:rPr>
          <w:rFonts w:ascii="Arial" w:hAnsi="Arial" w:cs="Arial"/>
        </w:rPr>
        <w:t>phas</w:t>
      </w:r>
      <w:r>
        <w:rPr>
          <w:rFonts w:ascii="Arial" w:hAnsi="Arial" w:cs="Arial"/>
        </w:rPr>
        <w:t>ing</w:t>
      </w:r>
      <w:r w:rsidRPr="00505F88">
        <w:rPr>
          <w:rFonts w:ascii="Arial" w:hAnsi="Arial" w:cs="Arial"/>
        </w:rPr>
        <w:t xml:space="preserve"> down in certain areas such as behavior change communication while scaling up other prevention services such as VMMC and condom promotion</w:t>
      </w:r>
      <w:r>
        <w:rPr>
          <w:rFonts w:ascii="Arial" w:hAnsi="Arial" w:cs="Arial"/>
        </w:rPr>
        <w:t xml:space="preserve"> is unclear.</w:t>
      </w:r>
      <w:r w:rsidR="00D16277">
        <w:rPr>
          <w:rFonts w:ascii="Arial" w:hAnsi="Arial" w:cs="Arial"/>
        </w:rPr>
        <w:t xml:space="preserve"> </w:t>
      </w:r>
      <w:r w:rsidR="00032469">
        <w:rPr>
          <w:rFonts w:ascii="Arial" w:hAnsi="Arial" w:cs="Arial"/>
        </w:rPr>
        <w:t>We also have little information on the role that BCC interventions may play in increasing acceptance of prevention interventions so that high prevention coverage may be achieved.</w:t>
      </w:r>
    </w:p>
    <w:p w14:paraId="319C582E" w14:textId="77777777" w:rsidR="008F65EE" w:rsidRPr="003B53D6" w:rsidRDefault="008F65EE" w:rsidP="008F65EE">
      <w:pPr>
        <w:pStyle w:val="ListParagraph"/>
        <w:numPr>
          <w:ilvl w:val="0"/>
          <w:numId w:val="43"/>
        </w:numPr>
      </w:pPr>
      <w:r>
        <w:rPr>
          <w:rFonts w:ascii="Arial" w:hAnsi="Arial" w:cs="Arial"/>
        </w:rPr>
        <w:t xml:space="preserve">Using the approach dictated by Optimization, some important interventions, such as cash transfers would not be prioritized based on cost-effectiveness. But there may be other reasons to invest in these interventions, as discussed in Chapter 8, since these programs may generate social and economic benefits that go beyond HIV control.  </w:t>
      </w:r>
    </w:p>
    <w:p w14:paraId="50749173" w14:textId="77777777" w:rsidR="00BD2E89" w:rsidRDefault="00BD2E89">
      <w:pPr>
        <w:rPr>
          <w:rFonts w:ascii="Arial" w:eastAsiaTheme="majorEastAsia" w:hAnsi="Arial" w:cs="Arial"/>
          <w:b/>
          <w:color w:val="C00000"/>
          <w:sz w:val="32"/>
          <w:szCs w:val="32"/>
        </w:rPr>
      </w:pPr>
      <w:r>
        <w:rPr>
          <w:rFonts w:ascii="Arial" w:hAnsi="Arial" w:cs="Arial"/>
          <w:b/>
          <w:color w:val="C00000"/>
        </w:rPr>
        <w:br w:type="page"/>
      </w:r>
    </w:p>
    <w:p w14:paraId="79D06BCC" w14:textId="738BACE4" w:rsidR="00394CCE" w:rsidRPr="00BF0884" w:rsidRDefault="00394CCE" w:rsidP="00BF0884">
      <w:pPr>
        <w:pStyle w:val="Heading1"/>
        <w:rPr>
          <w:rFonts w:ascii="Arial" w:hAnsi="Arial" w:cs="Arial"/>
          <w:b/>
          <w:color w:val="C00000"/>
        </w:rPr>
      </w:pPr>
      <w:bookmarkStart w:id="101" w:name="_Toc57035195"/>
      <w:r w:rsidRPr="00BF0884">
        <w:rPr>
          <w:rFonts w:ascii="Arial" w:hAnsi="Arial" w:cs="Arial"/>
          <w:b/>
          <w:color w:val="C00000"/>
        </w:rPr>
        <w:t xml:space="preserve">CHAPTER 6: </w:t>
      </w:r>
      <w:r w:rsidR="008F65EE">
        <w:rPr>
          <w:rFonts w:ascii="Arial" w:hAnsi="Arial" w:cs="Arial"/>
          <w:b/>
          <w:color w:val="C00000"/>
        </w:rPr>
        <w:t>ADDRESSING POTENTIAL</w:t>
      </w:r>
      <w:r w:rsidR="00CF6281" w:rsidRPr="00BF0884">
        <w:rPr>
          <w:rFonts w:ascii="Arial" w:hAnsi="Arial" w:cs="Arial"/>
          <w:b/>
          <w:color w:val="C00000"/>
        </w:rPr>
        <w:t xml:space="preserve"> DECLINE</w:t>
      </w:r>
      <w:r w:rsidR="00A36AD2">
        <w:rPr>
          <w:rFonts w:ascii="Arial" w:hAnsi="Arial" w:cs="Arial"/>
          <w:b/>
          <w:color w:val="C00000"/>
        </w:rPr>
        <w:t>S</w:t>
      </w:r>
      <w:r w:rsidR="008F65EE">
        <w:rPr>
          <w:rFonts w:ascii="Arial" w:hAnsi="Arial" w:cs="Arial"/>
          <w:b/>
          <w:color w:val="C00000"/>
        </w:rPr>
        <w:t xml:space="preserve"> IN DONOR FUND</w:t>
      </w:r>
      <w:r w:rsidR="002C58F6">
        <w:rPr>
          <w:rFonts w:ascii="Arial" w:hAnsi="Arial" w:cs="Arial"/>
          <w:b/>
          <w:color w:val="C00000"/>
        </w:rPr>
        <w:t>ING</w:t>
      </w:r>
      <w:bookmarkEnd w:id="101"/>
    </w:p>
    <w:p w14:paraId="3C728FF3" w14:textId="3F5022C9" w:rsidR="00EA6C8F" w:rsidRPr="00505F88" w:rsidRDefault="00EA6C8F" w:rsidP="00505F88">
      <w:pPr>
        <w:spacing w:after="0"/>
        <w:rPr>
          <w:b/>
        </w:rPr>
      </w:pPr>
    </w:p>
    <w:p w14:paraId="56AB85BD" w14:textId="0F894F52" w:rsidR="008F65EE" w:rsidRPr="00A24FFC" w:rsidRDefault="008F65EE" w:rsidP="008F65EE">
      <w:pPr>
        <w:rPr>
          <w:rFonts w:ascii="Arial" w:hAnsi="Arial" w:cs="Arial"/>
        </w:rPr>
      </w:pPr>
      <w:r>
        <w:rPr>
          <w:rFonts w:ascii="Arial" w:hAnsi="Arial" w:cs="Arial"/>
        </w:rPr>
        <w:t xml:space="preserve">In the previous chapter, modeling shows that Tanzania could make significant progress and come close to achieving its Fast Track targets using a funding envelope similar to the one available today -- but only if the country adopts a wide array of measures to improve allocative and technical efficiencies, and assuming that total available funding remains at around USD 450-500 M a year.  But there are signals brewing that donor financing could fall in the coming years, from both PEPFAR and the Global Fund.  If the Government fails to pick up the slack, what impact would this have on the national HIV response?  In this chapter we explore such a possibility, assuming that donor funding decreases and there is no increase in domestic financing. </w:t>
      </w:r>
      <w:r w:rsidR="00E7689C">
        <w:rPr>
          <w:rFonts w:ascii="Arial" w:hAnsi="Arial" w:cs="Arial"/>
        </w:rPr>
        <w:t>Even if</w:t>
      </w:r>
      <w:r>
        <w:rPr>
          <w:rFonts w:ascii="Arial" w:hAnsi="Arial" w:cs="Arial"/>
        </w:rPr>
        <w:t xml:space="preserve"> the remaining resources are optimized, what can Tanzania achieve</w:t>
      </w:r>
      <w:r w:rsidR="00E7689C">
        <w:rPr>
          <w:rFonts w:ascii="Arial" w:hAnsi="Arial" w:cs="Arial"/>
        </w:rPr>
        <w:t>?</w:t>
      </w:r>
      <w:r>
        <w:rPr>
          <w:rFonts w:ascii="Arial" w:hAnsi="Arial" w:cs="Arial"/>
        </w:rPr>
        <w:t xml:space="preserve"> </w:t>
      </w:r>
      <w:r w:rsidR="00E7689C">
        <w:rPr>
          <w:rFonts w:ascii="Arial" w:hAnsi="Arial" w:cs="Arial"/>
        </w:rPr>
        <w:t>How much</w:t>
      </w:r>
      <w:r>
        <w:rPr>
          <w:rFonts w:ascii="Arial" w:hAnsi="Arial" w:cs="Arial"/>
        </w:rPr>
        <w:t xml:space="preserve"> will </w:t>
      </w:r>
      <w:r w:rsidR="00422204">
        <w:rPr>
          <w:rFonts w:ascii="Arial" w:hAnsi="Arial" w:cs="Arial"/>
        </w:rPr>
        <w:t xml:space="preserve">the national program </w:t>
      </w:r>
      <w:r>
        <w:rPr>
          <w:rFonts w:ascii="Arial" w:hAnsi="Arial" w:cs="Arial"/>
        </w:rPr>
        <w:t xml:space="preserve">risk falling short of the NS/Fast Track goals? </w:t>
      </w:r>
    </w:p>
    <w:p w14:paraId="2050713A" w14:textId="7718CB83" w:rsidR="00EA6C8F" w:rsidRPr="0005165F" w:rsidRDefault="00EA6C8F" w:rsidP="00EA6C8F">
      <w:pPr>
        <w:pStyle w:val="Heading2"/>
        <w:rPr>
          <w:rFonts w:ascii="Arial" w:hAnsi="Arial" w:cs="Arial"/>
          <w:b/>
          <w:color w:val="000000" w:themeColor="text1"/>
        </w:rPr>
      </w:pPr>
      <w:bookmarkStart w:id="102" w:name="_Toc57035196"/>
      <w:r w:rsidRPr="0005165F">
        <w:rPr>
          <w:rFonts w:ascii="Arial" w:hAnsi="Arial" w:cs="Arial"/>
          <w:b/>
          <w:color w:val="000000" w:themeColor="text1"/>
        </w:rPr>
        <w:t>Context</w:t>
      </w:r>
      <w:r w:rsidR="00456CEF">
        <w:rPr>
          <w:rFonts w:ascii="Arial" w:hAnsi="Arial" w:cs="Arial"/>
          <w:b/>
          <w:color w:val="000000" w:themeColor="text1"/>
        </w:rPr>
        <w:t>: Anticipated declines</w:t>
      </w:r>
      <w:bookmarkEnd w:id="102"/>
    </w:p>
    <w:p w14:paraId="4227506F" w14:textId="4AC5A2BA" w:rsidR="00EA6C8F" w:rsidRPr="00EA6C8F" w:rsidRDefault="00EA6C8F" w:rsidP="00303177">
      <w:pPr>
        <w:spacing w:after="0"/>
      </w:pPr>
    </w:p>
    <w:p w14:paraId="5B99B752" w14:textId="30230365" w:rsidR="00A36AD2" w:rsidRDefault="00A36AD2" w:rsidP="00303177">
      <w:pPr>
        <w:spacing w:after="0"/>
        <w:rPr>
          <w:rFonts w:ascii="Arial" w:hAnsi="Arial" w:cs="Arial"/>
        </w:rPr>
      </w:pPr>
      <w:r w:rsidRPr="00A36AD2">
        <w:rPr>
          <w:rFonts w:ascii="Arial" w:hAnsi="Arial" w:cs="Arial"/>
        </w:rPr>
        <w:t xml:space="preserve">As described in Chapter 2, historically the HIV response has depended largely on external financing. </w:t>
      </w:r>
      <w:r>
        <w:rPr>
          <w:rFonts w:ascii="Arial" w:hAnsi="Arial" w:cs="Arial"/>
        </w:rPr>
        <w:t xml:space="preserve">The government funds less than 10% of the program. </w:t>
      </w:r>
    </w:p>
    <w:p w14:paraId="4A45FCD4" w14:textId="77777777" w:rsidR="00303177" w:rsidRDefault="00303177" w:rsidP="00303177">
      <w:pPr>
        <w:spacing w:after="0"/>
        <w:rPr>
          <w:rFonts w:ascii="Arial" w:hAnsi="Arial" w:cs="Arial"/>
        </w:rPr>
      </w:pPr>
    </w:p>
    <w:p w14:paraId="391882B7" w14:textId="7E92EF07" w:rsidR="00EA6C8F" w:rsidRPr="00A36AD2" w:rsidRDefault="00EA6C8F" w:rsidP="00303177">
      <w:pPr>
        <w:spacing w:after="0"/>
        <w:rPr>
          <w:rFonts w:ascii="Arial" w:hAnsi="Arial" w:cs="Arial"/>
        </w:rPr>
      </w:pPr>
      <w:r w:rsidRPr="00A36AD2">
        <w:rPr>
          <w:rFonts w:ascii="Arial" w:hAnsi="Arial" w:cs="Arial"/>
        </w:rPr>
        <w:t xml:space="preserve">The status of funding from the two major donors is largely determined by the Country Operational Planning (COP) process for PEPFAR and the current GF grant to the Ministry of Finance (MOF). </w:t>
      </w:r>
    </w:p>
    <w:p w14:paraId="789FC2DC" w14:textId="587B2B1F" w:rsidR="00456CEF" w:rsidRPr="00363BF3" w:rsidRDefault="00456CEF" w:rsidP="00303177">
      <w:pPr>
        <w:spacing w:after="0"/>
        <w:rPr>
          <w:rFonts w:ascii="Arial" w:hAnsi="Arial" w:cs="Arial"/>
        </w:rPr>
      </w:pPr>
    </w:p>
    <w:p w14:paraId="5C26A027" w14:textId="7E6D446C" w:rsidR="00363BF3" w:rsidRDefault="00363BF3" w:rsidP="00303177">
      <w:pPr>
        <w:pStyle w:val="Heading3"/>
        <w:rPr>
          <w:rFonts w:ascii="Arial" w:hAnsi="Arial" w:cs="Arial"/>
          <w:i/>
          <w:color w:val="000000" w:themeColor="text1"/>
        </w:rPr>
      </w:pPr>
      <w:bookmarkStart w:id="103" w:name="_Toc57035197"/>
      <w:r w:rsidRPr="00674233">
        <w:rPr>
          <w:rFonts w:ascii="Arial" w:hAnsi="Arial" w:cs="Arial"/>
          <w:i/>
          <w:color w:val="000000" w:themeColor="text1"/>
        </w:rPr>
        <w:t>PEPFAR</w:t>
      </w:r>
      <w:bookmarkEnd w:id="103"/>
      <w:r w:rsidRPr="00674233">
        <w:rPr>
          <w:rFonts w:ascii="Arial" w:hAnsi="Arial" w:cs="Arial"/>
          <w:i/>
          <w:color w:val="000000" w:themeColor="text1"/>
        </w:rPr>
        <w:t xml:space="preserve"> </w:t>
      </w:r>
    </w:p>
    <w:p w14:paraId="40E6D92C" w14:textId="77777777" w:rsidR="00BF183F" w:rsidRPr="00BF183F" w:rsidRDefault="00BF183F" w:rsidP="00303177">
      <w:pPr>
        <w:spacing w:after="0"/>
      </w:pPr>
    </w:p>
    <w:p w14:paraId="047B7CCE" w14:textId="3E07A0BB" w:rsidR="002C58F6" w:rsidRDefault="002C58F6" w:rsidP="002C58F6">
      <w:pPr>
        <w:spacing w:after="0"/>
        <w:rPr>
          <w:rFonts w:ascii="Arial" w:hAnsi="Arial" w:cs="Arial"/>
        </w:rPr>
      </w:pPr>
      <w:r w:rsidRPr="00363BF3">
        <w:rPr>
          <w:rFonts w:ascii="Arial" w:hAnsi="Arial" w:cs="Arial"/>
        </w:rPr>
        <w:t xml:space="preserve">Although the COP </w:t>
      </w:r>
      <w:r>
        <w:rPr>
          <w:rFonts w:ascii="Arial" w:hAnsi="Arial" w:cs="Arial"/>
        </w:rPr>
        <w:t>20</w:t>
      </w:r>
      <w:r w:rsidRPr="00363BF3">
        <w:rPr>
          <w:rFonts w:ascii="Arial" w:hAnsi="Arial" w:cs="Arial"/>
        </w:rPr>
        <w:t>19 had not been finalized at the time of writing the</w:t>
      </w:r>
      <w:r>
        <w:rPr>
          <w:rFonts w:ascii="Arial" w:hAnsi="Arial" w:cs="Arial"/>
        </w:rPr>
        <w:t xml:space="preserve"> IC 2.0</w:t>
      </w:r>
      <w:r w:rsidRPr="00363BF3">
        <w:rPr>
          <w:rFonts w:ascii="Arial" w:hAnsi="Arial" w:cs="Arial"/>
        </w:rPr>
        <w:t xml:space="preserve">, </w:t>
      </w:r>
      <w:r>
        <w:rPr>
          <w:rFonts w:ascii="Arial" w:hAnsi="Arial" w:cs="Arial"/>
        </w:rPr>
        <w:t xml:space="preserve">the January 2019 </w:t>
      </w:r>
      <w:r w:rsidRPr="00363BF3">
        <w:rPr>
          <w:rFonts w:ascii="Arial" w:hAnsi="Arial" w:cs="Arial"/>
        </w:rPr>
        <w:t>planning letter provide</w:t>
      </w:r>
      <w:r>
        <w:rPr>
          <w:rFonts w:ascii="Arial" w:hAnsi="Arial" w:cs="Arial"/>
        </w:rPr>
        <w:t xml:space="preserve">s an </w:t>
      </w:r>
      <w:r w:rsidRPr="00363BF3">
        <w:rPr>
          <w:rFonts w:ascii="Arial" w:hAnsi="Arial" w:cs="Arial"/>
        </w:rPr>
        <w:t>initial envelope of total new funding</w:t>
      </w:r>
      <w:r>
        <w:rPr>
          <w:rFonts w:ascii="Arial" w:hAnsi="Arial" w:cs="Arial"/>
        </w:rPr>
        <w:t xml:space="preserve"> with </w:t>
      </w:r>
      <w:r w:rsidRPr="00363BF3">
        <w:rPr>
          <w:rFonts w:ascii="Arial" w:hAnsi="Arial" w:cs="Arial"/>
        </w:rPr>
        <w:t>earmark</w:t>
      </w:r>
      <w:r>
        <w:rPr>
          <w:rFonts w:ascii="Arial" w:hAnsi="Arial" w:cs="Arial"/>
        </w:rPr>
        <w:t>s for specific priority areas.</w:t>
      </w:r>
      <w:r w:rsidRPr="00363BF3">
        <w:rPr>
          <w:rFonts w:ascii="Arial" w:hAnsi="Arial" w:cs="Arial"/>
        </w:rPr>
        <w:t xml:space="preserve"> Total new funding amounted to </w:t>
      </w:r>
      <w:r w:rsidR="000807B2">
        <w:rPr>
          <w:rFonts w:ascii="Arial" w:hAnsi="Arial" w:cs="Arial"/>
        </w:rPr>
        <w:t xml:space="preserve">USD </w:t>
      </w:r>
      <w:r w:rsidRPr="00363BF3">
        <w:rPr>
          <w:rFonts w:ascii="Arial" w:hAnsi="Arial" w:cs="Arial"/>
        </w:rPr>
        <w:t xml:space="preserve">277.3 </w:t>
      </w:r>
      <w:r>
        <w:rPr>
          <w:rFonts w:ascii="Arial" w:hAnsi="Arial" w:cs="Arial"/>
        </w:rPr>
        <w:t xml:space="preserve">M, </w:t>
      </w:r>
      <w:r w:rsidRPr="00363BF3">
        <w:rPr>
          <w:rFonts w:ascii="Arial" w:hAnsi="Arial" w:cs="Arial"/>
        </w:rPr>
        <w:t xml:space="preserve">a reduction in funding of </w:t>
      </w:r>
      <w:r w:rsidR="000807B2">
        <w:rPr>
          <w:rFonts w:ascii="Arial" w:hAnsi="Arial" w:cs="Arial"/>
        </w:rPr>
        <w:t xml:space="preserve">USD </w:t>
      </w:r>
      <w:r w:rsidRPr="00363BF3">
        <w:rPr>
          <w:rFonts w:ascii="Arial" w:hAnsi="Arial" w:cs="Arial"/>
        </w:rPr>
        <w:t xml:space="preserve">116.4 </w:t>
      </w:r>
      <w:r>
        <w:rPr>
          <w:rFonts w:ascii="Arial" w:hAnsi="Arial" w:cs="Arial"/>
        </w:rPr>
        <w:t xml:space="preserve">M </w:t>
      </w:r>
      <w:r w:rsidRPr="00363BF3">
        <w:rPr>
          <w:rFonts w:ascii="Arial" w:hAnsi="Arial" w:cs="Arial"/>
        </w:rPr>
        <w:t xml:space="preserve">(30%) when compared to new funding in COP </w:t>
      </w:r>
      <w:r>
        <w:rPr>
          <w:rFonts w:ascii="Arial" w:hAnsi="Arial" w:cs="Arial"/>
        </w:rPr>
        <w:t>20</w:t>
      </w:r>
      <w:r w:rsidRPr="00363BF3">
        <w:rPr>
          <w:rFonts w:ascii="Arial" w:hAnsi="Arial" w:cs="Arial"/>
        </w:rPr>
        <w:t xml:space="preserve">18. </w:t>
      </w:r>
      <w:r>
        <w:rPr>
          <w:rFonts w:ascii="Arial" w:hAnsi="Arial" w:cs="Arial"/>
        </w:rPr>
        <w:t>When accounting for the applied pipeline, the reduction from COP 2018 levels would be 23% (USD 3</w:t>
      </w:r>
      <w:r w:rsidR="00007844">
        <w:rPr>
          <w:rFonts w:ascii="Arial" w:hAnsi="Arial" w:cs="Arial"/>
        </w:rPr>
        <w:t>24</w:t>
      </w:r>
      <w:r>
        <w:rPr>
          <w:rFonts w:ascii="Arial" w:hAnsi="Arial" w:cs="Arial"/>
        </w:rPr>
        <w:t xml:space="preserve"> M). Looking at the allocation of PEPFAR funds, </w:t>
      </w:r>
      <w:r w:rsidRPr="00363BF3">
        <w:rPr>
          <w:rFonts w:ascii="Arial" w:hAnsi="Arial" w:cs="Arial"/>
        </w:rPr>
        <w:t xml:space="preserve">the most significant decline is in treatment care and support and in orphans and vulnerable children. The planning letter highlights numerous conditions and areas of concern which have resulted in reduced funding and </w:t>
      </w:r>
      <w:r>
        <w:rPr>
          <w:rFonts w:ascii="Arial" w:hAnsi="Arial" w:cs="Arial"/>
        </w:rPr>
        <w:t xml:space="preserve">calls for them to be addressed urgently. </w:t>
      </w:r>
      <w:r w:rsidRPr="00363BF3">
        <w:rPr>
          <w:rFonts w:ascii="Arial" w:hAnsi="Arial" w:cs="Arial"/>
        </w:rPr>
        <w:t xml:space="preserve"> The</w:t>
      </w:r>
      <w:r>
        <w:rPr>
          <w:rFonts w:ascii="Arial" w:hAnsi="Arial" w:cs="Arial"/>
        </w:rPr>
        <w:t>se</w:t>
      </w:r>
      <w:r w:rsidRPr="00363BF3">
        <w:rPr>
          <w:rFonts w:ascii="Arial" w:hAnsi="Arial" w:cs="Arial"/>
        </w:rPr>
        <w:t xml:space="preserve"> include “gaps in case-finding, linkage to and retention in HIV medical treatment, tuberculosis screening and treatment in PLHIV, transitioning to fixed-dose combination dolutegravir, and viral load monitoring and suppression rates</w:t>
      </w:r>
      <w:r>
        <w:rPr>
          <w:rFonts w:ascii="Arial" w:hAnsi="Arial" w:cs="Arial"/>
        </w:rPr>
        <w:t>.</w:t>
      </w:r>
      <w:r w:rsidRPr="00363BF3">
        <w:rPr>
          <w:rFonts w:ascii="Arial" w:hAnsi="Arial" w:cs="Arial"/>
        </w:rPr>
        <w:t xml:space="preserve">” </w:t>
      </w:r>
      <w:r>
        <w:rPr>
          <w:rFonts w:ascii="Arial" w:hAnsi="Arial" w:cs="Arial"/>
        </w:rPr>
        <w:t>The planning letter states that s</w:t>
      </w:r>
      <w:r w:rsidRPr="00363BF3">
        <w:rPr>
          <w:rFonts w:ascii="Arial" w:hAnsi="Arial" w:cs="Arial"/>
        </w:rPr>
        <w:t xml:space="preserve">everal </w:t>
      </w:r>
      <w:r>
        <w:rPr>
          <w:rFonts w:ascii="Arial" w:hAnsi="Arial" w:cs="Arial"/>
        </w:rPr>
        <w:t xml:space="preserve">national </w:t>
      </w:r>
      <w:r w:rsidRPr="00363BF3">
        <w:rPr>
          <w:rFonts w:ascii="Arial" w:hAnsi="Arial" w:cs="Arial"/>
        </w:rPr>
        <w:t xml:space="preserve">policies act as barriers to health services for key populations and may lead to increased stigma and discrimination. </w:t>
      </w:r>
    </w:p>
    <w:p w14:paraId="1865F5C9" w14:textId="77777777" w:rsidR="00303177" w:rsidRDefault="00303177" w:rsidP="00303177">
      <w:pPr>
        <w:spacing w:after="0"/>
        <w:rPr>
          <w:rFonts w:ascii="Arial" w:hAnsi="Arial" w:cs="Arial"/>
        </w:rPr>
      </w:pPr>
    </w:p>
    <w:p w14:paraId="5739B370" w14:textId="093E5E68" w:rsidR="00363BF3" w:rsidRPr="008544A5" w:rsidRDefault="003C7BE3" w:rsidP="00363BF3">
      <w:pPr>
        <w:rPr>
          <w:rFonts w:ascii="Arial" w:hAnsi="Arial" w:cs="Arial"/>
          <w:i/>
          <w:sz w:val="18"/>
        </w:rPr>
      </w:pPr>
      <w:r w:rsidRPr="008544A5">
        <w:rPr>
          <w:rFonts w:ascii="Arial" w:hAnsi="Arial" w:cs="Arial"/>
          <w:i/>
          <w:sz w:val="18"/>
        </w:rPr>
        <w:t xml:space="preserve">Figure </w:t>
      </w:r>
      <w:r w:rsidR="007C1806" w:rsidRPr="008544A5">
        <w:rPr>
          <w:rFonts w:ascii="Arial" w:hAnsi="Arial" w:cs="Arial"/>
          <w:i/>
          <w:sz w:val="18"/>
        </w:rPr>
        <w:t>6-1</w:t>
      </w:r>
      <w:r w:rsidRPr="008544A5">
        <w:rPr>
          <w:rFonts w:ascii="Arial" w:hAnsi="Arial" w:cs="Arial"/>
          <w:i/>
          <w:sz w:val="18"/>
        </w:rPr>
        <w:t>. Comparison of PEPFAR funding levels for COP</w:t>
      </w:r>
      <w:r w:rsidR="00607E5F">
        <w:rPr>
          <w:rFonts w:ascii="Arial" w:hAnsi="Arial" w:cs="Arial"/>
          <w:i/>
          <w:sz w:val="18"/>
        </w:rPr>
        <w:t xml:space="preserve"> 20</w:t>
      </w:r>
      <w:r w:rsidRPr="008544A5">
        <w:rPr>
          <w:rFonts w:ascii="Arial" w:hAnsi="Arial" w:cs="Arial"/>
          <w:i/>
          <w:sz w:val="18"/>
        </w:rPr>
        <w:t>1</w:t>
      </w:r>
      <w:r w:rsidR="006B494F">
        <w:rPr>
          <w:rFonts w:ascii="Arial" w:hAnsi="Arial" w:cs="Arial"/>
          <w:i/>
          <w:sz w:val="18"/>
        </w:rPr>
        <w:t>8</w:t>
      </w:r>
      <w:r w:rsidRPr="008544A5">
        <w:rPr>
          <w:rFonts w:ascii="Arial" w:hAnsi="Arial" w:cs="Arial"/>
          <w:i/>
          <w:sz w:val="18"/>
        </w:rPr>
        <w:t xml:space="preserve"> and COP</w:t>
      </w:r>
      <w:r w:rsidR="00607E5F">
        <w:rPr>
          <w:rFonts w:ascii="Arial" w:hAnsi="Arial" w:cs="Arial"/>
          <w:i/>
          <w:sz w:val="18"/>
        </w:rPr>
        <w:t xml:space="preserve"> 20</w:t>
      </w:r>
      <w:r w:rsidRPr="008544A5">
        <w:rPr>
          <w:rFonts w:ascii="Arial" w:hAnsi="Arial" w:cs="Arial"/>
          <w:i/>
          <w:sz w:val="18"/>
        </w:rPr>
        <w:t>19</w:t>
      </w:r>
    </w:p>
    <w:p w14:paraId="5BA5B331" w14:textId="77777777" w:rsidR="00363BF3" w:rsidRDefault="00363BF3" w:rsidP="00363BF3">
      <w:r>
        <w:rPr>
          <w:noProof/>
        </w:rPr>
        <w:drawing>
          <wp:inline distT="0" distB="0" distL="0" distR="0" wp14:anchorId="7ED84107" wp14:editId="2823024C">
            <wp:extent cx="5191125" cy="1577340"/>
            <wp:effectExtent l="0" t="0" r="9525" b="3810"/>
            <wp:docPr id="70" name="Chart 70">
              <a:extLst xmlns:a="http://schemas.openxmlformats.org/drawingml/2006/main">
                <a:ext uri="{FF2B5EF4-FFF2-40B4-BE49-F238E27FC236}">
                  <a16:creationId xmlns:a16="http://schemas.microsoft.com/office/drawing/2014/main" id="{D4EB0DA8-D2FB-4107-86CA-BC4556244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79B588" w14:textId="63548B05" w:rsidR="00C7416B" w:rsidRPr="00C7416B" w:rsidRDefault="002C58F6" w:rsidP="00C7416B">
      <w:pPr>
        <w:rPr>
          <w:rFonts w:ascii="Arial" w:hAnsi="Arial" w:cs="Arial"/>
        </w:rPr>
      </w:pPr>
      <w:r>
        <w:rPr>
          <w:rFonts w:ascii="Arial" w:hAnsi="Arial" w:cs="Arial"/>
        </w:rPr>
        <w:t>Even though the fresh PEPFAR allocation for Tanzania has been cut dramatically, total available funding for FY</w:t>
      </w:r>
      <w:r w:rsidR="006B494F">
        <w:rPr>
          <w:rFonts w:ascii="Arial" w:hAnsi="Arial" w:cs="Arial"/>
        </w:rPr>
        <w:t>20</w:t>
      </w:r>
      <w:r>
        <w:rPr>
          <w:rFonts w:ascii="Arial" w:hAnsi="Arial" w:cs="Arial"/>
        </w:rPr>
        <w:t xml:space="preserve"> </w:t>
      </w:r>
      <w:r w:rsidR="00C7416B">
        <w:rPr>
          <w:rFonts w:ascii="Arial" w:hAnsi="Arial" w:cs="Arial"/>
        </w:rPr>
        <w:t>would also include pipeline funding that could soften this reduction</w:t>
      </w:r>
      <w:r w:rsidR="000515C1">
        <w:rPr>
          <w:rFonts w:ascii="Arial" w:hAnsi="Arial" w:cs="Arial"/>
        </w:rPr>
        <w:t>.</w:t>
      </w:r>
      <w:r>
        <w:rPr>
          <w:rFonts w:ascii="Arial" w:hAnsi="Arial" w:cs="Arial"/>
        </w:rPr>
        <w:t xml:space="preserve"> </w:t>
      </w:r>
      <w:r w:rsidR="00C7416B">
        <w:rPr>
          <w:rFonts w:ascii="Arial" w:hAnsi="Arial" w:cs="Arial"/>
        </w:rPr>
        <w:t>The pipeline includes bridging finance at the end of the year which is</w:t>
      </w:r>
      <w:r w:rsidR="00C7416B" w:rsidRPr="00C7416B">
        <w:rPr>
          <w:rFonts w:ascii="Arial" w:hAnsi="Arial" w:cs="Arial"/>
        </w:rPr>
        <w:t xml:space="preserve"> </w:t>
      </w:r>
      <w:r w:rsidR="00C7416B">
        <w:rPr>
          <w:rFonts w:ascii="Arial" w:hAnsi="Arial" w:cs="Arial"/>
        </w:rPr>
        <w:t>typically estimated at 3 months of budget. For 2019-20, this would be</w:t>
      </w:r>
      <w:r w:rsidR="00C7416B" w:rsidRPr="00C7416B">
        <w:rPr>
          <w:rFonts w:ascii="Arial" w:hAnsi="Arial" w:cs="Arial"/>
        </w:rPr>
        <w:t xml:space="preserve"> </w:t>
      </w:r>
      <w:r w:rsidR="00C7416B">
        <w:rPr>
          <w:rFonts w:ascii="Arial" w:hAnsi="Arial" w:cs="Arial"/>
        </w:rPr>
        <w:t xml:space="preserve">USD </w:t>
      </w:r>
      <w:r w:rsidR="00C7416B" w:rsidRPr="00C7416B">
        <w:rPr>
          <w:rFonts w:ascii="Arial" w:hAnsi="Arial" w:cs="Arial"/>
        </w:rPr>
        <w:t>70</w:t>
      </w:r>
      <w:r w:rsidR="00C7416B">
        <w:rPr>
          <w:rFonts w:ascii="Arial" w:hAnsi="Arial" w:cs="Arial"/>
        </w:rPr>
        <w:t xml:space="preserve"> M</w:t>
      </w:r>
      <w:r w:rsidR="000807B2">
        <w:rPr>
          <w:rFonts w:ascii="Arial" w:hAnsi="Arial" w:cs="Arial"/>
        </w:rPr>
        <w:t xml:space="preserve"> (based on USD 277 M budget for the year)</w:t>
      </w:r>
      <w:r w:rsidR="00C7416B">
        <w:rPr>
          <w:rFonts w:ascii="Arial" w:hAnsi="Arial" w:cs="Arial"/>
        </w:rPr>
        <w:t>. The</w:t>
      </w:r>
      <w:r w:rsidR="00C7416B" w:rsidRPr="00C7416B">
        <w:rPr>
          <w:rFonts w:ascii="Arial" w:hAnsi="Arial" w:cs="Arial"/>
        </w:rPr>
        <w:t xml:space="preserve"> reduction of pipeline is the released cash – so about </w:t>
      </w:r>
      <w:r w:rsidR="00C7416B">
        <w:rPr>
          <w:rFonts w:ascii="Arial" w:hAnsi="Arial" w:cs="Arial"/>
        </w:rPr>
        <w:t xml:space="preserve">USD </w:t>
      </w:r>
      <w:r w:rsidR="00C7416B" w:rsidRPr="00C7416B">
        <w:rPr>
          <w:rFonts w:ascii="Arial" w:hAnsi="Arial" w:cs="Arial"/>
        </w:rPr>
        <w:t>47</w:t>
      </w:r>
      <w:r w:rsidR="00C7416B">
        <w:rPr>
          <w:rFonts w:ascii="Arial" w:hAnsi="Arial" w:cs="Arial"/>
        </w:rPr>
        <w:t xml:space="preserve"> M, or 2 months of funding</w:t>
      </w:r>
      <w:r w:rsidR="000807B2">
        <w:rPr>
          <w:rFonts w:ascii="Arial" w:hAnsi="Arial" w:cs="Arial"/>
        </w:rPr>
        <w:t xml:space="preserve">- </w:t>
      </w:r>
      <w:r w:rsidR="00C7416B" w:rsidRPr="00C7416B">
        <w:rPr>
          <w:rFonts w:ascii="Arial" w:hAnsi="Arial" w:cs="Arial"/>
        </w:rPr>
        <w:t xml:space="preserve">which takes funding </w:t>
      </w:r>
      <w:r w:rsidR="000807B2">
        <w:rPr>
          <w:rFonts w:ascii="Arial" w:hAnsi="Arial" w:cs="Arial"/>
        </w:rPr>
        <w:t>for FY 20</w:t>
      </w:r>
      <w:r w:rsidR="00C7416B" w:rsidRPr="00C7416B">
        <w:rPr>
          <w:rFonts w:ascii="Arial" w:hAnsi="Arial" w:cs="Arial"/>
        </w:rPr>
        <w:t xml:space="preserve"> to a most likely </w:t>
      </w:r>
      <w:r w:rsidR="00C7416B">
        <w:rPr>
          <w:rFonts w:ascii="Arial" w:hAnsi="Arial" w:cs="Arial"/>
        </w:rPr>
        <w:t xml:space="preserve">USD </w:t>
      </w:r>
      <w:r w:rsidR="00C7416B" w:rsidRPr="00C7416B">
        <w:rPr>
          <w:rFonts w:ascii="Arial" w:hAnsi="Arial" w:cs="Arial"/>
        </w:rPr>
        <w:t>324 M</w:t>
      </w:r>
      <w:r w:rsidR="00C7416B">
        <w:rPr>
          <w:rFonts w:ascii="Arial" w:hAnsi="Arial" w:cs="Arial"/>
        </w:rPr>
        <w:t xml:space="preserve"> (USD 277 M plus USD 47 M).</w:t>
      </w:r>
    </w:p>
    <w:p w14:paraId="5574B671" w14:textId="270C2EE4" w:rsidR="00BF183F" w:rsidRDefault="002C58F6" w:rsidP="00F07840">
      <w:r>
        <w:rPr>
          <w:rFonts w:ascii="Arial" w:hAnsi="Arial" w:cs="Arial"/>
        </w:rPr>
        <w:t>This</w:t>
      </w:r>
      <w:r w:rsidR="000807B2">
        <w:rPr>
          <w:rFonts w:ascii="Arial" w:hAnsi="Arial" w:cs="Arial"/>
        </w:rPr>
        <w:t xml:space="preserve"> additional USD 47 M</w:t>
      </w:r>
      <w:r>
        <w:rPr>
          <w:rFonts w:ascii="Arial" w:hAnsi="Arial" w:cs="Arial"/>
        </w:rPr>
        <w:t xml:space="preserve"> means that Tanzania may not experience a</w:t>
      </w:r>
      <w:r w:rsidR="00C7416B">
        <w:rPr>
          <w:rFonts w:ascii="Arial" w:hAnsi="Arial" w:cs="Arial"/>
        </w:rPr>
        <w:t xml:space="preserve">s </w:t>
      </w:r>
      <w:r>
        <w:rPr>
          <w:rFonts w:ascii="Arial" w:hAnsi="Arial" w:cs="Arial"/>
        </w:rPr>
        <w:t>serious</w:t>
      </w:r>
      <w:r w:rsidR="00C7416B">
        <w:rPr>
          <w:rFonts w:ascii="Arial" w:hAnsi="Arial" w:cs="Arial"/>
        </w:rPr>
        <w:t xml:space="preserve"> of a</w:t>
      </w:r>
      <w:r>
        <w:rPr>
          <w:rFonts w:ascii="Arial" w:hAnsi="Arial" w:cs="Arial"/>
        </w:rPr>
        <w:t xml:space="preserve"> crunch during FY</w:t>
      </w:r>
      <w:r w:rsidR="006B494F">
        <w:rPr>
          <w:rFonts w:ascii="Arial" w:hAnsi="Arial" w:cs="Arial"/>
        </w:rPr>
        <w:t>20</w:t>
      </w:r>
      <w:r>
        <w:rPr>
          <w:rFonts w:ascii="Arial" w:hAnsi="Arial" w:cs="Arial"/>
        </w:rPr>
        <w:t>, but if the pipeline is exhausted and further cuts in new funding envelopes occur, especially if the USG’s concerns expressed in the planning letter are not resolved</w:t>
      </w:r>
      <w:r w:rsidR="0099346C">
        <w:rPr>
          <w:rFonts w:ascii="Arial" w:hAnsi="Arial" w:cs="Arial"/>
        </w:rPr>
        <w:t xml:space="preserve"> (PEFPAR 2019b)</w:t>
      </w:r>
      <w:r>
        <w:rPr>
          <w:rFonts w:ascii="Arial" w:hAnsi="Arial" w:cs="Arial"/>
        </w:rPr>
        <w:t>, the prospects for PEPF</w:t>
      </w:r>
      <w:r w:rsidR="00007844">
        <w:rPr>
          <w:rFonts w:ascii="Arial" w:hAnsi="Arial" w:cs="Arial"/>
        </w:rPr>
        <w:t>A</w:t>
      </w:r>
      <w:r>
        <w:rPr>
          <w:rFonts w:ascii="Arial" w:hAnsi="Arial" w:cs="Arial"/>
        </w:rPr>
        <w:t xml:space="preserve">R funding </w:t>
      </w:r>
      <w:r w:rsidR="00C7416B">
        <w:rPr>
          <w:rFonts w:ascii="Arial" w:hAnsi="Arial" w:cs="Arial"/>
        </w:rPr>
        <w:t xml:space="preserve">for </w:t>
      </w:r>
      <w:r w:rsidR="000807B2">
        <w:rPr>
          <w:rFonts w:ascii="Arial" w:hAnsi="Arial" w:cs="Arial"/>
        </w:rPr>
        <w:t xml:space="preserve">beyond </w:t>
      </w:r>
      <w:r>
        <w:rPr>
          <w:rFonts w:ascii="Arial" w:hAnsi="Arial" w:cs="Arial"/>
        </w:rPr>
        <w:t>2020 could entail further reductions</w:t>
      </w:r>
      <w:r w:rsidR="000807B2">
        <w:rPr>
          <w:rFonts w:ascii="Arial" w:hAnsi="Arial" w:cs="Arial"/>
        </w:rPr>
        <w:t xml:space="preserve"> that push allocations</w:t>
      </w:r>
      <w:r>
        <w:rPr>
          <w:rFonts w:ascii="Arial" w:hAnsi="Arial" w:cs="Arial"/>
        </w:rPr>
        <w:t xml:space="preserve"> below the </w:t>
      </w:r>
      <w:r w:rsidR="00C7416B">
        <w:rPr>
          <w:rFonts w:ascii="Arial" w:hAnsi="Arial" w:cs="Arial"/>
        </w:rPr>
        <w:t xml:space="preserve">USD </w:t>
      </w:r>
      <w:r>
        <w:rPr>
          <w:rFonts w:ascii="Arial" w:hAnsi="Arial" w:cs="Arial"/>
        </w:rPr>
        <w:t xml:space="preserve">300 </w:t>
      </w:r>
      <w:r w:rsidR="000807B2">
        <w:rPr>
          <w:rFonts w:ascii="Arial" w:hAnsi="Arial" w:cs="Arial"/>
        </w:rPr>
        <w:t>M</w:t>
      </w:r>
      <w:r>
        <w:rPr>
          <w:rFonts w:ascii="Arial" w:hAnsi="Arial" w:cs="Arial"/>
        </w:rPr>
        <w:t xml:space="preserve"> a year level.</w:t>
      </w:r>
    </w:p>
    <w:p w14:paraId="7A760191" w14:textId="0E906B65" w:rsidR="00363BF3" w:rsidRPr="00674233" w:rsidRDefault="00363BF3" w:rsidP="00BF183F">
      <w:pPr>
        <w:pStyle w:val="Heading3"/>
        <w:rPr>
          <w:rFonts w:ascii="Arial" w:hAnsi="Arial" w:cs="Arial"/>
          <w:i/>
          <w:color w:val="000000" w:themeColor="text1"/>
        </w:rPr>
      </w:pPr>
      <w:bookmarkStart w:id="104" w:name="_Toc57035198"/>
      <w:r w:rsidRPr="00674233">
        <w:rPr>
          <w:rFonts w:ascii="Arial" w:hAnsi="Arial" w:cs="Arial"/>
          <w:i/>
          <w:color w:val="000000" w:themeColor="text1"/>
        </w:rPr>
        <w:t>Global Fund</w:t>
      </w:r>
      <w:bookmarkEnd w:id="104"/>
      <w:r w:rsidRPr="00674233">
        <w:rPr>
          <w:rFonts w:ascii="Arial" w:hAnsi="Arial" w:cs="Arial"/>
          <w:i/>
          <w:color w:val="000000" w:themeColor="text1"/>
        </w:rPr>
        <w:t xml:space="preserve"> </w:t>
      </w:r>
    </w:p>
    <w:p w14:paraId="2008CCFF" w14:textId="77777777" w:rsidR="00363BF3" w:rsidRPr="00363BF3" w:rsidRDefault="00363BF3" w:rsidP="00BF183F">
      <w:pPr>
        <w:spacing w:after="0"/>
      </w:pPr>
    </w:p>
    <w:p w14:paraId="4FB089CE" w14:textId="6D1CD204" w:rsidR="00363BF3" w:rsidRDefault="00363BF3" w:rsidP="00BF183F">
      <w:pPr>
        <w:spacing w:after="0"/>
        <w:rPr>
          <w:rFonts w:ascii="Arial" w:hAnsi="Arial" w:cs="Arial"/>
        </w:rPr>
      </w:pPr>
      <w:r w:rsidRPr="00363BF3">
        <w:rPr>
          <w:rFonts w:ascii="Arial" w:hAnsi="Arial" w:cs="Arial"/>
        </w:rPr>
        <w:t>Current levels of Global Fund funding are determined by the grant agreements signed with the two princip</w:t>
      </w:r>
      <w:r w:rsidR="00BF183F">
        <w:rPr>
          <w:rFonts w:ascii="Arial" w:hAnsi="Arial" w:cs="Arial"/>
        </w:rPr>
        <w:t>al</w:t>
      </w:r>
      <w:r w:rsidRPr="00363BF3">
        <w:rPr>
          <w:rFonts w:ascii="Arial" w:hAnsi="Arial" w:cs="Arial"/>
        </w:rPr>
        <w:t xml:space="preserve"> recipients (PRs) in Tanzania, MOF and AMREF. </w:t>
      </w:r>
      <w:r>
        <w:rPr>
          <w:rFonts w:ascii="Arial" w:hAnsi="Arial" w:cs="Arial"/>
        </w:rPr>
        <w:t xml:space="preserve">The current Global Fund grant (2018-2020) will still apply through 2020. </w:t>
      </w:r>
      <w:r w:rsidRPr="00363BF3">
        <w:rPr>
          <w:rFonts w:ascii="Arial" w:hAnsi="Arial" w:cs="Arial"/>
        </w:rPr>
        <w:t xml:space="preserve">The total grant amounts to </w:t>
      </w:r>
      <w:r w:rsidR="00007844">
        <w:rPr>
          <w:rFonts w:ascii="Arial" w:hAnsi="Arial" w:cs="Arial"/>
        </w:rPr>
        <w:t xml:space="preserve">USD </w:t>
      </w:r>
      <w:r w:rsidRPr="00363BF3">
        <w:rPr>
          <w:rFonts w:ascii="Arial" w:hAnsi="Arial" w:cs="Arial"/>
        </w:rPr>
        <w:t xml:space="preserve">367.6 </w:t>
      </w:r>
      <w:r w:rsidR="00BF183F">
        <w:rPr>
          <w:rFonts w:ascii="Arial" w:hAnsi="Arial" w:cs="Arial"/>
        </w:rPr>
        <w:t>M</w:t>
      </w:r>
      <w:r w:rsidRPr="00363BF3">
        <w:rPr>
          <w:rFonts w:ascii="Arial" w:hAnsi="Arial" w:cs="Arial"/>
        </w:rPr>
        <w:t xml:space="preserve"> for HIV interventions and has been allocated almost evenly over the three years (2018-2020) which implies approximately </w:t>
      </w:r>
      <w:r w:rsidR="00007844">
        <w:rPr>
          <w:rFonts w:ascii="Arial" w:hAnsi="Arial" w:cs="Arial"/>
        </w:rPr>
        <w:t xml:space="preserve">USD </w:t>
      </w:r>
      <w:r w:rsidRPr="00363BF3">
        <w:rPr>
          <w:rFonts w:ascii="Arial" w:hAnsi="Arial" w:cs="Arial"/>
        </w:rPr>
        <w:t xml:space="preserve">120 </w:t>
      </w:r>
      <w:r w:rsidR="00BF183F">
        <w:rPr>
          <w:rFonts w:ascii="Arial" w:hAnsi="Arial" w:cs="Arial"/>
        </w:rPr>
        <w:t>M</w:t>
      </w:r>
      <w:r w:rsidRPr="00363BF3">
        <w:rPr>
          <w:rFonts w:ascii="Arial" w:hAnsi="Arial" w:cs="Arial"/>
        </w:rPr>
        <w:t xml:space="preserve"> per annum over the grant period. </w:t>
      </w:r>
    </w:p>
    <w:p w14:paraId="47C86F7C" w14:textId="77777777" w:rsidR="00BF183F" w:rsidRPr="00363BF3" w:rsidRDefault="00BF183F" w:rsidP="00BF183F">
      <w:pPr>
        <w:spacing w:after="0"/>
        <w:rPr>
          <w:rFonts w:ascii="Arial" w:hAnsi="Arial" w:cs="Arial"/>
          <w:b/>
        </w:rPr>
      </w:pPr>
    </w:p>
    <w:p w14:paraId="2FBBE4EE" w14:textId="77777777" w:rsidR="002C58F6" w:rsidRDefault="002C58F6" w:rsidP="002C58F6">
      <w:pPr>
        <w:spacing w:after="0"/>
      </w:pPr>
      <w:r w:rsidRPr="00363BF3">
        <w:rPr>
          <w:rFonts w:ascii="Arial" w:hAnsi="Arial" w:cs="Arial"/>
        </w:rPr>
        <w:t>Global Fund has no concrete guidance for what will happen to the available funding in Tanzania moving forward,</w:t>
      </w:r>
      <w:r>
        <w:rPr>
          <w:rFonts w:ascii="Arial" w:hAnsi="Arial" w:cs="Arial"/>
        </w:rPr>
        <w:t xml:space="preserve"> including for the next grant cycle 2021-2023,</w:t>
      </w:r>
      <w:r w:rsidRPr="00363BF3">
        <w:rPr>
          <w:rFonts w:ascii="Arial" w:hAnsi="Arial" w:cs="Arial"/>
        </w:rPr>
        <w:t xml:space="preserve"> but consultations revealed that it is unlikely </w:t>
      </w:r>
      <w:r>
        <w:rPr>
          <w:rFonts w:ascii="Arial" w:hAnsi="Arial" w:cs="Arial"/>
        </w:rPr>
        <w:t xml:space="preserve">that </w:t>
      </w:r>
      <w:r w:rsidRPr="00363BF3">
        <w:rPr>
          <w:rFonts w:ascii="Arial" w:hAnsi="Arial" w:cs="Arial"/>
        </w:rPr>
        <w:t xml:space="preserve">Global Fund funding </w:t>
      </w:r>
      <w:r>
        <w:rPr>
          <w:rFonts w:ascii="Arial" w:hAnsi="Arial" w:cs="Arial"/>
        </w:rPr>
        <w:t xml:space="preserve">will </w:t>
      </w:r>
      <w:r w:rsidRPr="00363BF3">
        <w:rPr>
          <w:rFonts w:ascii="Arial" w:hAnsi="Arial" w:cs="Arial"/>
        </w:rPr>
        <w:t>increase and declines are possible</w:t>
      </w:r>
      <w:r>
        <w:t>.</w:t>
      </w:r>
    </w:p>
    <w:p w14:paraId="208A2CCB" w14:textId="77777777" w:rsidR="00363BF3" w:rsidRPr="00363BF3" w:rsidRDefault="00363BF3" w:rsidP="002C58F6">
      <w:pPr>
        <w:spacing w:after="0"/>
      </w:pPr>
    </w:p>
    <w:p w14:paraId="35B35738" w14:textId="4A4A973E" w:rsidR="00363BF3" w:rsidRPr="00674233" w:rsidRDefault="00363BF3" w:rsidP="0071346A">
      <w:pPr>
        <w:pStyle w:val="Heading2"/>
        <w:rPr>
          <w:rFonts w:ascii="Arial" w:hAnsi="Arial" w:cs="Arial"/>
          <w:b/>
          <w:color w:val="000000" w:themeColor="text1"/>
        </w:rPr>
      </w:pPr>
      <w:bookmarkStart w:id="105" w:name="_Toc57035199"/>
      <w:r w:rsidRPr="00674233">
        <w:rPr>
          <w:rFonts w:ascii="Arial" w:hAnsi="Arial" w:cs="Arial"/>
          <w:b/>
          <w:color w:val="000000" w:themeColor="text1"/>
        </w:rPr>
        <w:t>Modeling Assumptions</w:t>
      </w:r>
      <w:bookmarkEnd w:id="105"/>
    </w:p>
    <w:p w14:paraId="2A98F5C6" w14:textId="49197503" w:rsidR="00674233" w:rsidRDefault="00674233" w:rsidP="0071346A">
      <w:pPr>
        <w:spacing w:after="0"/>
      </w:pPr>
    </w:p>
    <w:p w14:paraId="56761517" w14:textId="78C95CFE" w:rsidR="00674233" w:rsidRDefault="00674233" w:rsidP="0071346A">
      <w:pPr>
        <w:spacing w:after="0"/>
        <w:rPr>
          <w:rFonts w:ascii="Arial" w:hAnsi="Arial" w:cs="Arial"/>
        </w:rPr>
      </w:pPr>
      <w:r>
        <w:rPr>
          <w:rFonts w:ascii="Arial" w:hAnsi="Arial" w:cs="Arial"/>
        </w:rPr>
        <w:t xml:space="preserve">The Declining Donor </w:t>
      </w:r>
      <w:r w:rsidR="00BF183F">
        <w:rPr>
          <w:rFonts w:ascii="Arial" w:hAnsi="Arial" w:cs="Arial"/>
        </w:rPr>
        <w:t xml:space="preserve">Funding </w:t>
      </w:r>
      <w:r>
        <w:rPr>
          <w:rFonts w:ascii="Arial" w:hAnsi="Arial" w:cs="Arial"/>
        </w:rPr>
        <w:t>scenario (</w:t>
      </w:r>
      <w:r w:rsidR="00BF183F">
        <w:rPr>
          <w:rFonts w:ascii="Arial" w:hAnsi="Arial" w:cs="Arial"/>
        </w:rPr>
        <w:t xml:space="preserve">O-DDF) </w:t>
      </w:r>
      <w:r>
        <w:rPr>
          <w:rFonts w:ascii="Arial" w:hAnsi="Arial" w:cs="Arial"/>
        </w:rPr>
        <w:t>aim</w:t>
      </w:r>
      <w:r w:rsidR="00BF183F">
        <w:rPr>
          <w:rFonts w:ascii="Arial" w:hAnsi="Arial" w:cs="Arial"/>
        </w:rPr>
        <w:t>s</w:t>
      </w:r>
      <w:r>
        <w:rPr>
          <w:rFonts w:ascii="Arial" w:hAnsi="Arial" w:cs="Arial"/>
        </w:rPr>
        <w:t xml:space="preserve"> to model the impact on the national HIV response of declining donor funds, assuming no other additional </w:t>
      </w:r>
      <w:r w:rsidR="00BF183F">
        <w:rPr>
          <w:rFonts w:ascii="Arial" w:hAnsi="Arial" w:cs="Arial"/>
        </w:rPr>
        <w:t xml:space="preserve">(domestic or external) </w:t>
      </w:r>
      <w:r>
        <w:rPr>
          <w:rFonts w:ascii="Arial" w:hAnsi="Arial" w:cs="Arial"/>
        </w:rPr>
        <w:t xml:space="preserve">financing would be available. </w:t>
      </w:r>
    </w:p>
    <w:p w14:paraId="60016360" w14:textId="77777777" w:rsidR="002B3153" w:rsidRDefault="002B3153" w:rsidP="0071346A">
      <w:pPr>
        <w:spacing w:after="0"/>
        <w:rPr>
          <w:rFonts w:ascii="Arial" w:hAnsi="Arial" w:cs="Arial"/>
        </w:rPr>
      </w:pPr>
    </w:p>
    <w:p w14:paraId="70AAC3E3" w14:textId="0FB8468A" w:rsidR="00674233" w:rsidRDefault="00674233" w:rsidP="00674233">
      <w:pPr>
        <w:rPr>
          <w:rFonts w:ascii="Arial" w:hAnsi="Arial" w:cs="Arial"/>
        </w:rPr>
      </w:pPr>
      <w:r>
        <w:rPr>
          <w:rFonts w:ascii="Arial" w:hAnsi="Arial" w:cs="Arial"/>
        </w:rPr>
        <w:t xml:space="preserve">Since neither PEPFAR or Global Fund could project with certainty the magnitude of anticipated declines, </w:t>
      </w:r>
      <w:r w:rsidR="00BF183F">
        <w:rPr>
          <w:rFonts w:ascii="Arial" w:hAnsi="Arial" w:cs="Arial"/>
        </w:rPr>
        <w:t>it was</w:t>
      </w:r>
      <w:r>
        <w:rPr>
          <w:rFonts w:ascii="Arial" w:hAnsi="Arial" w:cs="Arial"/>
        </w:rPr>
        <w:t xml:space="preserve"> assumed that PEPFAR funding would continue to </w:t>
      </w:r>
      <w:r w:rsidR="00BF183F">
        <w:rPr>
          <w:rFonts w:ascii="Arial" w:hAnsi="Arial" w:cs="Arial"/>
        </w:rPr>
        <w:t xml:space="preserve">fall </w:t>
      </w:r>
      <w:r>
        <w:rPr>
          <w:rFonts w:ascii="Arial" w:hAnsi="Arial" w:cs="Arial"/>
        </w:rPr>
        <w:t xml:space="preserve">15% every 3 years </w:t>
      </w:r>
      <w:r w:rsidR="00BF183F">
        <w:rPr>
          <w:rFonts w:ascii="Arial" w:hAnsi="Arial" w:cs="Arial"/>
        </w:rPr>
        <w:t>following the already announced</w:t>
      </w:r>
      <w:r>
        <w:rPr>
          <w:rFonts w:ascii="Arial" w:hAnsi="Arial" w:cs="Arial"/>
        </w:rPr>
        <w:t xml:space="preserve"> </w:t>
      </w:r>
      <w:r w:rsidR="00BF183F">
        <w:rPr>
          <w:rFonts w:ascii="Arial" w:hAnsi="Arial" w:cs="Arial"/>
        </w:rPr>
        <w:t>FY19</w:t>
      </w:r>
      <w:r>
        <w:rPr>
          <w:rFonts w:ascii="Arial" w:hAnsi="Arial" w:cs="Arial"/>
        </w:rPr>
        <w:t xml:space="preserve"> cuts</w:t>
      </w:r>
      <w:r w:rsidR="00BF183F">
        <w:rPr>
          <w:rFonts w:ascii="Arial" w:hAnsi="Arial" w:cs="Arial"/>
        </w:rPr>
        <w:t>,</w:t>
      </w:r>
      <w:r>
        <w:rPr>
          <w:rFonts w:ascii="Arial" w:hAnsi="Arial" w:cs="Arial"/>
        </w:rPr>
        <w:t xml:space="preserve"> and that Global Fund would decline </w:t>
      </w:r>
      <w:r w:rsidR="00BF183F">
        <w:rPr>
          <w:rFonts w:ascii="Arial" w:hAnsi="Arial" w:cs="Arial"/>
        </w:rPr>
        <w:t xml:space="preserve">by </w:t>
      </w:r>
      <w:r>
        <w:rPr>
          <w:rFonts w:ascii="Arial" w:hAnsi="Arial" w:cs="Arial"/>
        </w:rPr>
        <w:t xml:space="preserve">10% every 3 years </w:t>
      </w:r>
      <w:r w:rsidR="00BF183F">
        <w:rPr>
          <w:rFonts w:ascii="Arial" w:hAnsi="Arial" w:cs="Arial"/>
        </w:rPr>
        <w:t>in line with the GF replenishment cycles</w:t>
      </w:r>
      <w:r>
        <w:rPr>
          <w:rFonts w:ascii="Arial" w:hAnsi="Arial" w:cs="Arial"/>
        </w:rPr>
        <w:t>. These assumptions were set as a modeling exercise and have not been endorsed by either donor</w:t>
      </w:r>
      <w:r w:rsidR="00835A5A">
        <w:rPr>
          <w:rFonts w:ascii="Arial" w:hAnsi="Arial" w:cs="Arial"/>
        </w:rPr>
        <w:t>, but both</w:t>
      </w:r>
      <w:r>
        <w:rPr>
          <w:rFonts w:ascii="Arial" w:hAnsi="Arial" w:cs="Arial"/>
        </w:rPr>
        <w:t xml:space="preserve"> </w:t>
      </w:r>
      <w:r w:rsidR="002C58F6">
        <w:rPr>
          <w:rFonts w:ascii="Arial" w:hAnsi="Arial" w:cs="Arial"/>
        </w:rPr>
        <w:t xml:space="preserve">donors </w:t>
      </w:r>
      <w:r>
        <w:rPr>
          <w:rFonts w:ascii="Arial" w:hAnsi="Arial" w:cs="Arial"/>
        </w:rPr>
        <w:t>have indicated that Tanzania should be prepared for</w:t>
      </w:r>
      <w:r w:rsidR="00835A5A">
        <w:rPr>
          <w:rFonts w:ascii="Arial" w:hAnsi="Arial" w:cs="Arial"/>
        </w:rPr>
        <w:t xml:space="preserve"> a</w:t>
      </w:r>
      <w:r>
        <w:rPr>
          <w:rFonts w:ascii="Arial" w:hAnsi="Arial" w:cs="Arial"/>
        </w:rPr>
        <w:t xml:space="preserve"> </w:t>
      </w:r>
      <w:r w:rsidR="00C601C7">
        <w:rPr>
          <w:rFonts w:ascii="Arial" w:hAnsi="Arial" w:cs="Arial"/>
        </w:rPr>
        <w:t>reduction in donor investment</w:t>
      </w:r>
      <w:r>
        <w:rPr>
          <w:rFonts w:ascii="Arial" w:hAnsi="Arial" w:cs="Arial"/>
        </w:rPr>
        <w:t xml:space="preserve"> over time. </w:t>
      </w:r>
    </w:p>
    <w:p w14:paraId="2B76CF89" w14:textId="77777777" w:rsidR="002C58F6" w:rsidRPr="00674233" w:rsidRDefault="002C58F6" w:rsidP="002C58F6">
      <w:pPr>
        <w:rPr>
          <w:rFonts w:ascii="Arial" w:hAnsi="Arial" w:cs="Arial"/>
        </w:rPr>
      </w:pPr>
      <w:r>
        <w:rPr>
          <w:rFonts w:ascii="Arial" w:hAnsi="Arial" w:cs="Arial"/>
        </w:rPr>
        <w:t xml:space="preserve">The O-DDF Scenario assumes optimization would be implemented to the reduced funding envelope, thus estimating the upper boundary of what could be achieved with the limited remaining resources. </w:t>
      </w:r>
    </w:p>
    <w:p w14:paraId="0CF75A6F" w14:textId="21B1238F" w:rsidR="007C1806" w:rsidRPr="008544A5" w:rsidRDefault="007C1806" w:rsidP="00674233">
      <w:pPr>
        <w:rPr>
          <w:rFonts w:ascii="Arial" w:hAnsi="Arial" w:cs="Arial"/>
          <w:i/>
          <w:sz w:val="18"/>
        </w:rPr>
      </w:pPr>
      <w:r w:rsidRPr="008544A5">
        <w:rPr>
          <w:rFonts w:ascii="Arial" w:hAnsi="Arial" w:cs="Arial"/>
          <w:i/>
          <w:sz w:val="18"/>
        </w:rPr>
        <w:t xml:space="preserve">Figure 6-2 Modeling Assumptions for Optimization- Declining Donor </w:t>
      </w:r>
      <w:r w:rsidR="00835A5A">
        <w:rPr>
          <w:rFonts w:ascii="Arial" w:hAnsi="Arial" w:cs="Arial"/>
          <w:i/>
          <w:sz w:val="18"/>
        </w:rPr>
        <w:t xml:space="preserve">Funding </w:t>
      </w:r>
      <w:r w:rsidRPr="008544A5">
        <w:rPr>
          <w:rFonts w:ascii="Arial" w:hAnsi="Arial" w:cs="Arial"/>
          <w:i/>
          <w:sz w:val="18"/>
        </w:rPr>
        <w:t>Scenario</w:t>
      </w:r>
    </w:p>
    <w:tbl>
      <w:tblPr>
        <w:tblpPr w:leftFromText="180" w:rightFromText="180" w:vertAnchor="text" w:horzAnchor="margin" w:tblpY="164"/>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5"/>
        <w:gridCol w:w="2070"/>
        <w:gridCol w:w="5532"/>
      </w:tblGrid>
      <w:tr w:rsidR="007C1806" w:rsidRPr="00311475" w14:paraId="374C4823" w14:textId="77777777" w:rsidTr="009F5706">
        <w:trPr>
          <w:trHeight w:val="220"/>
        </w:trPr>
        <w:tc>
          <w:tcPr>
            <w:tcW w:w="1885" w:type="dxa"/>
            <w:shd w:val="clear" w:color="auto" w:fill="FFFFFF" w:themeFill="background1"/>
            <w:vAlign w:val="center"/>
          </w:tcPr>
          <w:p w14:paraId="54878441" w14:textId="1EB4B514" w:rsidR="007C1806" w:rsidRPr="00311475" w:rsidRDefault="007C1806" w:rsidP="00060DBD">
            <w:pPr>
              <w:spacing w:after="0"/>
              <w:rPr>
                <w:rFonts w:ascii="Arial" w:hAnsi="Arial" w:cs="Arial"/>
                <w:b/>
                <w:sz w:val="18"/>
                <w:szCs w:val="18"/>
              </w:rPr>
            </w:pPr>
            <w:r w:rsidRPr="00311475">
              <w:rPr>
                <w:rFonts w:ascii="Arial" w:hAnsi="Arial" w:cs="Arial"/>
                <w:b/>
                <w:sz w:val="18"/>
                <w:szCs w:val="18"/>
              </w:rPr>
              <w:t>Abbreviation</w:t>
            </w:r>
          </w:p>
        </w:tc>
        <w:tc>
          <w:tcPr>
            <w:tcW w:w="7602" w:type="dxa"/>
            <w:gridSpan w:val="2"/>
            <w:shd w:val="clear" w:color="auto" w:fill="FFFFFF" w:themeFill="background1"/>
            <w:vAlign w:val="center"/>
          </w:tcPr>
          <w:p w14:paraId="6DE9A42D" w14:textId="27010DD2" w:rsidR="007C1806" w:rsidRPr="00311475" w:rsidRDefault="007C1806" w:rsidP="00060DBD">
            <w:pPr>
              <w:spacing w:after="0"/>
              <w:rPr>
                <w:rFonts w:ascii="Arial" w:hAnsi="Arial" w:cs="Arial"/>
                <w:sz w:val="18"/>
                <w:szCs w:val="18"/>
              </w:rPr>
            </w:pPr>
            <w:r w:rsidRPr="00311475">
              <w:rPr>
                <w:rFonts w:ascii="Arial" w:hAnsi="Arial" w:cs="Arial"/>
                <w:sz w:val="18"/>
                <w:szCs w:val="18"/>
              </w:rPr>
              <w:t>O-DD</w:t>
            </w:r>
            <w:r w:rsidR="00835A5A" w:rsidRPr="00311475">
              <w:rPr>
                <w:rFonts w:ascii="Arial" w:hAnsi="Arial" w:cs="Arial"/>
                <w:sz w:val="18"/>
                <w:szCs w:val="18"/>
              </w:rPr>
              <w:t>F</w:t>
            </w:r>
          </w:p>
        </w:tc>
      </w:tr>
      <w:tr w:rsidR="00674233" w:rsidRPr="00311475" w14:paraId="21F3808C" w14:textId="77777777" w:rsidTr="009F5706">
        <w:trPr>
          <w:trHeight w:val="220"/>
        </w:trPr>
        <w:tc>
          <w:tcPr>
            <w:tcW w:w="1885" w:type="dxa"/>
            <w:shd w:val="clear" w:color="auto" w:fill="FFFFFF" w:themeFill="background1"/>
            <w:vAlign w:val="center"/>
          </w:tcPr>
          <w:p w14:paraId="2C3C3E52" w14:textId="12E4489B" w:rsidR="00674233" w:rsidRPr="00311475" w:rsidRDefault="00674233" w:rsidP="00060DBD">
            <w:pPr>
              <w:spacing w:after="0"/>
              <w:rPr>
                <w:rFonts w:ascii="Arial" w:hAnsi="Arial" w:cs="Arial"/>
                <w:b/>
                <w:sz w:val="18"/>
                <w:szCs w:val="18"/>
              </w:rPr>
            </w:pPr>
            <w:r w:rsidRPr="00311475">
              <w:rPr>
                <w:rFonts w:ascii="Arial" w:hAnsi="Arial" w:cs="Arial"/>
                <w:b/>
                <w:sz w:val="18"/>
                <w:szCs w:val="18"/>
              </w:rPr>
              <w:t>Coverage o</w:t>
            </w:r>
            <w:r w:rsidR="00060DBD" w:rsidRPr="00311475">
              <w:rPr>
                <w:rFonts w:ascii="Arial" w:hAnsi="Arial" w:cs="Arial"/>
                <w:b/>
                <w:sz w:val="18"/>
                <w:szCs w:val="18"/>
              </w:rPr>
              <w:t>r</w:t>
            </w:r>
            <w:r w:rsidRPr="00311475">
              <w:rPr>
                <w:rFonts w:ascii="Arial" w:hAnsi="Arial" w:cs="Arial"/>
                <w:b/>
                <w:sz w:val="18"/>
                <w:szCs w:val="18"/>
              </w:rPr>
              <w:t xml:space="preserve"> budget driven</w:t>
            </w:r>
            <w:r w:rsidR="00060DBD" w:rsidRPr="00311475">
              <w:rPr>
                <w:rFonts w:ascii="Arial" w:hAnsi="Arial" w:cs="Arial"/>
                <w:b/>
                <w:sz w:val="18"/>
                <w:szCs w:val="18"/>
              </w:rPr>
              <w:t>?</w:t>
            </w:r>
          </w:p>
        </w:tc>
        <w:tc>
          <w:tcPr>
            <w:tcW w:w="7602" w:type="dxa"/>
            <w:gridSpan w:val="2"/>
            <w:shd w:val="clear" w:color="auto" w:fill="FFFFFF" w:themeFill="background1"/>
            <w:vAlign w:val="center"/>
          </w:tcPr>
          <w:p w14:paraId="1E2F91A7" w14:textId="67ED88F7" w:rsidR="00674233" w:rsidRPr="00311475" w:rsidRDefault="003B2713" w:rsidP="00060DBD">
            <w:pPr>
              <w:spacing w:after="0"/>
              <w:rPr>
                <w:rFonts w:ascii="Arial" w:hAnsi="Arial" w:cs="Arial"/>
                <w:sz w:val="18"/>
                <w:szCs w:val="18"/>
              </w:rPr>
            </w:pPr>
            <w:r w:rsidRPr="00311475">
              <w:rPr>
                <w:rFonts w:ascii="Arial" w:hAnsi="Arial" w:cs="Arial"/>
                <w:sz w:val="18"/>
                <w:szCs w:val="18"/>
              </w:rPr>
              <w:t>Funding-constraint</w:t>
            </w:r>
          </w:p>
        </w:tc>
      </w:tr>
      <w:tr w:rsidR="00674233" w:rsidRPr="00311475" w14:paraId="46105C10" w14:textId="77777777" w:rsidTr="009F5706">
        <w:trPr>
          <w:trHeight w:val="109"/>
        </w:trPr>
        <w:tc>
          <w:tcPr>
            <w:tcW w:w="1885" w:type="dxa"/>
            <w:shd w:val="clear" w:color="auto" w:fill="FFFFFF" w:themeFill="background1"/>
            <w:vAlign w:val="center"/>
          </w:tcPr>
          <w:p w14:paraId="15973C46" w14:textId="521862CB" w:rsidR="00674233" w:rsidRPr="00311475" w:rsidRDefault="00674233" w:rsidP="00060DBD">
            <w:pPr>
              <w:spacing w:after="0"/>
              <w:rPr>
                <w:rFonts w:ascii="Arial" w:hAnsi="Arial" w:cs="Arial"/>
                <w:b/>
                <w:sz w:val="18"/>
                <w:szCs w:val="18"/>
              </w:rPr>
            </w:pPr>
            <w:r w:rsidRPr="00311475">
              <w:rPr>
                <w:rFonts w:ascii="Arial" w:hAnsi="Arial" w:cs="Arial"/>
                <w:b/>
                <w:sz w:val="18"/>
                <w:szCs w:val="18"/>
              </w:rPr>
              <w:t>Coverage</w:t>
            </w:r>
            <w:r w:rsidR="009815E0" w:rsidRPr="00311475">
              <w:rPr>
                <w:rFonts w:ascii="Arial" w:hAnsi="Arial" w:cs="Arial"/>
                <w:b/>
                <w:sz w:val="18"/>
                <w:szCs w:val="18"/>
              </w:rPr>
              <w:t xml:space="preserve"> target</w:t>
            </w:r>
          </w:p>
        </w:tc>
        <w:tc>
          <w:tcPr>
            <w:tcW w:w="7602" w:type="dxa"/>
            <w:gridSpan w:val="2"/>
            <w:shd w:val="clear" w:color="auto" w:fill="FFFFFF" w:themeFill="background1"/>
            <w:vAlign w:val="center"/>
          </w:tcPr>
          <w:p w14:paraId="65F012DC" w14:textId="6B045359" w:rsidR="00674233" w:rsidRPr="00311475" w:rsidRDefault="00512414" w:rsidP="00060DBD">
            <w:pPr>
              <w:spacing w:after="0"/>
              <w:rPr>
                <w:rFonts w:ascii="Arial" w:hAnsi="Arial" w:cs="Arial"/>
                <w:sz w:val="18"/>
                <w:szCs w:val="18"/>
              </w:rPr>
            </w:pPr>
            <w:r>
              <w:rPr>
                <w:rFonts w:ascii="Arial" w:hAnsi="Arial" w:cs="Arial"/>
                <w:sz w:val="18"/>
                <w:szCs w:val="18"/>
              </w:rPr>
              <w:t xml:space="preserve">Maximized </w:t>
            </w:r>
            <w:r w:rsidR="008D00C9">
              <w:rPr>
                <w:rFonts w:ascii="Arial" w:hAnsi="Arial" w:cs="Arial"/>
                <w:sz w:val="18"/>
                <w:szCs w:val="18"/>
              </w:rPr>
              <w:t>after accounting for savings from Optimization</w:t>
            </w:r>
            <w:r>
              <w:rPr>
                <w:rFonts w:ascii="Arial" w:hAnsi="Arial" w:cs="Arial"/>
                <w:sz w:val="18"/>
                <w:szCs w:val="18"/>
              </w:rPr>
              <w:t>; Reaches 68% of adult PLHIV (15 years +) on ART in 2030</w:t>
            </w:r>
          </w:p>
        </w:tc>
      </w:tr>
      <w:tr w:rsidR="00060DBD" w:rsidRPr="00311475" w14:paraId="7844BCAA" w14:textId="77777777" w:rsidTr="009F5706">
        <w:trPr>
          <w:trHeight w:val="147"/>
        </w:trPr>
        <w:tc>
          <w:tcPr>
            <w:tcW w:w="1885" w:type="dxa"/>
            <w:vMerge w:val="restart"/>
            <w:shd w:val="clear" w:color="auto" w:fill="FFFFFF" w:themeFill="background1"/>
            <w:vAlign w:val="center"/>
          </w:tcPr>
          <w:p w14:paraId="2500EB52" w14:textId="1EAC59F4" w:rsidR="00060DBD" w:rsidRPr="00311475" w:rsidRDefault="00060DBD" w:rsidP="00060DBD">
            <w:pPr>
              <w:spacing w:after="0"/>
              <w:rPr>
                <w:rFonts w:ascii="Arial" w:hAnsi="Arial" w:cs="Arial"/>
                <w:b/>
                <w:sz w:val="18"/>
                <w:szCs w:val="18"/>
              </w:rPr>
            </w:pPr>
            <w:r w:rsidRPr="00311475">
              <w:rPr>
                <w:rFonts w:ascii="Arial" w:hAnsi="Arial" w:cs="Arial"/>
                <w:b/>
                <w:sz w:val="18"/>
                <w:szCs w:val="18"/>
              </w:rPr>
              <w:t>Funding constraint</w:t>
            </w:r>
          </w:p>
        </w:tc>
        <w:tc>
          <w:tcPr>
            <w:tcW w:w="2070" w:type="dxa"/>
            <w:shd w:val="clear" w:color="auto" w:fill="FFFFFF" w:themeFill="background1"/>
            <w:vAlign w:val="center"/>
          </w:tcPr>
          <w:p w14:paraId="2F5071EC" w14:textId="77777777" w:rsidR="00060DBD" w:rsidRPr="00311475" w:rsidRDefault="00060DBD" w:rsidP="00060DBD">
            <w:pPr>
              <w:spacing w:after="0"/>
              <w:rPr>
                <w:rFonts w:ascii="Arial" w:hAnsi="Arial" w:cs="Arial"/>
                <w:i/>
                <w:sz w:val="18"/>
                <w:szCs w:val="18"/>
              </w:rPr>
            </w:pPr>
            <w:r w:rsidRPr="00311475">
              <w:rPr>
                <w:rFonts w:ascii="Arial" w:hAnsi="Arial" w:cs="Arial"/>
                <w:i/>
                <w:sz w:val="18"/>
                <w:szCs w:val="18"/>
              </w:rPr>
              <w:t>PEPFAR</w:t>
            </w:r>
          </w:p>
        </w:tc>
        <w:tc>
          <w:tcPr>
            <w:tcW w:w="5532" w:type="dxa"/>
            <w:shd w:val="clear" w:color="auto" w:fill="FFFFFF" w:themeFill="background1"/>
            <w:vAlign w:val="center"/>
          </w:tcPr>
          <w:p w14:paraId="19557252" w14:textId="750D3193" w:rsidR="00060DBD" w:rsidRPr="00311475" w:rsidRDefault="00060DBD" w:rsidP="00060DBD">
            <w:pPr>
              <w:spacing w:after="0"/>
              <w:rPr>
                <w:rFonts w:ascii="Arial" w:hAnsi="Arial" w:cs="Arial"/>
                <w:sz w:val="18"/>
                <w:szCs w:val="18"/>
              </w:rPr>
            </w:pPr>
            <w:r w:rsidRPr="00311475">
              <w:rPr>
                <w:rFonts w:ascii="Arial" w:hAnsi="Arial" w:cs="Arial"/>
                <w:sz w:val="18"/>
                <w:szCs w:val="18"/>
              </w:rPr>
              <w:t>23% decline 2020</w:t>
            </w:r>
            <w:r w:rsidR="009F5706">
              <w:rPr>
                <w:rFonts w:ascii="Arial" w:hAnsi="Arial" w:cs="Arial"/>
                <w:sz w:val="18"/>
                <w:szCs w:val="18"/>
              </w:rPr>
              <w:t xml:space="preserve"> </w:t>
            </w:r>
          </w:p>
          <w:p w14:paraId="3C2F2900" w14:textId="524237C5" w:rsidR="00060DBD" w:rsidRPr="00311475" w:rsidRDefault="00060DBD" w:rsidP="00060DBD">
            <w:pPr>
              <w:spacing w:after="0"/>
              <w:rPr>
                <w:rFonts w:ascii="Arial" w:hAnsi="Arial" w:cs="Arial"/>
                <w:sz w:val="18"/>
                <w:szCs w:val="18"/>
              </w:rPr>
            </w:pPr>
            <w:r w:rsidRPr="00311475">
              <w:rPr>
                <w:rFonts w:ascii="Arial" w:hAnsi="Arial" w:cs="Arial"/>
                <w:sz w:val="18"/>
                <w:szCs w:val="18"/>
              </w:rPr>
              <w:t xml:space="preserve">15% decline every 3 </w:t>
            </w:r>
            <w:r w:rsidR="00422204" w:rsidRPr="00311475">
              <w:rPr>
                <w:rFonts w:ascii="Arial" w:hAnsi="Arial" w:cs="Arial"/>
                <w:sz w:val="18"/>
                <w:szCs w:val="18"/>
              </w:rPr>
              <w:t>years</w:t>
            </w:r>
            <w:r w:rsidRPr="00311475">
              <w:rPr>
                <w:rFonts w:ascii="Arial" w:hAnsi="Arial" w:cs="Arial"/>
                <w:sz w:val="18"/>
                <w:szCs w:val="18"/>
              </w:rPr>
              <w:t xml:space="preserve"> after</w:t>
            </w:r>
            <w:r w:rsidR="009F5706">
              <w:rPr>
                <w:rFonts w:ascii="Arial" w:hAnsi="Arial" w:cs="Arial"/>
                <w:sz w:val="18"/>
                <w:szCs w:val="18"/>
              </w:rPr>
              <w:t xml:space="preserve"> </w:t>
            </w:r>
          </w:p>
        </w:tc>
      </w:tr>
      <w:tr w:rsidR="00060DBD" w:rsidRPr="00311475" w14:paraId="15AAAF0E" w14:textId="77777777" w:rsidTr="009F5706">
        <w:trPr>
          <w:trHeight w:val="150"/>
        </w:trPr>
        <w:tc>
          <w:tcPr>
            <w:tcW w:w="1885" w:type="dxa"/>
            <w:vMerge/>
            <w:shd w:val="clear" w:color="auto" w:fill="FFFFFF" w:themeFill="background1"/>
            <w:vAlign w:val="center"/>
          </w:tcPr>
          <w:p w14:paraId="0006B388" w14:textId="77777777" w:rsidR="00060DBD" w:rsidRPr="00311475" w:rsidRDefault="00060DBD" w:rsidP="00060DBD">
            <w:pPr>
              <w:spacing w:after="0"/>
              <w:rPr>
                <w:rFonts w:ascii="Arial" w:hAnsi="Arial" w:cs="Arial"/>
                <w:b/>
                <w:sz w:val="18"/>
                <w:szCs w:val="18"/>
              </w:rPr>
            </w:pPr>
          </w:p>
        </w:tc>
        <w:tc>
          <w:tcPr>
            <w:tcW w:w="2070" w:type="dxa"/>
            <w:shd w:val="clear" w:color="auto" w:fill="FFFFFF" w:themeFill="background1"/>
            <w:vAlign w:val="center"/>
          </w:tcPr>
          <w:p w14:paraId="1C221FEE" w14:textId="77777777" w:rsidR="00060DBD" w:rsidRPr="00311475" w:rsidRDefault="00060DBD" w:rsidP="00060DBD">
            <w:pPr>
              <w:spacing w:after="0"/>
              <w:rPr>
                <w:rFonts w:ascii="Arial" w:hAnsi="Arial" w:cs="Arial"/>
                <w:i/>
                <w:sz w:val="18"/>
                <w:szCs w:val="18"/>
              </w:rPr>
            </w:pPr>
            <w:r w:rsidRPr="00311475">
              <w:rPr>
                <w:rFonts w:ascii="Arial" w:hAnsi="Arial" w:cs="Arial"/>
                <w:i/>
                <w:sz w:val="18"/>
                <w:szCs w:val="18"/>
              </w:rPr>
              <w:t>Global Fund</w:t>
            </w:r>
          </w:p>
        </w:tc>
        <w:tc>
          <w:tcPr>
            <w:tcW w:w="5532" w:type="dxa"/>
            <w:shd w:val="clear" w:color="auto" w:fill="FFFFFF" w:themeFill="background1"/>
            <w:vAlign w:val="center"/>
          </w:tcPr>
          <w:p w14:paraId="642FB7CA" w14:textId="0F6564FB" w:rsidR="00060DBD" w:rsidRPr="00311475" w:rsidRDefault="00060DBD" w:rsidP="00060DBD">
            <w:pPr>
              <w:spacing w:after="0"/>
              <w:rPr>
                <w:rFonts w:ascii="Arial" w:hAnsi="Arial" w:cs="Arial"/>
                <w:sz w:val="18"/>
                <w:szCs w:val="18"/>
              </w:rPr>
            </w:pPr>
            <w:r w:rsidRPr="00311475">
              <w:rPr>
                <w:rFonts w:ascii="Arial" w:hAnsi="Arial" w:cs="Arial"/>
                <w:sz w:val="18"/>
                <w:szCs w:val="18"/>
              </w:rPr>
              <w:t>10% decline every 3 years starting 202</w:t>
            </w:r>
            <w:r w:rsidR="009F5706">
              <w:rPr>
                <w:rFonts w:ascii="Arial" w:hAnsi="Arial" w:cs="Arial"/>
                <w:sz w:val="18"/>
                <w:szCs w:val="18"/>
              </w:rPr>
              <w:t>1</w:t>
            </w:r>
          </w:p>
        </w:tc>
      </w:tr>
      <w:tr w:rsidR="00060DBD" w:rsidRPr="00311475" w14:paraId="62F306D0" w14:textId="77777777" w:rsidTr="009F5706">
        <w:trPr>
          <w:trHeight w:val="216"/>
        </w:trPr>
        <w:tc>
          <w:tcPr>
            <w:tcW w:w="1885" w:type="dxa"/>
            <w:vMerge/>
            <w:shd w:val="clear" w:color="auto" w:fill="FFFFFF" w:themeFill="background1"/>
            <w:vAlign w:val="center"/>
          </w:tcPr>
          <w:p w14:paraId="500A6A6D" w14:textId="77777777" w:rsidR="00060DBD" w:rsidRPr="00311475" w:rsidRDefault="00060DBD" w:rsidP="00060DBD">
            <w:pPr>
              <w:spacing w:after="0"/>
              <w:rPr>
                <w:rFonts w:ascii="Arial" w:hAnsi="Arial" w:cs="Arial"/>
                <w:b/>
                <w:sz w:val="18"/>
                <w:szCs w:val="18"/>
              </w:rPr>
            </w:pPr>
          </w:p>
        </w:tc>
        <w:tc>
          <w:tcPr>
            <w:tcW w:w="2070" w:type="dxa"/>
            <w:shd w:val="clear" w:color="auto" w:fill="FFFFFF" w:themeFill="background1"/>
            <w:vAlign w:val="center"/>
          </w:tcPr>
          <w:p w14:paraId="3AA1B63C" w14:textId="77777777" w:rsidR="00060DBD" w:rsidRPr="00311475" w:rsidRDefault="00060DBD" w:rsidP="00060DBD">
            <w:pPr>
              <w:spacing w:after="0"/>
              <w:rPr>
                <w:rFonts w:ascii="Arial" w:hAnsi="Arial" w:cs="Arial"/>
                <w:i/>
                <w:sz w:val="18"/>
                <w:szCs w:val="18"/>
              </w:rPr>
            </w:pPr>
            <w:r w:rsidRPr="00311475">
              <w:rPr>
                <w:rFonts w:ascii="Arial" w:hAnsi="Arial" w:cs="Arial"/>
                <w:i/>
                <w:sz w:val="18"/>
                <w:szCs w:val="18"/>
              </w:rPr>
              <w:t>Domestic</w:t>
            </w:r>
          </w:p>
        </w:tc>
        <w:tc>
          <w:tcPr>
            <w:tcW w:w="5532" w:type="dxa"/>
            <w:shd w:val="clear" w:color="auto" w:fill="FFFFFF" w:themeFill="background1"/>
            <w:vAlign w:val="center"/>
          </w:tcPr>
          <w:p w14:paraId="68D8DF15" w14:textId="05A7D992" w:rsidR="00060DBD" w:rsidRPr="00311475" w:rsidRDefault="00060DBD" w:rsidP="00060DBD">
            <w:pPr>
              <w:spacing w:after="0"/>
              <w:rPr>
                <w:rFonts w:ascii="Arial" w:hAnsi="Arial" w:cs="Arial"/>
                <w:sz w:val="18"/>
                <w:szCs w:val="18"/>
              </w:rPr>
            </w:pPr>
            <w:r w:rsidRPr="00311475">
              <w:rPr>
                <w:rFonts w:ascii="Arial" w:hAnsi="Arial" w:cs="Arial"/>
                <w:sz w:val="18"/>
                <w:szCs w:val="18"/>
              </w:rPr>
              <w:t>Constant</w:t>
            </w:r>
            <w:r w:rsidR="00512414">
              <w:rPr>
                <w:rFonts w:ascii="Arial" w:hAnsi="Arial" w:cs="Arial"/>
                <w:sz w:val="18"/>
                <w:szCs w:val="18"/>
              </w:rPr>
              <w:t xml:space="preserve"> </w:t>
            </w:r>
            <w:r w:rsidR="009F5706">
              <w:rPr>
                <w:rFonts w:ascii="Arial" w:hAnsi="Arial" w:cs="Arial"/>
                <w:sz w:val="18"/>
                <w:szCs w:val="18"/>
              </w:rPr>
              <w:t>(USD 55 M annually)</w:t>
            </w:r>
          </w:p>
        </w:tc>
      </w:tr>
      <w:tr w:rsidR="009F5706" w:rsidRPr="00311475" w14:paraId="002E7798" w14:textId="77777777" w:rsidTr="009F5706">
        <w:trPr>
          <w:trHeight w:val="216"/>
        </w:trPr>
        <w:tc>
          <w:tcPr>
            <w:tcW w:w="1885" w:type="dxa"/>
            <w:vMerge/>
            <w:shd w:val="clear" w:color="auto" w:fill="FFFFFF" w:themeFill="background1"/>
            <w:vAlign w:val="center"/>
          </w:tcPr>
          <w:p w14:paraId="2A9CA92B" w14:textId="77777777" w:rsidR="009F5706" w:rsidRPr="00311475" w:rsidRDefault="009F5706" w:rsidP="00060DBD">
            <w:pPr>
              <w:spacing w:after="0"/>
              <w:rPr>
                <w:rFonts w:ascii="Arial" w:hAnsi="Arial" w:cs="Arial"/>
                <w:b/>
                <w:sz w:val="18"/>
                <w:szCs w:val="18"/>
              </w:rPr>
            </w:pPr>
          </w:p>
        </w:tc>
        <w:tc>
          <w:tcPr>
            <w:tcW w:w="2070" w:type="dxa"/>
            <w:shd w:val="clear" w:color="auto" w:fill="FFFFFF" w:themeFill="background1"/>
            <w:vAlign w:val="center"/>
          </w:tcPr>
          <w:p w14:paraId="57129BDB" w14:textId="0572040C" w:rsidR="009F5706" w:rsidRPr="00311475" w:rsidRDefault="009F5706" w:rsidP="00060DBD">
            <w:pPr>
              <w:spacing w:after="0"/>
              <w:rPr>
                <w:rFonts w:ascii="Arial" w:hAnsi="Arial" w:cs="Arial"/>
                <w:sz w:val="18"/>
                <w:szCs w:val="18"/>
              </w:rPr>
            </w:pPr>
            <w:r>
              <w:rPr>
                <w:rFonts w:ascii="Arial" w:hAnsi="Arial" w:cs="Arial"/>
                <w:sz w:val="18"/>
                <w:szCs w:val="18"/>
              </w:rPr>
              <w:t>2019 funding level</w:t>
            </w:r>
          </w:p>
        </w:tc>
        <w:tc>
          <w:tcPr>
            <w:tcW w:w="5532" w:type="dxa"/>
            <w:shd w:val="clear" w:color="auto" w:fill="FFFFFF" w:themeFill="background1"/>
            <w:vAlign w:val="center"/>
          </w:tcPr>
          <w:p w14:paraId="7FF1F41A" w14:textId="519F5F2E" w:rsidR="009F5706" w:rsidRPr="00311475" w:rsidRDefault="009F5706" w:rsidP="00060DBD">
            <w:pPr>
              <w:spacing w:after="0"/>
              <w:rPr>
                <w:rFonts w:ascii="Arial" w:hAnsi="Arial" w:cs="Arial"/>
                <w:sz w:val="18"/>
                <w:szCs w:val="18"/>
              </w:rPr>
            </w:pPr>
            <w:r>
              <w:rPr>
                <w:rFonts w:ascii="Arial" w:hAnsi="Arial" w:cs="Arial"/>
                <w:sz w:val="18"/>
                <w:szCs w:val="18"/>
              </w:rPr>
              <w:t xml:space="preserve">USD </w:t>
            </w:r>
            <w:r w:rsidR="006E3A04">
              <w:rPr>
                <w:rFonts w:ascii="Arial" w:hAnsi="Arial" w:cs="Arial"/>
                <w:sz w:val="18"/>
                <w:szCs w:val="18"/>
              </w:rPr>
              <w:t>4</w:t>
            </w:r>
            <w:r w:rsidR="00E7689C">
              <w:rPr>
                <w:rFonts w:ascii="Arial" w:hAnsi="Arial" w:cs="Arial"/>
                <w:sz w:val="18"/>
                <w:szCs w:val="18"/>
              </w:rPr>
              <w:t>5</w:t>
            </w:r>
            <w:r>
              <w:rPr>
                <w:rFonts w:ascii="Arial" w:hAnsi="Arial" w:cs="Arial"/>
                <w:sz w:val="18"/>
                <w:szCs w:val="18"/>
              </w:rPr>
              <w:t>6 M</w:t>
            </w:r>
          </w:p>
        </w:tc>
      </w:tr>
      <w:tr w:rsidR="00060DBD" w:rsidRPr="00311475" w14:paraId="7F0B1514" w14:textId="77777777" w:rsidTr="009F5706">
        <w:trPr>
          <w:trHeight w:val="216"/>
        </w:trPr>
        <w:tc>
          <w:tcPr>
            <w:tcW w:w="1885" w:type="dxa"/>
            <w:vMerge/>
            <w:shd w:val="clear" w:color="auto" w:fill="FFFFFF" w:themeFill="background1"/>
            <w:vAlign w:val="center"/>
          </w:tcPr>
          <w:p w14:paraId="2763D986" w14:textId="77777777" w:rsidR="00060DBD" w:rsidRPr="00311475" w:rsidRDefault="00060DBD" w:rsidP="00060DBD">
            <w:pPr>
              <w:spacing w:after="0"/>
              <w:rPr>
                <w:rFonts w:ascii="Arial" w:hAnsi="Arial" w:cs="Arial"/>
                <w:b/>
                <w:sz w:val="18"/>
                <w:szCs w:val="18"/>
              </w:rPr>
            </w:pPr>
          </w:p>
        </w:tc>
        <w:tc>
          <w:tcPr>
            <w:tcW w:w="2070" w:type="dxa"/>
            <w:shd w:val="clear" w:color="auto" w:fill="FFFFFF" w:themeFill="background1"/>
            <w:vAlign w:val="center"/>
          </w:tcPr>
          <w:p w14:paraId="3C9CC3AB" w14:textId="1120F5DE" w:rsidR="00060DBD" w:rsidRPr="00311475" w:rsidRDefault="00060DBD" w:rsidP="00060DBD">
            <w:pPr>
              <w:spacing w:after="0"/>
              <w:rPr>
                <w:rFonts w:ascii="Arial" w:hAnsi="Arial" w:cs="Arial"/>
                <w:sz w:val="18"/>
                <w:szCs w:val="18"/>
              </w:rPr>
            </w:pPr>
            <w:r w:rsidRPr="00311475">
              <w:rPr>
                <w:rFonts w:ascii="Arial" w:hAnsi="Arial" w:cs="Arial"/>
                <w:sz w:val="18"/>
                <w:szCs w:val="18"/>
              </w:rPr>
              <w:t>2030 funding level</w:t>
            </w:r>
          </w:p>
        </w:tc>
        <w:tc>
          <w:tcPr>
            <w:tcW w:w="5532" w:type="dxa"/>
            <w:shd w:val="clear" w:color="auto" w:fill="FFFFFF" w:themeFill="background1"/>
            <w:vAlign w:val="center"/>
          </w:tcPr>
          <w:p w14:paraId="650B56BA" w14:textId="41E88A24" w:rsidR="00060DBD" w:rsidRPr="00311475" w:rsidRDefault="00060DBD" w:rsidP="00060DBD">
            <w:pPr>
              <w:spacing w:after="0"/>
              <w:rPr>
                <w:rFonts w:ascii="Arial" w:hAnsi="Arial" w:cs="Arial"/>
                <w:sz w:val="18"/>
                <w:szCs w:val="18"/>
              </w:rPr>
            </w:pPr>
            <w:r w:rsidRPr="00311475">
              <w:rPr>
                <w:rFonts w:ascii="Arial" w:hAnsi="Arial" w:cs="Arial"/>
                <w:sz w:val="18"/>
                <w:szCs w:val="18"/>
              </w:rPr>
              <w:t>USD 3</w:t>
            </w:r>
            <w:r w:rsidR="00E67AAA">
              <w:rPr>
                <w:rFonts w:ascii="Arial" w:hAnsi="Arial" w:cs="Arial"/>
                <w:sz w:val="18"/>
                <w:szCs w:val="18"/>
              </w:rPr>
              <w:t>24</w:t>
            </w:r>
            <w:r w:rsidRPr="00311475">
              <w:rPr>
                <w:rFonts w:ascii="Arial" w:hAnsi="Arial" w:cs="Arial"/>
                <w:sz w:val="18"/>
                <w:szCs w:val="18"/>
              </w:rPr>
              <w:t xml:space="preserve"> M</w:t>
            </w:r>
          </w:p>
        </w:tc>
      </w:tr>
      <w:tr w:rsidR="00060DBD" w:rsidRPr="00311475" w14:paraId="5ABBE361" w14:textId="77777777" w:rsidTr="009F5706">
        <w:trPr>
          <w:trHeight w:val="216"/>
        </w:trPr>
        <w:tc>
          <w:tcPr>
            <w:tcW w:w="1885" w:type="dxa"/>
            <w:vMerge/>
            <w:shd w:val="clear" w:color="auto" w:fill="FFFFFF" w:themeFill="background1"/>
            <w:vAlign w:val="center"/>
          </w:tcPr>
          <w:p w14:paraId="58CD8453" w14:textId="77777777" w:rsidR="00060DBD" w:rsidRPr="00311475" w:rsidRDefault="00060DBD" w:rsidP="00060DBD">
            <w:pPr>
              <w:spacing w:after="0"/>
              <w:rPr>
                <w:rFonts w:ascii="Arial" w:hAnsi="Arial" w:cs="Arial"/>
                <w:b/>
                <w:sz w:val="18"/>
                <w:szCs w:val="18"/>
              </w:rPr>
            </w:pPr>
          </w:p>
        </w:tc>
        <w:tc>
          <w:tcPr>
            <w:tcW w:w="2070" w:type="dxa"/>
            <w:shd w:val="clear" w:color="auto" w:fill="FFFFFF" w:themeFill="background1"/>
            <w:vAlign w:val="center"/>
          </w:tcPr>
          <w:p w14:paraId="5F5A3C91" w14:textId="1A136ADB" w:rsidR="00060DBD" w:rsidRPr="00311475" w:rsidRDefault="00060DBD" w:rsidP="00060DBD">
            <w:pPr>
              <w:spacing w:after="0"/>
              <w:rPr>
                <w:rFonts w:ascii="Arial" w:hAnsi="Arial" w:cs="Arial"/>
                <w:sz w:val="18"/>
                <w:szCs w:val="18"/>
              </w:rPr>
            </w:pPr>
            <w:r w:rsidRPr="00311475">
              <w:rPr>
                <w:rFonts w:ascii="Arial" w:hAnsi="Arial" w:cs="Arial"/>
                <w:sz w:val="18"/>
                <w:szCs w:val="18"/>
              </w:rPr>
              <w:t>Cumulative funding</w:t>
            </w:r>
            <w:r w:rsidR="00512414">
              <w:rPr>
                <w:rFonts w:ascii="Arial" w:hAnsi="Arial" w:cs="Arial"/>
                <w:sz w:val="18"/>
                <w:szCs w:val="18"/>
              </w:rPr>
              <w:t xml:space="preserve"> constraint (2019-2030)</w:t>
            </w:r>
          </w:p>
        </w:tc>
        <w:tc>
          <w:tcPr>
            <w:tcW w:w="5532" w:type="dxa"/>
            <w:shd w:val="clear" w:color="auto" w:fill="FFFFFF" w:themeFill="background1"/>
            <w:vAlign w:val="center"/>
          </w:tcPr>
          <w:p w14:paraId="23D26D68" w14:textId="0884F753" w:rsidR="00060DBD" w:rsidRPr="00311475" w:rsidRDefault="00060DBD" w:rsidP="00060DBD">
            <w:pPr>
              <w:spacing w:after="0"/>
              <w:rPr>
                <w:rFonts w:ascii="Arial" w:hAnsi="Arial" w:cs="Arial"/>
                <w:sz w:val="18"/>
                <w:szCs w:val="18"/>
              </w:rPr>
            </w:pPr>
            <w:r w:rsidRPr="00311475">
              <w:rPr>
                <w:rFonts w:ascii="Arial" w:hAnsi="Arial" w:cs="Arial"/>
                <w:sz w:val="18"/>
                <w:szCs w:val="18"/>
              </w:rPr>
              <w:t>USD 4.</w:t>
            </w:r>
            <w:r w:rsidR="00CE6F5D">
              <w:rPr>
                <w:rFonts w:ascii="Arial" w:hAnsi="Arial" w:cs="Arial"/>
                <w:sz w:val="18"/>
                <w:szCs w:val="18"/>
              </w:rPr>
              <w:t>5</w:t>
            </w:r>
            <w:r w:rsidRPr="00311475">
              <w:rPr>
                <w:rFonts w:ascii="Arial" w:hAnsi="Arial" w:cs="Arial"/>
                <w:sz w:val="18"/>
                <w:szCs w:val="18"/>
              </w:rPr>
              <w:t xml:space="preserve"> B</w:t>
            </w:r>
          </w:p>
        </w:tc>
      </w:tr>
      <w:tr w:rsidR="00A81BE0" w:rsidRPr="00311475" w14:paraId="43334855" w14:textId="77777777" w:rsidTr="009F5706">
        <w:trPr>
          <w:trHeight w:val="103"/>
        </w:trPr>
        <w:tc>
          <w:tcPr>
            <w:tcW w:w="1885" w:type="dxa"/>
            <w:shd w:val="clear" w:color="auto" w:fill="FFFFFF" w:themeFill="background1"/>
            <w:vAlign w:val="center"/>
          </w:tcPr>
          <w:p w14:paraId="25DFB0F3" w14:textId="7770755A" w:rsidR="00A81BE0" w:rsidRPr="00311475" w:rsidRDefault="00A81BE0" w:rsidP="00060DBD">
            <w:pPr>
              <w:spacing w:after="0"/>
              <w:rPr>
                <w:rFonts w:ascii="Arial" w:hAnsi="Arial" w:cs="Arial"/>
                <w:b/>
                <w:sz w:val="18"/>
                <w:szCs w:val="18"/>
              </w:rPr>
            </w:pPr>
            <w:r w:rsidRPr="00311475">
              <w:rPr>
                <w:rFonts w:ascii="Arial" w:hAnsi="Arial" w:cs="Arial"/>
                <w:b/>
                <w:sz w:val="18"/>
                <w:szCs w:val="18"/>
              </w:rPr>
              <w:t xml:space="preserve">Efficiencies </w:t>
            </w:r>
          </w:p>
        </w:tc>
        <w:tc>
          <w:tcPr>
            <w:tcW w:w="7602" w:type="dxa"/>
            <w:gridSpan w:val="2"/>
            <w:shd w:val="clear" w:color="auto" w:fill="FFFFFF" w:themeFill="background1"/>
            <w:vAlign w:val="center"/>
          </w:tcPr>
          <w:p w14:paraId="7D04FB8D" w14:textId="29AE4412" w:rsidR="00A81BE0" w:rsidRPr="00311475" w:rsidRDefault="00311475" w:rsidP="00060DBD">
            <w:pPr>
              <w:spacing w:after="0"/>
              <w:rPr>
                <w:rFonts w:ascii="Arial" w:hAnsi="Arial" w:cs="Arial"/>
                <w:sz w:val="18"/>
                <w:szCs w:val="18"/>
              </w:rPr>
            </w:pPr>
            <w:r>
              <w:rPr>
                <w:rFonts w:ascii="Arial" w:hAnsi="Arial" w:cs="Arial"/>
                <w:sz w:val="18"/>
              </w:rPr>
              <w:t>ART technical efficiencies and efficient testing strategy applied at scale. Prevention intervention prioritization re-evaluated for available funding envelope</w:t>
            </w:r>
          </w:p>
        </w:tc>
      </w:tr>
    </w:tbl>
    <w:p w14:paraId="0AF258AC" w14:textId="77777777" w:rsidR="000A1D87" w:rsidRDefault="000A1D87" w:rsidP="000A1D87">
      <w:pPr>
        <w:pStyle w:val="Heading2"/>
        <w:spacing w:before="0"/>
        <w:rPr>
          <w:rFonts w:ascii="Arial" w:hAnsi="Arial" w:cs="Arial"/>
          <w:b/>
          <w:color w:val="000000" w:themeColor="text1"/>
        </w:rPr>
      </w:pPr>
    </w:p>
    <w:p w14:paraId="28017732" w14:textId="11DA9E29" w:rsidR="00674233" w:rsidRDefault="00862609" w:rsidP="000A1D87">
      <w:pPr>
        <w:pStyle w:val="Heading2"/>
        <w:spacing w:before="0"/>
        <w:rPr>
          <w:rFonts w:ascii="Arial" w:hAnsi="Arial" w:cs="Arial"/>
          <w:b/>
          <w:color w:val="000000" w:themeColor="text1"/>
        </w:rPr>
      </w:pPr>
      <w:bookmarkStart w:id="106" w:name="_Toc57035200"/>
      <w:r>
        <w:rPr>
          <w:rFonts w:ascii="Arial" w:hAnsi="Arial" w:cs="Arial"/>
          <w:b/>
          <w:color w:val="000000" w:themeColor="text1"/>
        </w:rPr>
        <w:t>Projected a</w:t>
      </w:r>
      <w:r w:rsidR="00674233" w:rsidRPr="00674233">
        <w:rPr>
          <w:rFonts w:ascii="Arial" w:hAnsi="Arial" w:cs="Arial"/>
          <w:b/>
          <w:color w:val="000000" w:themeColor="text1"/>
        </w:rPr>
        <w:t>vailable resources</w:t>
      </w:r>
      <w:bookmarkEnd w:id="106"/>
      <w:r w:rsidR="00674233" w:rsidRPr="00674233">
        <w:rPr>
          <w:rFonts w:ascii="Arial" w:hAnsi="Arial" w:cs="Arial"/>
          <w:b/>
          <w:color w:val="000000" w:themeColor="text1"/>
        </w:rPr>
        <w:t xml:space="preserve"> </w:t>
      </w:r>
    </w:p>
    <w:p w14:paraId="550F184B" w14:textId="3F23E963" w:rsidR="00674233" w:rsidRPr="000A1D87" w:rsidRDefault="00674233" w:rsidP="00303177">
      <w:pPr>
        <w:spacing w:after="0"/>
        <w:rPr>
          <w:sz w:val="18"/>
          <w:szCs w:val="18"/>
        </w:rPr>
      </w:pPr>
    </w:p>
    <w:p w14:paraId="0266B025" w14:textId="5D0052EC" w:rsidR="002C58F6" w:rsidRDefault="002C58F6" w:rsidP="002C58F6">
      <w:pPr>
        <w:spacing w:after="0"/>
        <w:rPr>
          <w:rFonts w:ascii="Arial" w:hAnsi="Arial" w:cs="Arial"/>
        </w:rPr>
      </w:pPr>
      <w:r w:rsidRPr="00674233">
        <w:rPr>
          <w:rFonts w:ascii="Arial" w:hAnsi="Arial" w:cs="Arial"/>
        </w:rPr>
        <w:t xml:space="preserve">When these </w:t>
      </w:r>
      <w:r>
        <w:rPr>
          <w:rFonts w:ascii="Arial" w:hAnsi="Arial" w:cs="Arial"/>
        </w:rPr>
        <w:t xml:space="preserve">financing assumptions </w:t>
      </w:r>
      <w:r w:rsidRPr="00674233">
        <w:rPr>
          <w:rFonts w:ascii="Arial" w:hAnsi="Arial" w:cs="Arial"/>
        </w:rPr>
        <w:t>are applied, the</w:t>
      </w:r>
      <w:r>
        <w:rPr>
          <w:rFonts w:ascii="Arial" w:hAnsi="Arial" w:cs="Arial"/>
        </w:rPr>
        <w:t xml:space="preserve"> outlook is worrisome. From 2019 to 2030, total resources would decline to USD 32</w:t>
      </w:r>
      <w:r w:rsidR="00E7689C">
        <w:rPr>
          <w:rFonts w:ascii="Arial" w:hAnsi="Arial" w:cs="Arial"/>
        </w:rPr>
        <w:t>4</w:t>
      </w:r>
      <w:r>
        <w:rPr>
          <w:rFonts w:ascii="Arial" w:hAnsi="Arial" w:cs="Arial"/>
        </w:rPr>
        <w:t xml:space="preserve"> M, a decline of USD 1</w:t>
      </w:r>
      <w:r w:rsidR="00E7689C">
        <w:rPr>
          <w:rFonts w:ascii="Arial" w:hAnsi="Arial" w:cs="Arial"/>
        </w:rPr>
        <w:t>52</w:t>
      </w:r>
      <w:r>
        <w:rPr>
          <w:rFonts w:ascii="Arial" w:hAnsi="Arial" w:cs="Arial"/>
        </w:rPr>
        <w:t xml:space="preserve"> M compared to </w:t>
      </w:r>
      <w:r w:rsidR="00E7689C">
        <w:rPr>
          <w:rFonts w:ascii="Arial" w:hAnsi="Arial" w:cs="Arial"/>
        </w:rPr>
        <w:t>2019 levels</w:t>
      </w:r>
      <w:r>
        <w:rPr>
          <w:rFonts w:ascii="Arial" w:hAnsi="Arial" w:cs="Arial"/>
        </w:rPr>
        <w:t xml:space="preserve">. The cumulative reduction in donor funds would be about USD 1.2 B over the 11-year period, as compared to the </w:t>
      </w:r>
      <w:r w:rsidR="007C4173">
        <w:rPr>
          <w:rFonts w:ascii="Arial" w:hAnsi="Arial" w:cs="Arial"/>
        </w:rPr>
        <w:t>Constant Coverage scenario</w:t>
      </w:r>
      <w:r>
        <w:rPr>
          <w:rFonts w:ascii="Arial" w:hAnsi="Arial" w:cs="Arial"/>
        </w:rPr>
        <w:t>.</w:t>
      </w:r>
    </w:p>
    <w:p w14:paraId="25514081" w14:textId="77777777" w:rsidR="00027C54" w:rsidRDefault="00027C54" w:rsidP="00303177">
      <w:pPr>
        <w:spacing w:after="0"/>
        <w:rPr>
          <w:rFonts w:ascii="Arial" w:hAnsi="Arial" w:cs="Arial"/>
          <w:i/>
          <w:sz w:val="18"/>
        </w:rPr>
      </w:pPr>
    </w:p>
    <w:p w14:paraId="497E1DA9" w14:textId="55B84F51" w:rsidR="00C1557E" w:rsidRDefault="002F43BE" w:rsidP="000A1D87">
      <w:pPr>
        <w:spacing w:after="0"/>
      </w:pPr>
      <w:r w:rsidRPr="00E41D5E">
        <w:rPr>
          <w:noProof/>
        </w:rPr>
        <w:drawing>
          <wp:anchor distT="0" distB="0" distL="114300" distR="114300" simplePos="0" relativeHeight="251705344" behindDoc="0" locked="0" layoutInCell="1" allowOverlap="1" wp14:anchorId="52D73D7E" wp14:editId="1634B799">
            <wp:simplePos x="0" y="0"/>
            <wp:positionH relativeFrom="column">
              <wp:posOffset>293023</wp:posOffset>
            </wp:positionH>
            <wp:positionV relativeFrom="paragraph">
              <wp:posOffset>193271</wp:posOffset>
            </wp:positionV>
            <wp:extent cx="5029200" cy="2026920"/>
            <wp:effectExtent l="0" t="0" r="0" b="11430"/>
            <wp:wrapTopAndBottom/>
            <wp:docPr id="96" name="Chart 96">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D00B15" w:rsidRPr="00D00B15">
        <w:rPr>
          <w:rFonts w:ascii="Arial" w:hAnsi="Arial" w:cs="Arial"/>
          <w:i/>
          <w:sz w:val="18"/>
        </w:rPr>
        <w:t xml:space="preserve">Figure </w:t>
      </w:r>
      <w:r w:rsidR="0071346A">
        <w:rPr>
          <w:rFonts w:ascii="Arial" w:hAnsi="Arial" w:cs="Arial"/>
          <w:i/>
          <w:sz w:val="18"/>
        </w:rPr>
        <w:t>6-3</w:t>
      </w:r>
      <w:r w:rsidR="00D00B15" w:rsidRPr="00D00B15">
        <w:rPr>
          <w:rFonts w:ascii="Arial" w:hAnsi="Arial" w:cs="Arial"/>
          <w:i/>
          <w:sz w:val="18"/>
        </w:rPr>
        <w:t>. Available resources 2019-2030</w:t>
      </w:r>
    </w:p>
    <w:p w14:paraId="00D6C22D" w14:textId="77777777" w:rsidR="000A1D87" w:rsidRPr="000A1D87" w:rsidRDefault="000A1D87" w:rsidP="00C1557E">
      <w:pPr>
        <w:pStyle w:val="Heading2"/>
        <w:rPr>
          <w:rFonts w:ascii="Arial" w:hAnsi="Arial" w:cs="Arial"/>
          <w:b/>
          <w:color w:val="000000" w:themeColor="text1"/>
          <w:sz w:val="12"/>
          <w:szCs w:val="12"/>
        </w:rPr>
      </w:pPr>
    </w:p>
    <w:p w14:paraId="7669B36B" w14:textId="7A96A8CD" w:rsidR="00363BF3" w:rsidRPr="00C1557E" w:rsidRDefault="006D1A00" w:rsidP="00C1557E">
      <w:pPr>
        <w:pStyle w:val="Heading2"/>
        <w:rPr>
          <w:rFonts w:ascii="Arial" w:hAnsi="Arial" w:cs="Arial"/>
          <w:b/>
          <w:color w:val="000000" w:themeColor="text1"/>
        </w:rPr>
      </w:pPr>
      <w:bookmarkStart w:id="107" w:name="_Toc57035201"/>
      <w:r w:rsidRPr="00C1557E">
        <w:rPr>
          <w:rFonts w:ascii="Arial" w:hAnsi="Arial" w:cs="Arial"/>
          <w:b/>
          <w:color w:val="000000" w:themeColor="text1"/>
        </w:rPr>
        <w:t xml:space="preserve">Disease impact of </w:t>
      </w:r>
      <w:r w:rsidR="002C58F6">
        <w:rPr>
          <w:rFonts w:ascii="Arial" w:hAnsi="Arial" w:cs="Arial"/>
          <w:b/>
          <w:color w:val="000000" w:themeColor="text1"/>
        </w:rPr>
        <w:t>declining donor funds</w:t>
      </w:r>
      <w:bookmarkEnd w:id="107"/>
    </w:p>
    <w:p w14:paraId="1EAD7FAA" w14:textId="010758DB" w:rsidR="006D1A00" w:rsidRDefault="006D1A00" w:rsidP="002C58F6">
      <w:pPr>
        <w:spacing w:after="0"/>
      </w:pPr>
    </w:p>
    <w:p w14:paraId="1ED9E3B6" w14:textId="62C40627" w:rsidR="000A1D87" w:rsidRDefault="000A1D87" w:rsidP="009A6A4C">
      <w:pPr>
        <w:rPr>
          <w:rFonts w:ascii="Arial" w:hAnsi="Arial" w:cs="Arial"/>
        </w:rPr>
      </w:pPr>
      <w:r w:rsidRPr="0071750D">
        <w:rPr>
          <w:rFonts w:ascii="Arial" w:hAnsi="Arial" w:cs="Arial"/>
          <w:noProof/>
        </w:rPr>
        <w:drawing>
          <wp:anchor distT="0" distB="0" distL="114300" distR="114300" simplePos="0" relativeHeight="251791360" behindDoc="0" locked="0" layoutInCell="1" allowOverlap="1" wp14:anchorId="390B10B7" wp14:editId="2DFFA2D3">
            <wp:simplePos x="0" y="0"/>
            <wp:positionH relativeFrom="column">
              <wp:posOffset>290945</wp:posOffset>
            </wp:positionH>
            <wp:positionV relativeFrom="paragraph">
              <wp:posOffset>1700010</wp:posOffset>
            </wp:positionV>
            <wp:extent cx="4975860" cy="2369820"/>
            <wp:effectExtent l="0" t="0" r="15240" b="11430"/>
            <wp:wrapTopAndBottom/>
            <wp:docPr id="3" name="Chart 3">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2C58F6" w:rsidRPr="006D1A00">
        <w:rPr>
          <w:rFonts w:ascii="Arial" w:hAnsi="Arial" w:cs="Arial"/>
          <w:b/>
        </w:rPr>
        <w:t xml:space="preserve">Number on ART. </w:t>
      </w:r>
      <w:r w:rsidR="002C58F6">
        <w:rPr>
          <w:rFonts w:ascii="Arial" w:hAnsi="Arial" w:cs="Arial"/>
        </w:rPr>
        <w:t>Reduced donor funding would mean cuts across the board for all interventions, even if remaining funds are optimized. These cuts would have a significant impact on ART coverage (the share of PLHIV on ART) as well as the absolute number of people on ART.</w:t>
      </w:r>
      <w:r w:rsidR="00EB2956">
        <w:rPr>
          <w:rFonts w:ascii="Arial" w:hAnsi="Arial" w:cs="Arial"/>
        </w:rPr>
        <w:t xml:space="preserve"> The number on ART would increase through 2020, but then it would begin to fall</w:t>
      </w:r>
      <w:r>
        <w:rPr>
          <w:rFonts w:ascii="Arial" w:hAnsi="Arial" w:cs="Arial"/>
        </w:rPr>
        <w:t xml:space="preserve"> due to population growth and also reduced prevention efforts</w:t>
      </w:r>
      <w:r w:rsidR="00EB2956">
        <w:rPr>
          <w:rFonts w:ascii="Arial" w:hAnsi="Arial" w:cs="Arial"/>
        </w:rPr>
        <w:t>.</w:t>
      </w:r>
      <w:r w:rsidR="002C58F6">
        <w:rPr>
          <w:rFonts w:ascii="Arial" w:hAnsi="Arial" w:cs="Arial"/>
        </w:rPr>
        <w:t xml:space="preserve"> In 2030, the number on ART is estimated at about 1.07 million</w:t>
      </w:r>
      <w:r w:rsidR="00512414">
        <w:rPr>
          <w:rFonts w:ascii="Arial" w:hAnsi="Arial" w:cs="Arial"/>
        </w:rPr>
        <w:t xml:space="preserve"> (68% of adult PLHIV 15 years and older)</w:t>
      </w:r>
      <w:r w:rsidR="002C58F6">
        <w:rPr>
          <w:rFonts w:ascii="Arial" w:hAnsi="Arial" w:cs="Arial"/>
        </w:rPr>
        <w:t xml:space="preserve">, 300,000 less than in the </w:t>
      </w:r>
      <w:r w:rsidR="007C4173">
        <w:rPr>
          <w:rFonts w:ascii="Arial" w:hAnsi="Arial" w:cs="Arial"/>
        </w:rPr>
        <w:t>CC</w:t>
      </w:r>
      <w:r w:rsidR="002C58F6">
        <w:rPr>
          <w:rFonts w:ascii="Arial" w:hAnsi="Arial" w:cs="Arial"/>
        </w:rPr>
        <w:t xml:space="preserve"> </w:t>
      </w:r>
      <w:r w:rsidR="007C4173">
        <w:rPr>
          <w:rFonts w:ascii="Arial" w:hAnsi="Arial" w:cs="Arial"/>
        </w:rPr>
        <w:t>S</w:t>
      </w:r>
      <w:r w:rsidR="00534FF7">
        <w:rPr>
          <w:rFonts w:ascii="Arial" w:hAnsi="Arial" w:cs="Arial"/>
        </w:rPr>
        <w:t>c</w:t>
      </w:r>
      <w:r w:rsidR="002C58F6">
        <w:rPr>
          <w:rFonts w:ascii="Arial" w:hAnsi="Arial" w:cs="Arial"/>
        </w:rPr>
        <w:t>enario. Optimization of the available funds cushions the effects from being even larger</w:t>
      </w:r>
      <w:r w:rsidR="00EB2956">
        <w:rPr>
          <w:rFonts w:ascii="Arial" w:hAnsi="Arial" w:cs="Arial"/>
        </w:rPr>
        <w:t xml:space="preserve">; </w:t>
      </w:r>
      <w:r w:rsidR="002C58F6">
        <w:rPr>
          <w:rFonts w:ascii="Arial" w:hAnsi="Arial" w:cs="Arial"/>
        </w:rPr>
        <w:t xml:space="preserve">The number on ART under the O-DDF scenario </w:t>
      </w:r>
      <w:r>
        <w:rPr>
          <w:rFonts w:ascii="Arial" w:hAnsi="Arial" w:cs="Arial"/>
        </w:rPr>
        <w:t xml:space="preserve">only </w:t>
      </w:r>
      <w:r w:rsidR="002C58F6">
        <w:rPr>
          <w:rFonts w:ascii="Arial" w:hAnsi="Arial" w:cs="Arial"/>
        </w:rPr>
        <w:t xml:space="preserve">falls below the number on ART under the </w:t>
      </w:r>
      <w:r w:rsidR="00C527FE">
        <w:rPr>
          <w:rFonts w:ascii="Arial" w:hAnsi="Arial" w:cs="Arial"/>
        </w:rPr>
        <w:t>CC</w:t>
      </w:r>
      <w:r w:rsidR="002C58F6">
        <w:rPr>
          <w:rFonts w:ascii="Arial" w:hAnsi="Arial" w:cs="Arial"/>
        </w:rPr>
        <w:t xml:space="preserve"> starting in 2028, even though significantly less funding is available, due to the effects of Optimization. If Optimization is not achieved, the numbers on treatment would be substantially lower.</w:t>
      </w:r>
    </w:p>
    <w:p w14:paraId="55B2C827" w14:textId="6F4AACF3" w:rsidR="000A1D87" w:rsidRPr="000A1D87" w:rsidRDefault="00D00B15" w:rsidP="009A6A4C">
      <w:pPr>
        <w:rPr>
          <w:rFonts w:ascii="Arial" w:hAnsi="Arial" w:cs="Arial"/>
        </w:rPr>
      </w:pPr>
      <w:r w:rsidRPr="00D00B15">
        <w:rPr>
          <w:rFonts w:ascii="Arial" w:hAnsi="Arial" w:cs="Arial"/>
          <w:i/>
          <w:sz w:val="18"/>
        </w:rPr>
        <w:t xml:space="preserve">Figure </w:t>
      </w:r>
      <w:r w:rsidR="0071346A">
        <w:rPr>
          <w:rFonts w:ascii="Arial" w:hAnsi="Arial" w:cs="Arial"/>
          <w:i/>
          <w:sz w:val="18"/>
        </w:rPr>
        <w:t>6-4</w:t>
      </w:r>
      <w:r w:rsidRPr="00D00B15">
        <w:rPr>
          <w:rFonts w:ascii="Arial" w:hAnsi="Arial" w:cs="Arial"/>
          <w:i/>
          <w:sz w:val="18"/>
        </w:rPr>
        <w:t>. Number on ART 2019-2030</w:t>
      </w:r>
    </w:p>
    <w:p w14:paraId="230AB49D" w14:textId="0BF8B703" w:rsidR="009A6A4C" w:rsidRDefault="00E86C16" w:rsidP="009A6A4C">
      <w:pPr>
        <w:rPr>
          <w:rFonts w:ascii="Arial" w:hAnsi="Arial" w:cs="Arial"/>
        </w:rPr>
      </w:pPr>
      <w:r w:rsidRPr="00E86C16">
        <w:rPr>
          <w:rFonts w:ascii="Arial" w:hAnsi="Arial" w:cs="Arial"/>
          <w:b/>
        </w:rPr>
        <w:t xml:space="preserve">New infections. </w:t>
      </w:r>
      <w:r w:rsidR="002C58F6">
        <w:rPr>
          <w:rFonts w:ascii="Arial" w:hAnsi="Arial" w:cs="Arial"/>
        </w:rPr>
        <w:t xml:space="preserve">The decline in donor funds without any countervailing increase in national financing has severe repercussions on new infections. Since ethically, available funds must first be used to prevent interruption of treatment for those currently on ART, under O-DDF very little funding would remain for prevention -- only USD 46 M in 2030 compared to USD 136 M under </w:t>
      </w:r>
      <w:r w:rsidR="00C527FE">
        <w:rPr>
          <w:rFonts w:ascii="Arial" w:hAnsi="Arial" w:cs="Arial"/>
        </w:rPr>
        <w:t>CC</w:t>
      </w:r>
      <w:r w:rsidR="002C58F6">
        <w:rPr>
          <w:rFonts w:ascii="Arial" w:hAnsi="Arial" w:cs="Arial"/>
        </w:rPr>
        <w:t xml:space="preserve">. As a result, </w:t>
      </w:r>
      <w:r w:rsidR="00685A69">
        <w:rPr>
          <w:rFonts w:ascii="Arial" w:hAnsi="Arial" w:cs="Arial"/>
        </w:rPr>
        <w:t>after 2021, new infections would start to rise. From 2019 to 2030,</w:t>
      </w:r>
      <w:r w:rsidR="002C58F6">
        <w:rPr>
          <w:rFonts w:ascii="Arial" w:hAnsi="Arial" w:cs="Arial"/>
        </w:rPr>
        <w:t xml:space="preserve"> annual new infections would increase by 7% as compared to the </w:t>
      </w:r>
      <w:r w:rsidR="00C527FE">
        <w:rPr>
          <w:rFonts w:ascii="Arial" w:hAnsi="Arial" w:cs="Arial"/>
        </w:rPr>
        <w:t>CC</w:t>
      </w:r>
      <w:r w:rsidR="002C58F6">
        <w:rPr>
          <w:rFonts w:ascii="Arial" w:hAnsi="Arial" w:cs="Arial"/>
        </w:rPr>
        <w:t xml:space="preserve"> </w:t>
      </w:r>
      <w:r w:rsidR="00534FF7">
        <w:rPr>
          <w:rFonts w:ascii="Arial" w:hAnsi="Arial" w:cs="Arial"/>
        </w:rPr>
        <w:t>S</w:t>
      </w:r>
      <w:r w:rsidR="002C58F6">
        <w:rPr>
          <w:rFonts w:ascii="Arial" w:hAnsi="Arial" w:cs="Arial"/>
        </w:rPr>
        <w:t xml:space="preserve">cenario, </w:t>
      </w:r>
      <w:r w:rsidR="00685A69">
        <w:rPr>
          <w:rFonts w:ascii="Arial" w:hAnsi="Arial" w:cs="Arial"/>
        </w:rPr>
        <w:t>reaching</w:t>
      </w:r>
      <w:r w:rsidR="002C58F6">
        <w:rPr>
          <w:rFonts w:ascii="Arial" w:hAnsi="Arial" w:cs="Arial"/>
        </w:rPr>
        <w:t xml:space="preserve"> 55,000 new infections in 2030, a reversal of the gains that have been made to date. Progress towards the Fast Track target (2010-2030) would only be 44% of what Tanzania is seeking to achieve.  New infections among adolescents would follow a similar trend, with infections in 2030 greater than they are today at 1</w:t>
      </w:r>
      <w:r w:rsidR="00032469">
        <w:rPr>
          <w:rFonts w:ascii="Arial" w:hAnsi="Arial" w:cs="Arial"/>
        </w:rPr>
        <w:t>8,000</w:t>
      </w:r>
      <w:r w:rsidR="002C58F6">
        <w:rPr>
          <w:rFonts w:ascii="Arial" w:hAnsi="Arial" w:cs="Arial"/>
        </w:rPr>
        <w:t xml:space="preserve"> annually.</w:t>
      </w:r>
    </w:p>
    <w:p w14:paraId="39341F7D" w14:textId="6D439054" w:rsidR="00685AC5" w:rsidRPr="00D00B15" w:rsidRDefault="002C58F6" w:rsidP="00D00B15">
      <w:pPr>
        <w:rPr>
          <w:rFonts w:ascii="Arial" w:hAnsi="Arial" w:cs="Arial"/>
          <w:i/>
          <w:sz w:val="18"/>
        </w:rPr>
      </w:pPr>
      <w:r w:rsidRPr="00E86C16">
        <w:rPr>
          <w:rFonts w:ascii="Arial" w:hAnsi="Arial" w:cs="Arial"/>
          <w:b/>
          <w:noProof/>
        </w:rPr>
        <w:drawing>
          <wp:anchor distT="0" distB="0" distL="114300" distR="114300" simplePos="0" relativeHeight="251766784" behindDoc="0" locked="0" layoutInCell="1" allowOverlap="1" wp14:anchorId="405A4EEA" wp14:editId="1AF46FBA">
            <wp:simplePos x="0" y="0"/>
            <wp:positionH relativeFrom="margin">
              <wp:posOffset>588818</wp:posOffset>
            </wp:positionH>
            <wp:positionV relativeFrom="paragraph">
              <wp:posOffset>179416</wp:posOffset>
            </wp:positionV>
            <wp:extent cx="4823460" cy="2278380"/>
            <wp:effectExtent l="0" t="0" r="15240" b="7620"/>
            <wp:wrapTopAndBottom/>
            <wp:docPr id="93" name="Chart 93">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D00B15" w:rsidRPr="00D00B15">
        <w:rPr>
          <w:rFonts w:ascii="Arial" w:hAnsi="Arial" w:cs="Arial"/>
          <w:i/>
          <w:sz w:val="18"/>
        </w:rPr>
        <w:t xml:space="preserve">Figure </w:t>
      </w:r>
      <w:r w:rsidR="0071346A">
        <w:rPr>
          <w:rFonts w:ascii="Arial" w:hAnsi="Arial" w:cs="Arial"/>
          <w:i/>
          <w:sz w:val="18"/>
        </w:rPr>
        <w:t>6-5</w:t>
      </w:r>
      <w:r w:rsidR="00D00B15" w:rsidRPr="00D00B15">
        <w:rPr>
          <w:rFonts w:ascii="Arial" w:hAnsi="Arial" w:cs="Arial"/>
          <w:i/>
          <w:sz w:val="18"/>
        </w:rPr>
        <w:t>. New infections 2019-2030</w:t>
      </w:r>
    </w:p>
    <w:p w14:paraId="52C396E8" w14:textId="77777777" w:rsidR="00E46497" w:rsidRDefault="00E46497" w:rsidP="006D1A00">
      <w:pPr>
        <w:rPr>
          <w:rFonts w:ascii="Arial" w:hAnsi="Arial" w:cs="Arial"/>
          <w:b/>
        </w:rPr>
      </w:pPr>
    </w:p>
    <w:p w14:paraId="728C15C2" w14:textId="5D6E5784" w:rsidR="00E86C16" w:rsidRDefault="00E86C16" w:rsidP="006D1A00">
      <w:pPr>
        <w:rPr>
          <w:rFonts w:ascii="Arial" w:hAnsi="Arial" w:cs="Arial"/>
        </w:rPr>
      </w:pPr>
      <w:r>
        <w:rPr>
          <w:rFonts w:ascii="Arial" w:hAnsi="Arial" w:cs="Arial"/>
          <w:b/>
        </w:rPr>
        <w:t xml:space="preserve">AIDS-related mortality. </w:t>
      </w:r>
      <w:r w:rsidR="00835A5A">
        <w:rPr>
          <w:rFonts w:ascii="Arial" w:hAnsi="Arial" w:cs="Arial"/>
        </w:rPr>
        <w:t>With declining donor funds, progress in reducing AIDS deaths would also falter.  Prioritization of treatment over prevention would prevent deaths from rising in the early years but as the number of infected gr</w:t>
      </w:r>
      <w:r w:rsidR="002C58F6">
        <w:rPr>
          <w:rFonts w:ascii="Arial" w:hAnsi="Arial" w:cs="Arial"/>
        </w:rPr>
        <w:t>ew</w:t>
      </w:r>
      <w:r w:rsidR="00835A5A">
        <w:rPr>
          <w:rFonts w:ascii="Arial" w:hAnsi="Arial" w:cs="Arial"/>
        </w:rPr>
        <w:t>, AIDS deaths would start to increase in 2022, undoing past achievements</w:t>
      </w:r>
      <w:r w:rsidR="001863EC">
        <w:rPr>
          <w:rFonts w:ascii="Arial" w:hAnsi="Arial" w:cs="Arial"/>
        </w:rPr>
        <w:t xml:space="preserve"> more quickly than would be seen </w:t>
      </w:r>
      <w:r w:rsidR="00C527FE">
        <w:rPr>
          <w:rFonts w:ascii="Arial" w:hAnsi="Arial" w:cs="Arial"/>
        </w:rPr>
        <w:t>under CC</w:t>
      </w:r>
      <w:r w:rsidR="00835A5A">
        <w:rPr>
          <w:rFonts w:ascii="Arial" w:hAnsi="Arial" w:cs="Arial"/>
        </w:rPr>
        <w:t>.  By 2030, the number of annual AIDS deaths (</w:t>
      </w:r>
      <w:r w:rsidR="0099346C">
        <w:rPr>
          <w:rFonts w:ascii="Arial" w:hAnsi="Arial" w:cs="Arial"/>
        </w:rPr>
        <w:t>39,000</w:t>
      </w:r>
      <w:r w:rsidR="00835A5A">
        <w:rPr>
          <w:rFonts w:ascii="Arial" w:hAnsi="Arial" w:cs="Arial"/>
        </w:rPr>
        <w:t>) would be 24% higher than the number in 2019 (28,</w:t>
      </w:r>
      <w:r w:rsidR="00032469">
        <w:rPr>
          <w:rFonts w:ascii="Arial" w:hAnsi="Arial" w:cs="Arial"/>
        </w:rPr>
        <w:t>000</w:t>
      </w:r>
      <w:r w:rsidR="00835A5A">
        <w:rPr>
          <w:rFonts w:ascii="Arial" w:hAnsi="Arial" w:cs="Arial"/>
        </w:rPr>
        <w:t>).</w:t>
      </w:r>
    </w:p>
    <w:p w14:paraId="3A20DF6E" w14:textId="257F46FD" w:rsidR="00E86C16" w:rsidRPr="00C86D0D" w:rsidRDefault="00D00B15" w:rsidP="006D1A00">
      <w:pPr>
        <w:rPr>
          <w:rFonts w:ascii="Arial" w:hAnsi="Arial" w:cs="Arial"/>
          <w:i/>
          <w:sz w:val="18"/>
        </w:rPr>
      </w:pPr>
      <w:r w:rsidRPr="00D00B15">
        <w:rPr>
          <w:rFonts w:ascii="Arial" w:hAnsi="Arial" w:cs="Arial"/>
          <w:i/>
          <w:sz w:val="18"/>
        </w:rPr>
        <w:t xml:space="preserve">Figure </w:t>
      </w:r>
      <w:r w:rsidR="0071346A">
        <w:rPr>
          <w:rFonts w:ascii="Arial" w:hAnsi="Arial" w:cs="Arial"/>
          <w:i/>
          <w:sz w:val="18"/>
        </w:rPr>
        <w:t>6-</w:t>
      </w:r>
      <w:r w:rsidR="00585A95">
        <w:rPr>
          <w:rFonts w:ascii="Arial" w:hAnsi="Arial" w:cs="Arial"/>
          <w:i/>
          <w:sz w:val="18"/>
        </w:rPr>
        <w:t>6</w:t>
      </w:r>
      <w:r w:rsidRPr="00D00B15">
        <w:rPr>
          <w:rFonts w:ascii="Arial" w:hAnsi="Arial" w:cs="Arial"/>
          <w:i/>
          <w:sz w:val="18"/>
        </w:rPr>
        <w:t>. AIDS-related deaths 2019-2030</w:t>
      </w:r>
      <w:r w:rsidRPr="0071750D">
        <w:rPr>
          <w:rFonts w:ascii="Arial" w:hAnsi="Arial" w:cs="Arial"/>
          <w:b/>
          <w:noProof/>
        </w:rPr>
        <w:drawing>
          <wp:anchor distT="0" distB="0" distL="114300" distR="114300" simplePos="0" relativeHeight="251760640" behindDoc="0" locked="0" layoutInCell="1" allowOverlap="1" wp14:anchorId="7F391CBB" wp14:editId="16D80057">
            <wp:simplePos x="0" y="0"/>
            <wp:positionH relativeFrom="column">
              <wp:posOffset>289560</wp:posOffset>
            </wp:positionH>
            <wp:positionV relativeFrom="paragraph">
              <wp:posOffset>241935</wp:posOffset>
            </wp:positionV>
            <wp:extent cx="4960620" cy="2346960"/>
            <wp:effectExtent l="0" t="0" r="11430" b="15240"/>
            <wp:wrapTopAndBottom/>
            <wp:docPr id="133" name="Chart 133">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049472F5" w14:textId="77777777" w:rsidR="00C1557E" w:rsidRDefault="00C1557E" w:rsidP="00F07840"/>
    <w:p w14:paraId="1FCB6CF2" w14:textId="7D3613BF" w:rsidR="00F86844" w:rsidRPr="00A178D1" w:rsidRDefault="00F86844" w:rsidP="00A178D1">
      <w:pPr>
        <w:rPr>
          <w:rFonts w:ascii="Arial" w:hAnsi="Arial" w:cs="Arial"/>
        </w:rPr>
      </w:pPr>
      <w:r w:rsidRPr="00A178D1">
        <w:rPr>
          <w:rFonts w:ascii="Arial" w:hAnsi="Arial" w:cs="Arial"/>
          <w:b/>
          <w:bCs/>
        </w:rPr>
        <w:t xml:space="preserve">Life expectancy. </w:t>
      </w:r>
      <w:r>
        <w:rPr>
          <w:rFonts w:ascii="Arial" w:hAnsi="Arial" w:cs="Arial"/>
        </w:rPr>
        <w:t>A rise in AIDS-mortality would result in shortened life expectancy on average for Tanzanians, then what would be realized under the NS and O-</w:t>
      </w:r>
      <w:r w:rsidR="00C527FE">
        <w:rPr>
          <w:rFonts w:ascii="Arial" w:hAnsi="Arial" w:cs="Arial"/>
        </w:rPr>
        <w:t>CC</w:t>
      </w:r>
      <w:r>
        <w:rPr>
          <w:rFonts w:ascii="Arial" w:hAnsi="Arial" w:cs="Arial"/>
        </w:rPr>
        <w:t xml:space="preserve">F. Under O-DDF, life expectancy would be more similar to </w:t>
      </w:r>
      <w:r w:rsidR="00C527FE">
        <w:rPr>
          <w:rFonts w:ascii="Arial" w:hAnsi="Arial" w:cs="Arial"/>
        </w:rPr>
        <w:t>CC</w:t>
      </w:r>
      <w:r>
        <w:rPr>
          <w:rFonts w:ascii="Arial" w:hAnsi="Arial" w:cs="Arial"/>
        </w:rPr>
        <w:t xml:space="preserve">—at 68.03 years in 2025 and 68.83 years in 2030.  Lower life expectancy is evidence that a decline in available resources for HIV services would ultimately have impacts on society beyond HIV-specific outcomes. Tanzanians would live for one year less on average, meaning less productivity for society and communities, in addition to less time spent with families and friends. </w:t>
      </w:r>
    </w:p>
    <w:p w14:paraId="16B0BAB8" w14:textId="0E74541C" w:rsidR="00C1557E" w:rsidRDefault="00C1557E" w:rsidP="00303177">
      <w:pPr>
        <w:pStyle w:val="Heading2"/>
        <w:rPr>
          <w:rFonts w:ascii="Arial" w:hAnsi="Arial" w:cs="Arial"/>
          <w:b/>
          <w:color w:val="000000" w:themeColor="text1"/>
        </w:rPr>
      </w:pPr>
      <w:bookmarkStart w:id="108" w:name="_Toc57035202"/>
      <w:r w:rsidRPr="00C1557E">
        <w:rPr>
          <w:rFonts w:ascii="Arial" w:hAnsi="Arial" w:cs="Arial"/>
          <w:b/>
          <w:color w:val="000000" w:themeColor="text1"/>
        </w:rPr>
        <w:t>Takeaways</w:t>
      </w:r>
      <w:r w:rsidR="00862609">
        <w:rPr>
          <w:rFonts w:ascii="Arial" w:hAnsi="Arial" w:cs="Arial"/>
          <w:b/>
          <w:color w:val="000000" w:themeColor="text1"/>
        </w:rPr>
        <w:t xml:space="preserve"> o</w:t>
      </w:r>
      <w:r w:rsidR="002C58F6">
        <w:rPr>
          <w:rFonts w:ascii="Arial" w:hAnsi="Arial" w:cs="Arial"/>
          <w:b/>
          <w:color w:val="000000" w:themeColor="text1"/>
        </w:rPr>
        <w:t>n</w:t>
      </w:r>
      <w:r w:rsidR="00862609">
        <w:rPr>
          <w:rFonts w:ascii="Arial" w:hAnsi="Arial" w:cs="Arial"/>
          <w:b/>
          <w:color w:val="000000" w:themeColor="text1"/>
        </w:rPr>
        <w:t xml:space="preserve"> declining donor funds</w:t>
      </w:r>
      <w:bookmarkEnd w:id="108"/>
    </w:p>
    <w:p w14:paraId="63D93427" w14:textId="77777777" w:rsidR="001639F2" w:rsidRPr="001639F2" w:rsidRDefault="001639F2" w:rsidP="002C58F6">
      <w:pPr>
        <w:spacing w:after="0"/>
      </w:pPr>
    </w:p>
    <w:p w14:paraId="56EA33A6" w14:textId="4BA044B4" w:rsidR="00800C93" w:rsidRPr="00800C93" w:rsidRDefault="00800C93" w:rsidP="00444084">
      <w:pPr>
        <w:spacing w:after="0"/>
        <w:rPr>
          <w:rFonts w:ascii="Arial" w:hAnsi="Arial" w:cs="Arial"/>
        </w:rPr>
      </w:pPr>
      <w:r>
        <w:rPr>
          <w:rFonts w:ascii="Arial" w:hAnsi="Arial" w:cs="Arial"/>
        </w:rPr>
        <w:t>As the results of the O-DDF scenario show, even gradually d</w:t>
      </w:r>
      <w:r w:rsidRPr="003E62FC">
        <w:rPr>
          <w:rFonts w:ascii="Arial" w:hAnsi="Arial" w:cs="Arial"/>
        </w:rPr>
        <w:t xml:space="preserve">eclining donor funding </w:t>
      </w:r>
      <w:r>
        <w:rPr>
          <w:rFonts w:ascii="Arial" w:hAnsi="Arial" w:cs="Arial"/>
        </w:rPr>
        <w:t xml:space="preserve">from PEPFAR and the Global Fund over the coming decade -- </w:t>
      </w:r>
      <w:r w:rsidRPr="003E62FC">
        <w:rPr>
          <w:rFonts w:ascii="Arial" w:hAnsi="Arial" w:cs="Arial"/>
        </w:rPr>
        <w:t xml:space="preserve">with no other </w:t>
      </w:r>
      <w:r>
        <w:rPr>
          <w:rFonts w:ascii="Arial" w:hAnsi="Arial" w:cs="Arial"/>
        </w:rPr>
        <w:t xml:space="preserve">external or domestic </w:t>
      </w:r>
      <w:r w:rsidRPr="003E62FC">
        <w:rPr>
          <w:rFonts w:ascii="Arial" w:hAnsi="Arial" w:cs="Arial"/>
        </w:rPr>
        <w:t>funding source stepping in</w:t>
      </w:r>
      <w:r>
        <w:rPr>
          <w:rFonts w:ascii="Arial" w:hAnsi="Arial" w:cs="Arial"/>
        </w:rPr>
        <w:t xml:space="preserve">to the breach -- </w:t>
      </w:r>
      <w:r w:rsidRPr="003E62FC">
        <w:rPr>
          <w:rFonts w:ascii="Arial" w:hAnsi="Arial" w:cs="Arial"/>
        </w:rPr>
        <w:t xml:space="preserve">would </w:t>
      </w:r>
      <w:r>
        <w:rPr>
          <w:rFonts w:ascii="Arial" w:hAnsi="Arial" w:cs="Arial"/>
        </w:rPr>
        <w:t xml:space="preserve">lead to large negative impacts on Tanzania’s </w:t>
      </w:r>
      <w:r w:rsidRPr="003E62FC">
        <w:rPr>
          <w:rFonts w:ascii="Arial" w:hAnsi="Arial" w:cs="Arial"/>
        </w:rPr>
        <w:t xml:space="preserve">HIV response. </w:t>
      </w:r>
      <w:r>
        <w:rPr>
          <w:rFonts w:ascii="Arial" w:hAnsi="Arial" w:cs="Arial"/>
        </w:rPr>
        <w:t>And this assumes that the sharply reduced funding available – 2</w:t>
      </w:r>
      <w:r w:rsidR="00E7689C">
        <w:rPr>
          <w:rFonts w:ascii="Arial" w:hAnsi="Arial" w:cs="Arial"/>
        </w:rPr>
        <w:t>1</w:t>
      </w:r>
      <w:r>
        <w:rPr>
          <w:rFonts w:ascii="Arial" w:hAnsi="Arial" w:cs="Arial"/>
        </w:rPr>
        <w:t>% less over the next 12 years to 2030, and 3</w:t>
      </w:r>
      <w:r w:rsidR="00E7689C">
        <w:rPr>
          <w:rFonts w:ascii="Arial" w:hAnsi="Arial" w:cs="Arial"/>
        </w:rPr>
        <w:t>5</w:t>
      </w:r>
      <w:r>
        <w:rPr>
          <w:rFonts w:ascii="Arial" w:hAnsi="Arial" w:cs="Arial"/>
        </w:rPr>
        <w:t xml:space="preserve">% less in the year 2030, as compared to the </w:t>
      </w:r>
      <w:r w:rsidR="007C4173">
        <w:rPr>
          <w:rFonts w:ascii="Arial" w:hAnsi="Arial" w:cs="Arial"/>
        </w:rPr>
        <w:t>Constant Coverage</w:t>
      </w:r>
      <w:r>
        <w:rPr>
          <w:rFonts w:ascii="Arial" w:hAnsi="Arial" w:cs="Arial"/>
        </w:rPr>
        <w:t xml:space="preserve"> </w:t>
      </w:r>
      <w:r w:rsidR="00534FF7">
        <w:rPr>
          <w:rFonts w:ascii="Arial" w:hAnsi="Arial" w:cs="Arial"/>
        </w:rPr>
        <w:t>S</w:t>
      </w:r>
      <w:r>
        <w:rPr>
          <w:rFonts w:ascii="Arial" w:hAnsi="Arial" w:cs="Arial"/>
        </w:rPr>
        <w:t xml:space="preserve">cenario – is optimized.  Even with optimization, new infections and AIDS deaths </w:t>
      </w:r>
      <w:r w:rsidR="002C58F6">
        <w:rPr>
          <w:rFonts w:ascii="Arial" w:hAnsi="Arial" w:cs="Arial"/>
        </w:rPr>
        <w:t xml:space="preserve">would </w:t>
      </w:r>
      <w:r>
        <w:rPr>
          <w:rFonts w:ascii="Arial" w:hAnsi="Arial" w:cs="Arial"/>
        </w:rPr>
        <w:t>increase and numbers on ART</w:t>
      </w:r>
      <w:r w:rsidR="002C58F6">
        <w:rPr>
          <w:rFonts w:ascii="Arial" w:hAnsi="Arial" w:cs="Arial"/>
        </w:rPr>
        <w:t xml:space="preserve"> would</w:t>
      </w:r>
      <w:r>
        <w:rPr>
          <w:rFonts w:ascii="Arial" w:hAnsi="Arial" w:cs="Arial"/>
        </w:rPr>
        <w:t xml:space="preserve"> fall.  If Tanzania failed to optimize the use of these shrinking funds, the negative effects on PLHIV would be even more acute.  This is certainly not a desirable scenario from the public health perspective, yet it could materialize if the heavy donor funding for HIV in Tanzania continues to decline, and if the Government does not make up for the shortfall.</w:t>
      </w:r>
    </w:p>
    <w:p w14:paraId="556CF4AA" w14:textId="4FF3071B" w:rsidR="0071346A" w:rsidRDefault="002E4A0E" w:rsidP="002E0189">
      <w:r>
        <w:br w:type="page"/>
      </w:r>
    </w:p>
    <w:p w14:paraId="5E8E8FB4" w14:textId="4676F158" w:rsidR="0071346A" w:rsidRDefault="0071346A" w:rsidP="0071346A">
      <w:pPr>
        <w:spacing w:after="0"/>
      </w:pPr>
      <w:r w:rsidRPr="00303177">
        <w:rPr>
          <w:rFonts w:ascii="Arial" w:hAnsi="Arial" w:cs="Arial"/>
          <w:i/>
          <w:color w:val="000000" w:themeColor="text1"/>
          <w:sz w:val="18"/>
        </w:rPr>
        <w:t xml:space="preserve">Figure </w:t>
      </w:r>
      <w:r>
        <w:rPr>
          <w:rFonts w:ascii="Arial" w:hAnsi="Arial" w:cs="Arial"/>
          <w:i/>
          <w:color w:val="000000" w:themeColor="text1"/>
          <w:sz w:val="18"/>
        </w:rPr>
        <w:t>6-</w:t>
      </w:r>
      <w:r w:rsidR="00585A95">
        <w:rPr>
          <w:rFonts w:ascii="Arial" w:hAnsi="Arial" w:cs="Arial"/>
          <w:i/>
          <w:color w:val="000000" w:themeColor="text1"/>
          <w:sz w:val="18"/>
        </w:rPr>
        <w:t>7</w:t>
      </w:r>
      <w:r w:rsidRPr="00303177">
        <w:rPr>
          <w:rFonts w:ascii="Arial" w:hAnsi="Arial" w:cs="Arial"/>
          <w:i/>
          <w:color w:val="000000" w:themeColor="text1"/>
          <w:sz w:val="18"/>
        </w:rPr>
        <w:t xml:space="preserve">. Comparing </w:t>
      </w:r>
      <w:r w:rsidR="007C4173">
        <w:rPr>
          <w:rFonts w:ascii="Arial" w:hAnsi="Arial" w:cs="Arial"/>
          <w:i/>
          <w:color w:val="000000" w:themeColor="text1"/>
          <w:sz w:val="18"/>
        </w:rPr>
        <w:t>CC</w:t>
      </w:r>
      <w:r w:rsidRPr="00303177">
        <w:rPr>
          <w:rFonts w:ascii="Arial" w:hAnsi="Arial" w:cs="Arial"/>
          <w:i/>
          <w:color w:val="000000" w:themeColor="text1"/>
          <w:sz w:val="18"/>
        </w:rPr>
        <w:t>, NS, O-</w:t>
      </w:r>
      <w:r w:rsidR="007C4173">
        <w:rPr>
          <w:rFonts w:ascii="Arial" w:hAnsi="Arial" w:cs="Arial"/>
          <w:i/>
          <w:color w:val="000000" w:themeColor="text1"/>
          <w:sz w:val="18"/>
        </w:rPr>
        <w:t>CC</w:t>
      </w:r>
      <w:r w:rsidRPr="00303177">
        <w:rPr>
          <w:rFonts w:ascii="Arial" w:hAnsi="Arial" w:cs="Arial"/>
          <w:i/>
          <w:color w:val="000000" w:themeColor="text1"/>
          <w:sz w:val="18"/>
        </w:rPr>
        <w:t>F, and O-DDF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524"/>
        <w:gridCol w:w="1446"/>
        <w:gridCol w:w="1710"/>
        <w:gridCol w:w="1435"/>
      </w:tblGrid>
      <w:tr w:rsidR="0071346A" w:rsidRPr="00444084" w14:paraId="2D237B15" w14:textId="77777777" w:rsidTr="00E7689C">
        <w:trPr>
          <w:trHeight w:val="209"/>
        </w:trPr>
        <w:tc>
          <w:tcPr>
            <w:tcW w:w="3235" w:type="dxa"/>
          </w:tcPr>
          <w:p w14:paraId="1E2BE51A" w14:textId="77777777" w:rsidR="0071346A" w:rsidRPr="00444084" w:rsidRDefault="0071346A" w:rsidP="00AC4829">
            <w:pPr>
              <w:spacing w:after="0"/>
              <w:rPr>
                <w:rFonts w:ascii="Arial" w:hAnsi="Arial" w:cs="Arial"/>
                <w:sz w:val="18"/>
              </w:rPr>
            </w:pPr>
          </w:p>
        </w:tc>
        <w:tc>
          <w:tcPr>
            <w:tcW w:w="1524" w:type="dxa"/>
            <w:shd w:val="clear" w:color="auto" w:fill="C00000"/>
          </w:tcPr>
          <w:p w14:paraId="1500E1D3" w14:textId="7EF1D409" w:rsidR="0071346A" w:rsidRPr="00444084" w:rsidRDefault="007C4173" w:rsidP="00AC4829">
            <w:pPr>
              <w:spacing w:after="0"/>
              <w:rPr>
                <w:rFonts w:ascii="Arial" w:hAnsi="Arial" w:cs="Arial"/>
                <w:b/>
                <w:sz w:val="18"/>
              </w:rPr>
            </w:pPr>
            <w:r>
              <w:rPr>
                <w:rFonts w:ascii="Arial" w:hAnsi="Arial" w:cs="Arial"/>
                <w:b/>
                <w:sz w:val="18"/>
              </w:rPr>
              <w:t>CC</w:t>
            </w:r>
          </w:p>
        </w:tc>
        <w:tc>
          <w:tcPr>
            <w:tcW w:w="1446" w:type="dxa"/>
            <w:shd w:val="clear" w:color="auto" w:fill="C00000"/>
          </w:tcPr>
          <w:p w14:paraId="5DE42B26" w14:textId="77777777" w:rsidR="0071346A" w:rsidRPr="00444084" w:rsidRDefault="0071346A" w:rsidP="00AC4829">
            <w:pPr>
              <w:spacing w:after="0"/>
              <w:rPr>
                <w:rFonts w:ascii="Arial" w:hAnsi="Arial" w:cs="Arial"/>
                <w:b/>
                <w:sz w:val="18"/>
              </w:rPr>
            </w:pPr>
            <w:r w:rsidRPr="00444084">
              <w:rPr>
                <w:rFonts w:ascii="Arial" w:hAnsi="Arial" w:cs="Arial"/>
                <w:b/>
                <w:sz w:val="18"/>
              </w:rPr>
              <w:t>NS</w:t>
            </w:r>
          </w:p>
        </w:tc>
        <w:tc>
          <w:tcPr>
            <w:tcW w:w="1710" w:type="dxa"/>
            <w:shd w:val="clear" w:color="auto" w:fill="C00000"/>
          </w:tcPr>
          <w:p w14:paraId="1558464C" w14:textId="012E4E88" w:rsidR="0071346A" w:rsidRPr="00444084" w:rsidRDefault="0071346A" w:rsidP="00AC4829">
            <w:pPr>
              <w:spacing w:after="0"/>
              <w:rPr>
                <w:rFonts w:ascii="Arial" w:hAnsi="Arial" w:cs="Arial"/>
                <w:b/>
                <w:sz w:val="18"/>
              </w:rPr>
            </w:pPr>
            <w:r w:rsidRPr="00444084">
              <w:rPr>
                <w:rFonts w:ascii="Arial" w:hAnsi="Arial" w:cs="Arial"/>
                <w:b/>
                <w:sz w:val="18"/>
              </w:rPr>
              <w:t>O-</w:t>
            </w:r>
            <w:r w:rsidR="007C4173">
              <w:rPr>
                <w:rFonts w:ascii="Arial" w:hAnsi="Arial" w:cs="Arial"/>
                <w:b/>
                <w:sz w:val="18"/>
              </w:rPr>
              <w:t>CC</w:t>
            </w:r>
            <w:r w:rsidRPr="00444084">
              <w:rPr>
                <w:rFonts w:ascii="Arial" w:hAnsi="Arial" w:cs="Arial"/>
                <w:b/>
                <w:sz w:val="18"/>
              </w:rPr>
              <w:t>F</w:t>
            </w:r>
          </w:p>
        </w:tc>
        <w:tc>
          <w:tcPr>
            <w:tcW w:w="1435" w:type="dxa"/>
            <w:shd w:val="clear" w:color="auto" w:fill="C00000"/>
          </w:tcPr>
          <w:p w14:paraId="768D7DE4" w14:textId="77777777" w:rsidR="0071346A" w:rsidRPr="00444084" w:rsidRDefault="0071346A" w:rsidP="00AC4829">
            <w:pPr>
              <w:spacing w:after="0"/>
              <w:rPr>
                <w:rFonts w:ascii="Arial" w:hAnsi="Arial" w:cs="Arial"/>
                <w:b/>
                <w:sz w:val="18"/>
              </w:rPr>
            </w:pPr>
            <w:r w:rsidRPr="00444084">
              <w:rPr>
                <w:rFonts w:ascii="Arial" w:hAnsi="Arial" w:cs="Arial"/>
                <w:b/>
                <w:sz w:val="18"/>
              </w:rPr>
              <w:t>O-DDF</w:t>
            </w:r>
          </w:p>
        </w:tc>
      </w:tr>
      <w:tr w:rsidR="0071346A" w:rsidRPr="00444084" w14:paraId="4DAE874E" w14:textId="77777777" w:rsidTr="00AC4829">
        <w:trPr>
          <w:trHeight w:val="209"/>
        </w:trPr>
        <w:tc>
          <w:tcPr>
            <w:tcW w:w="4759" w:type="dxa"/>
            <w:gridSpan w:val="2"/>
            <w:shd w:val="clear" w:color="auto" w:fill="D9D9D9" w:themeFill="background1" w:themeFillShade="D9"/>
          </w:tcPr>
          <w:p w14:paraId="453593CB" w14:textId="77777777" w:rsidR="0071346A" w:rsidRPr="00444084" w:rsidRDefault="0071346A" w:rsidP="00AC4829">
            <w:pPr>
              <w:spacing w:after="0"/>
              <w:rPr>
                <w:rFonts w:ascii="Arial" w:hAnsi="Arial" w:cs="Arial"/>
                <w:sz w:val="18"/>
              </w:rPr>
            </w:pPr>
            <w:r w:rsidRPr="00444084">
              <w:rPr>
                <w:rFonts w:ascii="Arial" w:hAnsi="Arial" w:cs="Arial"/>
                <w:b/>
                <w:sz w:val="18"/>
              </w:rPr>
              <w:t>New infections (All adults)</w:t>
            </w:r>
          </w:p>
        </w:tc>
        <w:tc>
          <w:tcPr>
            <w:tcW w:w="1446" w:type="dxa"/>
            <w:shd w:val="clear" w:color="auto" w:fill="D9D9D9" w:themeFill="background1" w:themeFillShade="D9"/>
          </w:tcPr>
          <w:p w14:paraId="3373B14F" w14:textId="77777777" w:rsidR="0071346A" w:rsidRPr="00444084" w:rsidRDefault="0071346A" w:rsidP="00AC4829">
            <w:pPr>
              <w:spacing w:after="0"/>
              <w:rPr>
                <w:rFonts w:ascii="Arial" w:hAnsi="Arial" w:cs="Arial"/>
                <w:b/>
                <w:sz w:val="18"/>
              </w:rPr>
            </w:pPr>
          </w:p>
        </w:tc>
        <w:tc>
          <w:tcPr>
            <w:tcW w:w="1710" w:type="dxa"/>
            <w:shd w:val="clear" w:color="auto" w:fill="D9D9D9" w:themeFill="background1" w:themeFillShade="D9"/>
          </w:tcPr>
          <w:p w14:paraId="7865E003" w14:textId="77777777" w:rsidR="0071346A" w:rsidRPr="00444084" w:rsidRDefault="0071346A" w:rsidP="00AC4829">
            <w:pPr>
              <w:spacing w:after="0"/>
              <w:rPr>
                <w:rFonts w:ascii="Arial" w:hAnsi="Arial" w:cs="Arial"/>
                <w:b/>
                <w:sz w:val="18"/>
              </w:rPr>
            </w:pPr>
          </w:p>
        </w:tc>
        <w:tc>
          <w:tcPr>
            <w:tcW w:w="1435" w:type="dxa"/>
            <w:shd w:val="clear" w:color="auto" w:fill="D9D9D9" w:themeFill="background1" w:themeFillShade="D9"/>
          </w:tcPr>
          <w:p w14:paraId="774FDBC2" w14:textId="77777777" w:rsidR="0071346A" w:rsidRPr="00444084" w:rsidRDefault="0071346A" w:rsidP="00AC4829">
            <w:pPr>
              <w:spacing w:after="0"/>
              <w:rPr>
                <w:rFonts w:ascii="Arial" w:hAnsi="Arial" w:cs="Arial"/>
                <w:b/>
                <w:sz w:val="18"/>
              </w:rPr>
            </w:pPr>
          </w:p>
        </w:tc>
      </w:tr>
      <w:tr w:rsidR="0071346A" w:rsidRPr="00444084" w14:paraId="58823EC6" w14:textId="77777777" w:rsidTr="00E7689C">
        <w:trPr>
          <w:trHeight w:val="209"/>
        </w:trPr>
        <w:tc>
          <w:tcPr>
            <w:tcW w:w="3235" w:type="dxa"/>
          </w:tcPr>
          <w:p w14:paraId="3B898F7B" w14:textId="7687BB42" w:rsidR="0071346A" w:rsidRPr="00444084" w:rsidRDefault="0071346A" w:rsidP="00AC4829">
            <w:pPr>
              <w:spacing w:after="0"/>
              <w:rPr>
                <w:rFonts w:ascii="Arial" w:hAnsi="Arial" w:cs="Arial"/>
                <w:sz w:val="18"/>
              </w:rPr>
            </w:pPr>
            <w:r w:rsidRPr="00444084">
              <w:rPr>
                <w:rFonts w:ascii="Arial" w:hAnsi="Arial" w:cs="Arial"/>
                <w:sz w:val="18"/>
              </w:rPr>
              <w:t xml:space="preserve">Cumulative </w:t>
            </w:r>
            <w:r w:rsidR="00E7689C">
              <w:rPr>
                <w:rFonts w:ascii="Arial" w:hAnsi="Arial" w:cs="Arial"/>
                <w:sz w:val="18"/>
              </w:rPr>
              <w:t xml:space="preserve">new infections </w:t>
            </w:r>
            <w:r w:rsidRPr="00444084">
              <w:rPr>
                <w:rFonts w:ascii="Arial" w:hAnsi="Arial" w:cs="Arial"/>
                <w:sz w:val="18"/>
              </w:rPr>
              <w:t>2019-2030</w:t>
            </w:r>
          </w:p>
        </w:tc>
        <w:tc>
          <w:tcPr>
            <w:tcW w:w="1524" w:type="dxa"/>
          </w:tcPr>
          <w:p w14:paraId="27523ADA" w14:textId="55981D73" w:rsidR="0071346A" w:rsidRPr="00444084" w:rsidRDefault="0071346A" w:rsidP="00AC4829">
            <w:pPr>
              <w:spacing w:after="0"/>
              <w:rPr>
                <w:rFonts w:ascii="Arial" w:hAnsi="Arial" w:cs="Arial"/>
                <w:sz w:val="18"/>
              </w:rPr>
            </w:pPr>
            <w:r w:rsidRPr="00444084">
              <w:rPr>
                <w:rFonts w:ascii="Arial" w:hAnsi="Arial" w:cs="Arial"/>
                <w:sz w:val="18"/>
              </w:rPr>
              <w:t>53</w:t>
            </w:r>
            <w:r w:rsidR="00032469" w:rsidRPr="00444084">
              <w:rPr>
                <w:rFonts w:ascii="Arial" w:hAnsi="Arial" w:cs="Arial"/>
                <w:sz w:val="18"/>
              </w:rPr>
              <w:t>3,000</w:t>
            </w:r>
          </w:p>
        </w:tc>
        <w:tc>
          <w:tcPr>
            <w:tcW w:w="1446" w:type="dxa"/>
          </w:tcPr>
          <w:p w14:paraId="18A87685" w14:textId="47AEA00A" w:rsidR="0071346A" w:rsidRPr="00444084" w:rsidRDefault="0071346A" w:rsidP="00AC4829">
            <w:pPr>
              <w:spacing w:after="0"/>
              <w:rPr>
                <w:rFonts w:ascii="Arial" w:hAnsi="Arial" w:cs="Arial"/>
                <w:sz w:val="18"/>
              </w:rPr>
            </w:pPr>
            <w:r w:rsidRPr="00444084">
              <w:rPr>
                <w:rFonts w:ascii="Arial" w:hAnsi="Arial" w:cs="Arial"/>
                <w:sz w:val="18"/>
              </w:rPr>
              <w:t>27</w:t>
            </w:r>
            <w:r w:rsidR="00032469" w:rsidRPr="00444084">
              <w:rPr>
                <w:rFonts w:ascii="Arial" w:hAnsi="Arial" w:cs="Arial"/>
                <w:sz w:val="18"/>
              </w:rPr>
              <w:t>8,000</w:t>
            </w:r>
          </w:p>
        </w:tc>
        <w:tc>
          <w:tcPr>
            <w:tcW w:w="1710" w:type="dxa"/>
          </w:tcPr>
          <w:p w14:paraId="11D77E12" w14:textId="113E829E" w:rsidR="0071346A" w:rsidRPr="00444084" w:rsidRDefault="0071346A" w:rsidP="00AC4829">
            <w:pPr>
              <w:spacing w:after="0"/>
              <w:rPr>
                <w:rFonts w:ascii="Arial" w:hAnsi="Arial" w:cs="Arial"/>
                <w:sz w:val="18"/>
              </w:rPr>
            </w:pPr>
            <w:r w:rsidRPr="00444084">
              <w:rPr>
                <w:rFonts w:ascii="Arial" w:hAnsi="Arial" w:cs="Arial"/>
                <w:sz w:val="18"/>
              </w:rPr>
              <w:t>290,0</w:t>
            </w:r>
            <w:r w:rsidR="00032469" w:rsidRPr="00444084">
              <w:rPr>
                <w:rFonts w:ascii="Arial" w:hAnsi="Arial" w:cs="Arial"/>
                <w:sz w:val="18"/>
              </w:rPr>
              <w:t>00</w:t>
            </w:r>
          </w:p>
        </w:tc>
        <w:tc>
          <w:tcPr>
            <w:tcW w:w="1435" w:type="dxa"/>
          </w:tcPr>
          <w:p w14:paraId="130C4365" w14:textId="262598DA" w:rsidR="0071346A" w:rsidRPr="00444084" w:rsidRDefault="0071346A" w:rsidP="00AC4829">
            <w:pPr>
              <w:spacing w:after="0"/>
              <w:rPr>
                <w:rFonts w:ascii="Arial" w:hAnsi="Arial" w:cs="Arial"/>
                <w:sz w:val="18"/>
              </w:rPr>
            </w:pPr>
            <w:r w:rsidRPr="00444084">
              <w:rPr>
                <w:rFonts w:ascii="Arial" w:hAnsi="Arial" w:cs="Arial"/>
                <w:sz w:val="18"/>
              </w:rPr>
              <w:t>48</w:t>
            </w:r>
            <w:r w:rsidR="00032469" w:rsidRPr="00444084">
              <w:rPr>
                <w:rFonts w:ascii="Arial" w:hAnsi="Arial" w:cs="Arial"/>
                <w:sz w:val="18"/>
              </w:rPr>
              <w:t>9,000</w:t>
            </w:r>
          </w:p>
        </w:tc>
      </w:tr>
      <w:tr w:rsidR="0071346A" w:rsidRPr="00444084" w14:paraId="4C9FC5BE" w14:textId="77777777" w:rsidTr="00E7689C">
        <w:trPr>
          <w:trHeight w:val="209"/>
        </w:trPr>
        <w:tc>
          <w:tcPr>
            <w:tcW w:w="3235" w:type="dxa"/>
          </w:tcPr>
          <w:p w14:paraId="17AF1DE7" w14:textId="7E220B35" w:rsidR="0071346A" w:rsidRPr="00444084" w:rsidRDefault="00CE6F5D" w:rsidP="00AC4829">
            <w:pPr>
              <w:spacing w:after="0"/>
              <w:rPr>
                <w:rFonts w:ascii="Arial" w:hAnsi="Arial" w:cs="Arial"/>
                <w:sz w:val="18"/>
              </w:rPr>
            </w:pPr>
            <w:r>
              <w:rPr>
                <w:rFonts w:ascii="Arial" w:hAnsi="Arial" w:cs="Arial"/>
                <w:sz w:val="18"/>
              </w:rPr>
              <w:t>Number of new infections</w:t>
            </w:r>
            <w:r w:rsidR="0071346A" w:rsidRPr="00444084">
              <w:rPr>
                <w:rFonts w:ascii="Arial" w:hAnsi="Arial" w:cs="Arial"/>
                <w:sz w:val="18"/>
              </w:rPr>
              <w:t xml:space="preserve"> in 2030</w:t>
            </w:r>
          </w:p>
        </w:tc>
        <w:tc>
          <w:tcPr>
            <w:tcW w:w="1524" w:type="dxa"/>
          </w:tcPr>
          <w:p w14:paraId="341AF6F1" w14:textId="0B65B88B" w:rsidR="0071346A" w:rsidRPr="00444084" w:rsidRDefault="0071346A" w:rsidP="00AC4829">
            <w:pPr>
              <w:spacing w:after="0"/>
              <w:rPr>
                <w:rFonts w:ascii="Arial" w:hAnsi="Arial" w:cs="Arial"/>
                <w:sz w:val="18"/>
              </w:rPr>
            </w:pPr>
            <w:r w:rsidRPr="00444084">
              <w:rPr>
                <w:rFonts w:ascii="Arial" w:hAnsi="Arial" w:cs="Arial"/>
                <w:sz w:val="18"/>
              </w:rPr>
              <w:t>44,</w:t>
            </w:r>
            <w:r w:rsidR="00032469" w:rsidRPr="00444084">
              <w:rPr>
                <w:rFonts w:ascii="Arial" w:hAnsi="Arial" w:cs="Arial"/>
                <w:sz w:val="18"/>
              </w:rPr>
              <w:t>000</w:t>
            </w:r>
          </w:p>
        </w:tc>
        <w:tc>
          <w:tcPr>
            <w:tcW w:w="1446" w:type="dxa"/>
          </w:tcPr>
          <w:p w14:paraId="09805518" w14:textId="58655BB3" w:rsidR="0071346A" w:rsidRPr="00444084" w:rsidRDefault="0071346A" w:rsidP="00AC4829">
            <w:pPr>
              <w:spacing w:after="0"/>
              <w:rPr>
                <w:rFonts w:ascii="Arial" w:hAnsi="Arial" w:cs="Arial"/>
                <w:sz w:val="18"/>
              </w:rPr>
            </w:pPr>
            <w:r w:rsidRPr="00444084">
              <w:rPr>
                <w:rFonts w:ascii="Arial" w:hAnsi="Arial" w:cs="Arial"/>
                <w:sz w:val="18"/>
              </w:rPr>
              <w:t>14,</w:t>
            </w:r>
            <w:r w:rsidR="00032469" w:rsidRPr="00444084">
              <w:rPr>
                <w:rFonts w:ascii="Arial" w:hAnsi="Arial" w:cs="Arial"/>
                <w:sz w:val="18"/>
              </w:rPr>
              <w:t>000</w:t>
            </w:r>
          </w:p>
        </w:tc>
        <w:tc>
          <w:tcPr>
            <w:tcW w:w="1710" w:type="dxa"/>
          </w:tcPr>
          <w:p w14:paraId="1B4D2F85" w14:textId="437BCC80" w:rsidR="0071346A" w:rsidRPr="00444084" w:rsidRDefault="0071346A"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6,000</w:t>
            </w:r>
          </w:p>
        </w:tc>
        <w:tc>
          <w:tcPr>
            <w:tcW w:w="1435" w:type="dxa"/>
          </w:tcPr>
          <w:p w14:paraId="7B24C4D3" w14:textId="7F61289B" w:rsidR="0071346A" w:rsidRPr="00444084" w:rsidRDefault="0071346A" w:rsidP="00AC4829">
            <w:pPr>
              <w:spacing w:after="0"/>
              <w:rPr>
                <w:rFonts w:ascii="Arial" w:hAnsi="Arial" w:cs="Arial"/>
                <w:sz w:val="18"/>
              </w:rPr>
            </w:pPr>
            <w:r w:rsidRPr="00444084">
              <w:rPr>
                <w:rFonts w:ascii="Arial" w:hAnsi="Arial" w:cs="Arial"/>
                <w:sz w:val="18"/>
              </w:rPr>
              <w:t>5</w:t>
            </w:r>
            <w:r w:rsidR="00032469" w:rsidRPr="00444084">
              <w:rPr>
                <w:rFonts w:ascii="Arial" w:hAnsi="Arial" w:cs="Arial"/>
                <w:sz w:val="18"/>
              </w:rPr>
              <w:t>5,000</w:t>
            </w:r>
          </w:p>
        </w:tc>
      </w:tr>
      <w:tr w:rsidR="0071346A" w:rsidRPr="00444084" w14:paraId="6F58349A" w14:textId="77777777" w:rsidTr="00E7689C">
        <w:trPr>
          <w:trHeight w:val="209"/>
        </w:trPr>
        <w:tc>
          <w:tcPr>
            <w:tcW w:w="3235" w:type="dxa"/>
          </w:tcPr>
          <w:p w14:paraId="2871E3DD" w14:textId="2B25E9D2" w:rsidR="0071346A" w:rsidRPr="00444084" w:rsidRDefault="00CE6F5D" w:rsidP="00AC4829">
            <w:pPr>
              <w:spacing w:after="0"/>
              <w:rPr>
                <w:rFonts w:ascii="Arial" w:hAnsi="Arial" w:cs="Arial"/>
                <w:sz w:val="18"/>
              </w:rPr>
            </w:pPr>
            <w:r>
              <w:rPr>
                <w:rFonts w:ascii="Arial" w:hAnsi="Arial" w:cs="Arial"/>
                <w:sz w:val="18"/>
              </w:rPr>
              <w:t>Percent</w:t>
            </w:r>
            <w:r w:rsidR="0071346A" w:rsidRPr="00444084">
              <w:rPr>
                <w:rFonts w:ascii="Arial" w:hAnsi="Arial" w:cs="Arial"/>
                <w:sz w:val="18"/>
              </w:rPr>
              <w:t xml:space="preserve"> change 2019-2030</w:t>
            </w:r>
          </w:p>
        </w:tc>
        <w:tc>
          <w:tcPr>
            <w:tcW w:w="1524" w:type="dxa"/>
          </w:tcPr>
          <w:p w14:paraId="343F66F5" w14:textId="77777777" w:rsidR="0071346A" w:rsidRPr="00444084" w:rsidRDefault="0071346A" w:rsidP="00AC4829">
            <w:pPr>
              <w:spacing w:after="0"/>
              <w:rPr>
                <w:rFonts w:ascii="Arial" w:hAnsi="Arial" w:cs="Arial"/>
                <w:sz w:val="18"/>
              </w:rPr>
            </w:pPr>
            <w:r w:rsidRPr="00444084">
              <w:rPr>
                <w:rFonts w:ascii="Arial" w:hAnsi="Arial" w:cs="Arial"/>
                <w:sz w:val="18"/>
              </w:rPr>
              <w:t>-2%</w:t>
            </w:r>
          </w:p>
        </w:tc>
        <w:tc>
          <w:tcPr>
            <w:tcW w:w="1446" w:type="dxa"/>
          </w:tcPr>
          <w:p w14:paraId="7F5D9E64" w14:textId="77777777" w:rsidR="0071346A" w:rsidRPr="00444084" w:rsidRDefault="0071346A" w:rsidP="00AC4829">
            <w:pPr>
              <w:spacing w:after="0"/>
              <w:rPr>
                <w:rFonts w:ascii="Arial" w:hAnsi="Arial" w:cs="Arial"/>
                <w:sz w:val="18"/>
              </w:rPr>
            </w:pPr>
            <w:r w:rsidRPr="00444084">
              <w:rPr>
                <w:rFonts w:ascii="Arial" w:hAnsi="Arial" w:cs="Arial"/>
                <w:sz w:val="18"/>
              </w:rPr>
              <w:t>-72%</w:t>
            </w:r>
          </w:p>
        </w:tc>
        <w:tc>
          <w:tcPr>
            <w:tcW w:w="1710" w:type="dxa"/>
          </w:tcPr>
          <w:p w14:paraId="459256EB" w14:textId="77777777" w:rsidR="0071346A" w:rsidRPr="00444084" w:rsidRDefault="0071346A" w:rsidP="00AC4829">
            <w:pPr>
              <w:spacing w:after="0"/>
              <w:rPr>
                <w:rFonts w:ascii="Arial" w:hAnsi="Arial" w:cs="Arial"/>
                <w:sz w:val="18"/>
              </w:rPr>
            </w:pPr>
            <w:r w:rsidRPr="00444084">
              <w:rPr>
                <w:rFonts w:ascii="Arial" w:hAnsi="Arial" w:cs="Arial"/>
                <w:sz w:val="18"/>
              </w:rPr>
              <w:t>-70%</w:t>
            </w:r>
          </w:p>
        </w:tc>
        <w:tc>
          <w:tcPr>
            <w:tcW w:w="1435" w:type="dxa"/>
          </w:tcPr>
          <w:p w14:paraId="1A1D4120" w14:textId="77777777" w:rsidR="0071346A" w:rsidRPr="00444084" w:rsidRDefault="0071346A" w:rsidP="00AC4829">
            <w:pPr>
              <w:spacing w:after="0"/>
              <w:rPr>
                <w:rFonts w:ascii="Arial" w:hAnsi="Arial" w:cs="Arial"/>
                <w:sz w:val="18"/>
              </w:rPr>
            </w:pPr>
            <w:r w:rsidRPr="00444084">
              <w:rPr>
                <w:rFonts w:ascii="Arial" w:hAnsi="Arial" w:cs="Arial"/>
                <w:sz w:val="18"/>
              </w:rPr>
              <w:t>+7%</w:t>
            </w:r>
          </w:p>
        </w:tc>
      </w:tr>
      <w:tr w:rsidR="0071346A" w:rsidRPr="00444084" w14:paraId="7B891030" w14:textId="77777777" w:rsidTr="00E7689C">
        <w:trPr>
          <w:trHeight w:val="209"/>
        </w:trPr>
        <w:tc>
          <w:tcPr>
            <w:tcW w:w="3235" w:type="dxa"/>
          </w:tcPr>
          <w:p w14:paraId="25E6D8D4" w14:textId="77777777" w:rsidR="0071346A" w:rsidRPr="00444084" w:rsidRDefault="0071346A" w:rsidP="00AC4829">
            <w:pPr>
              <w:spacing w:after="0"/>
              <w:rPr>
                <w:rFonts w:ascii="Arial" w:hAnsi="Arial" w:cs="Arial"/>
                <w:sz w:val="18"/>
              </w:rPr>
            </w:pPr>
            <w:r w:rsidRPr="00444084">
              <w:rPr>
                <w:rFonts w:ascii="Arial" w:hAnsi="Arial" w:cs="Arial"/>
                <w:sz w:val="18"/>
              </w:rPr>
              <w:t xml:space="preserve">Fast Track target </w:t>
            </w:r>
          </w:p>
          <w:p w14:paraId="2419119D" w14:textId="03E53492" w:rsidR="0071346A" w:rsidRPr="00444084" w:rsidRDefault="0071346A" w:rsidP="00AC4829">
            <w:pPr>
              <w:spacing w:after="0"/>
              <w:rPr>
                <w:rFonts w:ascii="Arial" w:hAnsi="Arial" w:cs="Arial"/>
                <w:sz w:val="18"/>
              </w:rPr>
            </w:pPr>
            <w:r w:rsidRPr="00444084">
              <w:rPr>
                <w:rFonts w:ascii="Arial" w:hAnsi="Arial" w:cs="Arial"/>
                <w:sz w:val="18"/>
              </w:rPr>
              <w:t>(</w:t>
            </w:r>
            <w:r w:rsidR="00CE6F5D">
              <w:rPr>
                <w:rFonts w:ascii="Arial" w:hAnsi="Arial" w:cs="Arial"/>
                <w:sz w:val="18"/>
              </w:rPr>
              <w:t>Percent</w:t>
            </w:r>
            <w:r w:rsidRPr="00444084">
              <w:rPr>
                <w:rFonts w:ascii="Arial" w:hAnsi="Arial" w:cs="Arial"/>
                <w:sz w:val="18"/>
              </w:rPr>
              <w:t xml:space="preserve"> </w:t>
            </w:r>
            <w:r w:rsidR="00CE6F5D">
              <w:rPr>
                <w:rFonts w:ascii="Arial" w:hAnsi="Arial" w:cs="Arial"/>
                <w:sz w:val="18"/>
              </w:rPr>
              <w:t>r</w:t>
            </w:r>
            <w:r w:rsidRPr="00444084">
              <w:rPr>
                <w:rFonts w:ascii="Arial" w:hAnsi="Arial" w:cs="Arial"/>
                <w:sz w:val="18"/>
              </w:rPr>
              <w:t>eduction 2010-2030)</w:t>
            </w:r>
          </w:p>
        </w:tc>
        <w:tc>
          <w:tcPr>
            <w:tcW w:w="1524" w:type="dxa"/>
          </w:tcPr>
          <w:p w14:paraId="70C56A48" w14:textId="77777777" w:rsidR="0071346A" w:rsidRPr="00444084" w:rsidRDefault="0071346A" w:rsidP="00AC4829">
            <w:pPr>
              <w:spacing w:after="0"/>
              <w:rPr>
                <w:rFonts w:ascii="Arial" w:hAnsi="Arial" w:cs="Arial"/>
                <w:sz w:val="18"/>
              </w:rPr>
            </w:pPr>
            <w:r w:rsidRPr="00444084">
              <w:rPr>
                <w:rFonts w:ascii="Arial" w:hAnsi="Arial" w:cs="Arial"/>
                <w:sz w:val="18"/>
              </w:rPr>
              <w:t>-55%</w:t>
            </w:r>
          </w:p>
        </w:tc>
        <w:tc>
          <w:tcPr>
            <w:tcW w:w="1446" w:type="dxa"/>
          </w:tcPr>
          <w:p w14:paraId="608B397A" w14:textId="77777777" w:rsidR="0071346A" w:rsidRPr="00444084" w:rsidRDefault="0071346A" w:rsidP="00AC4829">
            <w:pPr>
              <w:spacing w:after="0"/>
              <w:rPr>
                <w:rFonts w:ascii="Arial" w:hAnsi="Arial" w:cs="Arial"/>
                <w:sz w:val="18"/>
              </w:rPr>
            </w:pPr>
            <w:r w:rsidRPr="00444084">
              <w:rPr>
                <w:rFonts w:ascii="Arial" w:hAnsi="Arial" w:cs="Arial"/>
                <w:sz w:val="18"/>
              </w:rPr>
              <w:t>-85%</w:t>
            </w:r>
          </w:p>
        </w:tc>
        <w:tc>
          <w:tcPr>
            <w:tcW w:w="1710" w:type="dxa"/>
          </w:tcPr>
          <w:p w14:paraId="5828D7C2" w14:textId="77777777" w:rsidR="0071346A" w:rsidRPr="00444084" w:rsidRDefault="0071346A" w:rsidP="00AC4829">
            <w:pPr>
              <w:spacing w:after="0"/>
              <w:rPr>
                <w:rFonts w:ascii="Arial" w:hAnsi="Arial" w:cs="Arial"/>
                <w:sz w:val="18"/>
              </w:rPr>
            </w:pPr>
            <w:r w:rsidRPr="00444084">
              <w:rPr>
                <w:rFonts w:ascii="Arial" w:hAnsi="Arial" w:cs="Arial"/>
                <w:sz w:val="18"/>
              </w:rPr>
              <w:t>-84%</w:t>
            </w:r>
          </w:p>
        </w:tc>
        <w:tc>
          <w:tcPr>
            <w:tcW w:w="1435" w:type="dxa"/>
          </w:tcPr>
          <w:p w14:paraId="31EA1088" w14:textId="77777777" w:rsidR="0071346A" w:rsidRPr="00444084" w:rsidRDefault="0071346A" w:rsidP="00AC4829">
            <w:pPr>
              <w:spacing w:after="0"/>
              <w:rPr>
                <w:rFonts w:ascii="Arial" w:hAnsi="Arial" w:cs="Arial"/>
                <w:sz w:val="18"/>
              </w:rPr>
            </w:pPr>
            <w:r w:rsidRPr="00444084">
              <w:rPr>
                <w:rFonts w:ascii="Arial" w:hAnsi="Arial" w:cs="Arial"/>
                <w:sz w:val="18"/>
              </w:rPr>
              <w:t>-44%</w:t>
            </w:r>
          </w:p>
        </w:tc>
      </w:tr>
      <w:tr w:rsidR="0071346A" w:rsidRPr="00444084" w14:paraId="5C6CDB97" w14:textId="77777777" w:rsidTr="00E7689C">
        <w:trPr>
          <w:trHeight w:val="209"/>
        </w:trPr>
        <w:tc>
          <w:tcPr>
            <w:tcW w:w="3235" w:type="dxa"/>
            <w:shd w:val="clear" w:color="auto" w:fill="D0CECE" w:themeFill="background2" w:themeFillShade="E6"/>
          </w:tcPr>
          <w:p w14:paraId="543EF906" w14:textId="77777777" w:rsidR="0071346A" w:rsidRPr="00444084" w:rsidRDefault="0071346A" w:rsidP="00AC4829">
            <w:pPr>
              <w:spacing w:after="0"/>
              <w:rPr>
                <w:rFonts w:ascii="Arial" w:hAnsi="Arial" w:cs="Arial"/>
                <w:b/>
                <w:sz w:val="18"/>
              </w:rPr>
            </w:pPr>
            <w:r w:rsidRPr="00444084">
              <w:rPr>
                <w:rFonts w:ascii="Arial" w:hAnsi="Arial" w:cs="Arial"/>
                <w:b/>
                <w:sz w:val="18"/>
              </w:rPr>
              <w:t>New infections (Adolescents)</w:t>
            </w:r>
          </w:p>
        </w:tc>
        <w:tc>
          <w:tcPr>
            <w:tcW w:w="1524" w:type="dxa"/>
            <w:shd w:val="clear" w:color="auto" w:fill="D0CECE" w:themeFill="background2" w:themeFillShade="E6"/>
          </w:tcPr>
          <w:p w14:paraId="0EE43120" w14:textId="77777777" w:rsidR="0071346A" w:rsidRPr="00444084" w:rsidRDefault="0071346A" w:rsidP="00AC4829">
            <w:pPr>
              <w:spacing w:after="0"/>
              <w:rPr>
                <w:rFonts w:ascii="Arial" w:hAnsi="Arial" w:cs="Arial"/>
                <w:b/>
                <w:sz w:val="18"/>
              </w:rPr>
            </w:pPr>
          </w:p>
        </w:tc>
        <w:tc>
          <w:tcPr>
            <w:tcW w:w="1446" w:type="dxa"/>
            <w:shd w:val="clear" w:color="auto" w:fill="D0CECE" w:themeFill="background2" w:themeFillShade="E6"/>
          </w:tcPr>
          <w:p w14:paraId="633D5936" w14:textId="77777777" w:rsidR="0071346A" w:rsidRPr="00444084" w:rsidRDefault="0071346A" w:rsidP="00AC4829">
            <w:pPr>
              <w:spacing w:after="0"/>
              <w:rPr>
                <w:rFonts w:ascii="Arial" w:hAnsi="Arial" w:cs="Arial"/>
                <w:b/>
                <w:sz w:val="18"/>
              </w:rPr>
            </w:pPr>
          </w:p>
        </w:tc>
        <w:tc>
          <w:tcPr>
            <w:tcW w:w="1710" w:type="dxa"/>
            <w:shd w:val="clear" w:color="auto" w:fill="D0CECE" w:themeFill="background2" w:themeFillShade="E6"/>
          </w:tcPr>
          <w:p w14:paraId="43945C7C" w14:textId="77777777" w:rsidR="0071346A" w:rsidRPr="00444084" w:rsidRDefault="0071346A" w:rsidP="00AC4829">
            <w:pPr>
              <w:spacing w:after="0"/>
              <w:rPr>
                <w:rFonts w:ascii="Arial" w:hAnsi="Arial" w:cs="Arial"/>
                <w:b/>
                <w:sz w:val="18"/>
              </w:rPr>
            </w:pPr>
          </w:p>
        </w:tc>
        <w:tc>
          <w:tcPr>
            <w:tcW w:w="1435" w:type="dxa"/>
            <w:shd w:val="clear" w:color="auto" w:fill="D0CECE" w:themeFill="background2" w:themeFillShade="E6"/>
          </w:tcPr>
          <w:p w14:paraId="2DACE228" w14:textId="77777777" w:rsidR="0071346A" w:rsidRPr="00444084" w:rsidRDefault="0071346A" w:rsidP="00AC4829">
            <w:pPr>
              <w:spacing w:after="0"/>
              <w:rPr>
                <w:rFonts w:ascii="Arial" w:hAnsi="Arial" w:cs="Arial"/>
                <w:b/>
                <w:sz w:val="18"/>
              </w:rPr>
            </w:pPr>
          </w:p>
        </w:tc>
      </w:tr>
      <w:tr w:rsidR="0071346A" w:rsidRPr="00444084" w14:paraId="2E1AB4B8" w14:textId="77777777" w:rsidTr="00E7689C">
        <w:trPr>
          <w:trHeight w:val="209"/>
        </w:trPr>
        <w:tc>
          <w:tcPr>
            <w:tcW w:w="3235" w:type="dxa"/>
          </w:tcPr>
          <w:p w14:paraId="57311F7F" w14:textId="107F79E9" w:rsidR="0071346A" w:rsidRPr="00444084" w:rsidRDefault="0071346A" w:rsidP="00AC4829">
            <w:pPr>
              <w:spacing w:after="0"/>
              <w:rPr>
                <w:rFonts w:ascii="Arial" w:hAnsi="Arial" w:cs="Arial"/>
                <w:sz w:val="18"/>
              </w:rPr>
            </w:pPr>
            <w:r w:rsidRPr="00444084">
              <w:rPr>
                <w:rFonts w:ascii="Arial" w:hAnsi="Arial" w:cs="Arial"/>
                <w:sz w:val="18"/>
              </w:rPr>
              <w:t>Cumulative</w:t>
            </w:r>
            <w:r w:rsidR="00E7689C">
              <w:rPr>
                <w:rFonts w:ascii="Arial" w:hAnsi="Arial" w:cs="Arial"/>
                <w:sz w:val="18"/>
              </w:rPr>
              <w:t xml:space="preserve"> new infections</w:t>
            </w:r>
            <w:r w:rsidRPr="00444084">
              <w:rPr>
                <w:rFonts w:ascii="Arial" w:hAnsi="Arial" w:cs="Arial"/>
                <w:sz w:val="18"/>
              </w:rPr>
              <w:t xml:space="preserve"> 2019-2030</w:t>
            </w:r>
          </w:p>
        </w:tc>
        <w:tc>
          <w:tcPr>
            <w:tcW w:w="1524" w:type="dxa"/>
          </w:tcPr>
          <w:p w14:paraId="12923DB5" w14:textId="4D5FC7E8" w:rsidR="0071346A" w:rsidRPr="00444084" w:rsidRDefault="0071346A" w:rsidP="00AC4829">
            <w:pPr>
              <w:spacing w:after="0"/>
              <w:rPr>
                <w:rFonts w:ascii="Arial" w:hAnsi="Arial" w:cs="Arial"/>
                <w:sz w:val="18"/>
              </w:rPr>
            </w:pPr>
            <w:r w:rsidRPr="00444084">
              <w:rPr>
                <w:rFonts w:ascii="Arial" w:hAnsi="Arial" w:cs="Arial"/>
                <w:sz w:val="18"/>
              </w:rPr>
              <w:t>150</w:t>
            </w:r>
            <w:r w:rsidR="00032469" w:rsidRPr="00444084">
              <w:rPr>
                <w:rFonts w:ascii="Arial" w:hAnsi="Arial" w:cs="Arial"/>
                <w:sz w:val="18"/>
              </w:rPr>
              <w:t>,000</w:t>
            </w:r>
          </w:p>
        </w:tc>
        <w:tc>
          <w:tcPr>
            <w:tcW w:w="1446" w:type="dxa"/>
          </w:tcPr>
          <w:p w14:paraId="0F55F1D1" w14:textId="6E84E406" w:rsidR="0071346A" w:rsidRPr="00444084" w:rsidRDefault="0071346A" w:rsidP="00AC4829">
            <w:pPr>
              <w:spacing w:after="0"/>
              <w:rPr>
                <w:rFonts w:ascii="Arial" w:hAnsi="Arial" w:cs="Arial"/>
                <w:sz w:val="18"/>
              </w:rPr>
            </w:pPr>
            <w:r w:rsidRPr="00444084">
              <w:rPr>
                <w:rFonts w:ascii="Arial" w:hAnsi="Arial" w:cs="Arial"/>
                <w:sz w:val="18"/>
              </w:rPr>
              <w:t>7</w:t>
            </w:r>
            <w:r w:rsidR="00032469" w:rsidRPr="00444084">
              <w:rPr>
                <w:rFonts w:ascii="Arial" w:hAnsi="Arial" w:cs="Arial"/>
                <w:sz w:val="18"/>
              </w:rPr>
              <w:t>5,000</w:t>
            </w:r>
          </w:p>
        </w:tc>
        <w:tc>
          <w:tcPr>
            <w:tcW w:w="1710" w:type="dxa"/>
          </w:tcPr>
          <w:p w14:paraId="6F2AA714" w14:textId="7B2CA4B9" w:rsidR="0071346A" w:rsidRPr="00444084" w:rsidRDefault="0071346A" w:rsidP="00AC4829">
            <w:pPr>
              <w:spacing w:after="0"/>
              <w:rPr>
                <w:rFonts w:ascii="Arial" w:hAnsi="Arial" w:cs="Arial"/>
                <w:sz w:val="18"/>
              </w:rPr>
            </w:pPr>
            <w:r w:rsidRPr="00444084">
              <w:rPr>
                <w:rFonts w:ascii="Arial" w:hAnsi="Arial" w:cs="Arial"/>
                <w:sz w:val="18"/>
              </w:rPr>
              <w:t>7</w:t>
            </w:r>
            <w:r w:rsidR="00032469" w:rsidRPr="00444084">
              <w:rPr>
                <w:rFonts w:ascii="Arial" w:hAnsi="Arial" w:cs="Arial"/>
                <w:sz w:val="18"/>
              </w:rPr>
              <w:t>9,000</w:t>
            </w:r>
          </w:p>
        </w:tc>
        <w:tc>
          <w:tcPr>
            <w:tcW w:w="1435" w:type="dxa"/>
          </w:tcPr>
          <w:p w14:paraId="5258A765" w14:textId="7AB858CC" w:rsidR="0071346A" w:rsidRPr="00444084" w:rsidRDefault="0071346A" w:rsidP="00AC4829">
            <w:pPr>
              <w:spacing w:after="0"/>
              <w:rPr>
                <w:rFonts w:ascii="Arial" w:hAnsi="Arial" w:cs="Arial"/>
                <w:sz w:val="18"/>
              </w:rPr>
            </w:pPr>
            <w:r w:rsidRPr="00444084">
              <w:rPr>
                <w:rFonts w:ascii="Arial" w:hAnsi="Arial" w:cs="Arial"/>
                <w:sz w:val="18"/>
              </w:rPr>
              <w:t>149,</w:t>
            </w:r>
            <w:r w:rsidR="00032469" w:rsidRPr="00444084">
              <w:rPr>
                <w:rFonts w:ascii="Arial" w:hAnsi="Arial" w:cs="Arial"/>
                <w:sz w:val="18"/>
              </w:rPr>
              <w:t>000</w:t>
            </w:r>
          </w:p>
        </w:tc>
      </w:tr>
      <w:tr w:rsidR="0071346A" w:rsidRPr="00444084" w14:paraId="5C77FFB6" w14:textId="77777777" w:rsidTr="00E7689C">
        <w:trPr>
          <w:trHeight w:val="209"/>
        </w:trPr>
        <w:tc>
          <w:tcPr>
            <w:tcW w:w="3235" w:type="dxa"/>
          </w:tcPr>
          <w:p w14:paraId="5193C751" w14:textId="1E4C5A62" w:rsidR="0071346A" w:rsidRPr="00444084" w:rsidRDefault="00CE6F5D" w:rsidP="00AC4829">
            <w:pPr>
              <w:spacing w:after="0"/>
              <w:rPr>
                <w:rFonts w:ascii="Arial" w:hAnsi="Arial" w:cs="Arial"/>
                <w:sz w:val="18"/>
              </w:rPr>
            </w:pPr>
            <w:r>
              <w:rPr>
                <w:rFonts w:ascii="Arial" w:hAnsi="Arial" w:cs="Arial"/>
                <w:sz w:val="18"/>
              </w:rPr>
              <w:t>Number of new infections</w:t>
            </w:r>
            <w:r w:rsidR="0071346A" w:rsidRPr="00444084">
              <w:rPr>
                <w:rFonts w:ascii="Arial" w:hAnsi="Arial" w:cs="Arial"/>
                <w:sz w:val="18"/>
              </w:rPr>
              <w:t xml:space="preserve"> in 2030</w:t>
            </w:r>
          </w:p>
        </w:tc>
        <w:tc>
          <w:tcPr>
            <w:tcW w:w="1524" w:type="dxa"/>
          </w:tcPr>
          <w:p w14:paraId="2D524B6A" w14:textId="0D33733D" w:rsidR="0071346A" w:rsidRPr="00444084" w:rsidRDefault="0071346A" w:rsidP="00AC4829">
            <w:pPr>
              <w:spacing w:after="0"/>
              <w:rPr>
                <w:rFonts w:ascii="Arial" w:hAnsi="Arial" w:cs="Arial"/>
                <w:sz w:val="18"/>
              </w:rPr>
            </w:pPr>
            <w:r w:rsidRPr="00444084">
              <w:rPr>
                <w:rFonts w:ascii="Arial" w:hAnsi="Arial" w:cs="Arial"/>
                <w:sz w:val="18"/>
              </w:rPr>
              <w:t>13,0</w:t>
            </w:r>
            <w:r w:rsidR="00032469" w:rsidRPr="00444084">
              <w:rPr>
                <w:rFonts w:ascii="Arial" w:hAnsi="Arial" w:cs="Arial"/>
                <w:sz w:val="18"/>
              </w:rPr>
              <w:t>00</w:t>
            </w:r>
          </w:p>
        </w:tc>
        <w:tc>
          <w:tcPr>
            <w:tcW w:w="1446" w:type="dxa"/>
          </w:tcPr>
          <w:p w14:paraId="4923E4F1" w14:textId="09D898A5" w:rsidR="0071346A" w:rsidRPr="00444084" w:rsidRDefault="00032469" w:rsidP="00AC4829">
            <w:pPr>
              <w:spacing w:after="0"/>
              <w:rPr>
                <w:rFonts w:ascii="Arial" w:hAnsi="Arial" w:cs="Arial"/>
                <w:sz w:val="18"/>
              </w:rPr>
            </w:pPr>
            <w:r w:rsidRPr="00444084">
              <w:rPr>
                <w:rFonts w:ascii="Arial" w:hAnsi="Arial" w:cs="Arial"/>
                <w:sz w:val="18"/>
              </w:rPr>
              <w:t>4,000</w:t>
            </w:r>
          </w:p>
        </w:tc>
        <w:tc>
          <w:tcPr>
            <w:tcW w:w="1710" w:type="dxa"/>
          </w:tcPr>
          <w:p w14:paraId="0112DDAD" w14:textId="5564AF3B" w:rsidR="0071346A" w:rsidRPr="00444084" w:rsidRDefault="0071346A" w:rsidP="00AC4829">
            <w:pPr>
              <w:spacing w:after="0"/>
              <w:rPr>
                <w:rFonts w:ascii="Arial" w:hAnsi="Arial" w:cs="Arial"/>
                <w:sz w:val="18"/>
              </w:rPr>
            </w:pPr>
            <w:r w:rsidRPr="00444084">
              <w:rPr>
                <w:rFonts w:ascii="Arial" w:hAnsi="Arial" w:cs="Arial"/>
                <w:sz w:val="18"/>
              </w:rPr>
              <w:t>4,</w:t>
            </w:r>
            <w:r w:rsidR="00032469" w:rsidRPr="00444084">
              <w:rPr>
                <w:rFonts w:ascii="Arial" w:hAnsi="Arial" w:cs="Arial"/>
                <w:sz w:val="18"/>
              </w:rPr>
              <w:t>000</w:t>
            </w:r>
          </w:p>
        </w:tc>
        <w:tc>
          <w:tcPr>
            <w:tcW w:w="1435" w:type="dxa"/>
          </w:tcPr>
          <w:p w14:paraId="4BCEED72" w14:textId="12A35A9B" w:rsidR="0071346A" w:rsidRPr="00444084" w:rsidRDefault="0071346A"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8,000</w:t>
            </w:r>
          </w:p>
        </w:tc>
      </w:tr>
      <w:tr w:rsidR="0071346A" w:rsidRPr="00444084" w14:paraId="04570E1C" w14:textId="77777777" w:rsidTr="00E7689C">
        <w:trPr>
          <w:trHeight w:val="209"/>
        </w:trPr>
        <w:tc>
          <w:tcPr>
            <w:tcW w:w="3235" w:type="dxa"/>
          </w:tcPr>
          <w:p w14:paraId="0299D17F" w14:textId="109D32DE" w:rsidR="0071346A" w:rsidRPr="00444084" w:rsidRDefault="00CE6F5D" w:rsidP="00AC4829">
            <w:pPr>
              <w:spacing w:after="0"/>
              <w:rPr>
                <w:rFonts w:ascii="Arial" w:hAnsi="Arial" w:cs="Arial"/>
                <w:sz w:val="18"/>
              </w:rPr>
            </w:pPr>
            <w:r>
              <w:rPr>
                <w:rFonts w:ascii="Arial" w:hAnsi="Arial" w:cs="Arial"/>
                <w:sz w:val="18"/>
              </w:rPr>
              <w:t>Percent</w:t>
            </w:r>
            <w:r w:rsidR="0071346A" w:rsidRPr="00444084">
              <w:rPr>
                <w:rFonts w:ascii="Arial" w:hAnsi="Arial" w:cs="Arial"/>
                <w:sz w:val="18"/>
              </w:rPr>
              <w:t xml:space="preserve"> change 2019-2030</w:t>
            </w:r>
          </w:p>
        </w:tc>
        <w:tc>
          <w:tcPr>
            <w:tcW w:w="1524" w:type="dxa"/>
          </w:tcPr>
          <w:p w14:paraId="6206A996" w14:textId="77777777" w:rsidR="0071346A" w:rsidRPr="00444084" w:rsidRDefault="0071346A" w:rsidP="00AC4829">
            <w:pPr>
              <w:spacing w:after="0"/>
              <w:rPr>
                <w:rFonts w:ascii="Arial" w:hAnsi="Arial" w:cs="Arial"/>
                <w:sz w:val="18"/>
              </w:rPr>
            </w:pPr>
            <w:r w:rsidRPr="00444084">
              <w:rPr>
                <w:rFonts w:ascii="Arial" w:hAnsi="Arial" w:cs="Arial"/>
                <w:sz w:val="18"/>
              </w:rPr>
              <w:t>+9%</w:t>
            </w:r>
          </w:p>
        </w:tc>
        <w:tc>
          <w:tcPr>
            <w:tcW w:w="1446" w:type="dxa"/>
          </w:tcPr>
          <w:p w14:paraId="34A4BF07" w14:textId="77777777" w:rsidR="0071346A" w:rsidRPr="00444084" w:rsidRDefault="0071346A" w:rsidP="00AC4829">
            <w:pPr>
              <w:spacing w:after="0"/>
              <w:rPr>
                <w:rFonts w:ascii="Arial" w:hAnsi="Arial" w:cs="Arial"/>
                <w:sz w:val="18"/>
              </w:rPr>
            </w:pPr>
            <w:r w:rsidRPr="00444084">
              <w:rPr>
                <w:rFonts w:ascii="Arial" w:hAnsi="Arial" w:cs="Arial"/>
                <w:sz w:val="18"/>
              </w:rPr>
              <w:t>-67%</w:t>
            </w:r>
          </w:p>
        </w:tc>
        <w:tc>
          <w:tcPr>
            <w:tcW w:w="1710" w:type="dxa"/>
          </w:tcPr>
          <w:p w14:paraId="2F4150BA" w14:textId="77777777" w:rsidR="0071346A" w:rsidRPr="00444084" w:rsidRDefault="0071346A" w:rsidP="00AC4829">
            <w:pPr>
              <w:spacing w:after="0"/>
              <w:rPr>
                <w:rFonts w:ascii="Arial" w:hAnsi="Arial" w:cs="Arial"/>
                <w:sz w:val="18"/>
              </w:rPr>
            </w:pPr>
            <w:r w:rsidRPr="00444084">
              <w:rPr>
                <w:rFonts w:ascii="Arial" w:hAnsi="Arial" w:cs="Arial"/>
                <w:sz w:val="18"/>
              </w:rPr>
              <w:t>-66%</w:t>
            </w:r>
          </w:p>
        </w:tc>
        <w:tc>
          <w:tcPr>
            <w:tcW w:w="1435" w:type="dxa"/>
          </w:tcPr>
          <w:p w14:paraId="77C2B999" w14:textId="77777777" w:rsidR="0071346A" w:rsidRPr="00444084" w:rsidRDefault="0071346A" w:rsidP="00AC4829">
            <w:pPr>
              <w:spacing w:after="0"/>
              <w:rPr>
                <w:rFonts w:ascii="Arial" w:hAnsi="Arial" w:cs="Arial"/>
                <w:sz w:val="18"/>
              </w:rPr>
            </w:pPr>
            <w:r w:rsidRPr="00444084">
              <w:rPr>
                <w:rFonts w:ascii="Arial" w:hAnsi="Arial" w:cs="Arial"/>
                <w:sz w:val="18"/>
              </w:rPr>
              <w:t>+47%</w:t>
            </w:r>
          </w:p>
        </w:tc>
      </w:tr>
      <w:tr w:rsidR="0071346A" w:rsidRPr="00444084" w14:paraId="05917A48" w14:textId="77777777" w:rsidTr="00AC4829">
        <w:trPr>
          <w:trHeight w:val="209"/>
        </w:trPr>
        <w:tc>
          <w:tcPr>
            <w:tcW w:w="4759" w:type="dxa"/>
            <w:gridSpan w:val="2"/>
            <w:shd w:val="clear" w:color="auto" w:fill="D9D9D9" w:themeFill="background1" w:themeFillShade="D9"/>
          </w:tcPr>
          <w:p w14:paraId="1AC4EE76" w14:textId="77777777" w:rsidR="0071346A" w:rsidRPr="00444084" w:rsidRDefault="0071346A" w:rsidP="00AC4829">
            <w:pPr>
              <w:spacing w:after="0"/>
              <w:rPr>
                <w:rFonts w:ascii="Arial" w:hAnsi="Arial" w:cs="Arial"/>
                <w:sz w:val="18"/>
              </w:rPr>
            </w:pPr>
            <w:r w:rsidRPr="00444084">
              <w:rPr>
                <w:rFonts w:ascii="Arial" w:hAnsi="Arial" w:cs="Arial"/>
                <w:b/>
                <w:sz w:val="18"/>
              </w:rPr>
              <w:t>AIDS-related deaths</w:t>
            </w:r>
          </w:p>
        </w:tc>
        <w:tc>
          <w:tcPr>
            <w:tcW w:w="1446" w:type="dxa"/>
            <w:shd w:val="clear" w:color="auto" w:fill="D9D9D9" w:themeFill="background1" w:themeFillShade="D9"/>
          </w:tcPr>
          <w:p w14:paraId="0FFCF7BE" w14:textId="77777777" w:rsidR="0071346A" w:rsidRPr="00444084" w:rsidRDefault="0071346A" w:rsidP="00AC4829">
            <w:pPr>
              <w:spacing w:after="0"/>
              <w:rPr>
                <w:rFonts w:ascii="Arial" w:hAnsi="Arial" w:cs="Arial"/>
                <w:b/>
                <w:sz w:val="18"/>
              </w:rPr>
            </w:pPr>
          </w:p>
        </w:tc>
        <w:tc>
          <w:tcPr>
            <w:tcW w:w="1710" w:type="dxa"/>
            <w:shd w:val="clear" w:color="auto" w:fill="D9D9D9" w:themeFill="background1" w:themeFillShade="D9"/>
          </w:tcPr>
          <w:p w14:paraId="76B8E373" w14:textId="77777777" w:rsidR="0071346A" w:rsidRPr="00444084" w:rsidRDefault="0071346A" w:rsidP="00AC4829">
            <w:pPr>
              <w:spacing w:after="0"/>
              <w:rPr>
                <w:rFonts w:ascii="Arial" w:hAnsi="Arial" w:cs="Arial"/>
                <w:b/>
                <w:sz w:val="18"/>
              </w:rPr>
            </w:pPr>
          </w:p>
        </w:tc>
        <w:tc>
          <w:tcPr>
            <w:tcW w:w="1435" w:type="dxa"/>
            <w:shd w:val="clear" w:color="auto" w:fill="D9D9D9" w:themeFill="background1" w:themeFillShade="D9"/>
          </w:tcPr>
          <w:p w14:paraId="2DFAB228" w14:textId="77777777" w:rsidR="0071346A" w:rsidRPr="00444084" w:rsidRDefault="0071346A" w:rsidP="00AC4829">
            <w:pPr>
              <w:spacing w:after="0"/>
              <w:rPr>
                <w:rFonts w:ascii="Arial" w:hAnsi="Arial" w:cs="Arial"/>
                <w:b/>
                <w:sz w:val="18"/>
              </w:rPr>
            </w:pPr>
          </w:p>
        </w:tc>
      </w:tr>
      <w:tr w:rsidR="0071346A" w:rsidRPr="00444084" w14:paraId="738FE2D7" w14:textId="77777777" w:rsidTr="00E7689C">
        <w:trPr>
          <w:trHeight w:val="209"/>
        </w:trPr>
        <w:tc>
          <w:tcPr>
            <w:tcW w:w="3235" w:type="dxa"/>
          </w:tcPr>
          <w:p w14:paraId="390CD627" w14:textId="05B1DC2B" w:rsidR="0071346A" w:rsidRPr="00444084" w:rsidRDefault="0071346A" w:rsidP="00AC4829">
            <w:pPr>
              <w:spacing w:after="0"/>
              <w:rPr>
                <w:rFonts w:ascii="Arial" w:hAnsi="Arial" w:cs="Arial"/>
                <w:sz w:val="18"/>
              </w:rPr>
            </w:pPr>
            <w:r w:rsidRPr="00444084">
              <w:rPr>
                <w:rFonts w:ascii="Arial" w:hAnsi="Arial" w:cs="Arial"/>
                <w:sz w:val="18"/>
              </w:rPr>
              <w:t xml:space="preserve">Cumulative </w:t>
            </w:r>
            <w:r w:rsidR="00931A9D">
              <w:rPr>
                <w:rFonts w:ascii="Arial" w:hAnsi="Arial" w:cs="Arial"/>
                <w:sz w:val="18"/>
              </w:rPr>
              <w:t>de</w:t>
            </w:r>
            <w:r w:rsidR="002E4A0E">
              <w:rPr>
                <w:rFonts w:ascii="Arial" w:hAnsi="Arial" w:cs="Arial"/>
                <w:sz w:val="18"/>
              </w:rPr>
              <w:t>a</w:t>
            </w:r>
            <w:r w:rsidR="00931A9D">
              <w:rPr>
                <w:rFonts w:ascii="Arial" w:hAnsi="Arial" w:cs="Arial"/>
                <w:sz w:val="18"/>
              </w:rPr>
              <w:t>t</w:t>
            </w:r>
            <w:r w:rsidR="002E4A0E">
              <w:rPr>
                <w:rFonts w:ascii="Arial" w:hAnsi="Arial" w:cs="Arial"/>
                <w:sz w:val="18"/>
              </w:rPr>
              <w:t>h</w:t>
            </w:r>
            <w:r w:rsidR="00931A9D">
              <w:rPr>
                <w:rFonts w:ascii="Arial" w:hAnsi="Arial" w:cs="Arial"/>
                <w:sz w:val="18"/>
              </w:rPr>
              <w:t xml:space="preserve">s </w:t>
            </w:r>
            <w:r w:rsidRPr="00444084">
              <w:rPr>
                <w:rFonts w:ascii="Arial" w:hAnsi="Arial" w:cs="Arial"/>
                <w:sz w:val="18"/>
              </w:rPr>
              <w:t>2019-2030</w:t>
            </w:r>
          </w:p>
        </w:tc>
        <w:tc>
          <w:tcPr>
            <w:tcW w:w="1524" w:type="dxa"/>
          </w:tcPr>
          <w:p w14:paraId="3C806046" w14:textId="1FD79C91" w:rsidR="0071346A" w:rsidRPr="00444084" w:rsidRDefault="0071346A" w:rsidP="00AC4829">
            <w:pPr>
              <w:spacing w:after="0"/>
              <w:rPr>
                <w:rFonts w:ascii="Arial" w:hAnsi="Arial" w:cs="Arial"/>
                <w:sz w:val="18"/>
              </w:rPr>
            </w:pPr>
            <w:r w:rsidRPr="00444084">
              <w:rPr>
                <w:rFonts w:ascii="Arial" w:hAnsi="Arial" w:cs="Arial"/>
                <w:sz w:val="18"/>
              </w:rPr>
              <w:t>40</w:t>
            </w:r>
            <w:r w:rsidR="00032469" w:rsidRPr="00444084">
              <w:rPr>
                <w:rFonts w:ascii="Arial" w:hAnsi="Arial" w:cs="Arial"/>
                <w:sz w:val="18"/>
              </w:rPr>
              <w:t>8,000</w:t>
            </w:r>
          </w:p>
        </w:tc>
        <w:tc>
          <w:tcPr>
            <w:tcW w:w="1446" w:type="dxa"/>
          </w:tcPr>
          <w:p w14:paraId="23FA298F" w14:textId="2D9E1941" w:rsidR="0071346A" w:rsidRPr="00444084" w:rsidRDefault="0071346A" w:rsidP="00AC4829">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c>
          <w:tcPr>
            <w:tcW w:w="1710" w:type="dxa"/>
          </w:tcPr>
          <w:p w14:paraId="4F191B67" w14:textId="253B9D65" w:rsidR="0071346A" w:rsidRPr="00444084" w:rsidRDefault="0071346A" w:rsidP="00AC4829">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c>
          <w:tcPr>
            <w:tcW w:w="1435" w:type="dxa"/>
          </w:tcPr>
          <w:p w14:paraId="113D3110" w14:textId="7B11E9CE" w:rsidR="0071346A" w:rsidRPr="00444084" w:rsidRDefault="0071346A" w:rsidP="00AC4829">
            <w:pPr>
              <w:spacing w:after="0"/>
              <w:rPr>
                <w:rFonts w:ascii="Arial" w:hAnsi="Arial" w:cs="Arial"/>
                <w:sz w:val="18"/>
              </w:rPr>
            </w:pPr>
            <w:r w:rsidRPr="00444084">
              <w:rPr>
                <w:rFonts w:ascii="Arial" w:hAnsi="Arial" w:cs="Arial"/>
                <w:sz w:val="18"/>
              </w:rPr>
              <w:t>34</w:t>
            </w:r>
            <w:r w:rsidR="00032469" w:rsidRPr="00444084">
              <w:rPr>
                <w:rFonts w:ascii="Arial" w:hAnsi="Arial" w:cs="Arial"/>
                <w:sz w:val="18"/>
              </w:rPr>
              <w:t>4,000</w:t>
            </w:r>
          </w:p>
        </w:tc>
      </w:tr>
      <w:tr w:rsidR="0071346A" w:rsidRPr="00444084" w14:paraId="62006E91" w14:textId="77777777" w:rsidTr="00E7689C">
        <w:trPr>
          <w:trHeight w:val="209"/>
        </w:trPr>
        <w:tc>
          <w:tcPr>
            <w:tcW w:w="3235" w:type="dxa"/>
          </w:tcPr>
          <w:p w14:paraId="71FE3C80" w14:textId="192319A3" w:rsidR="0071346A" w:rsidRPr="00444084" w:rsidRDefault="00CE6F5D" w:rsidP="00AC4829">
            <w:pPr>
              <w:spacing w:after="0"/>
              <w:rPr>
                <w:rFonts w:ascii="Arial" w:hAnsi="Arial" w:cs="Arial"/>
                <w:sz w:val="18"/>
              </w:rPr>
            </w:pPr>
            <w:r>
              <w:rPr>
                <w:rFonts w:ascii="Arial" w:hAnsi="Arial" w:cs="Arial"/>
                <w:sz w:val="18"/>
              </w:rPr>
              <w:t xml:space="preserve">Number of deaths </w:t>
            </w:r>
            <w:r w:rsidR="0071346A" w:rsidRPr="00444084">
              <w:rPr>
                <w:rFonts w:ascii="Arial" w:hAnsi="Arial" w:cs="Arial"/>
                <w:sz w:val="18"/>
              </w:rPr>
              <w:t>in 2030</w:t>
            </w:r>
          </w:p>
        </w:tc>
        <w:tc>
          <w:tcPr>
            <w:tcW w:w="1524" w:type="dxa"/>
          </w:tcPr>
          <w:p w14:paraId="4163F801" w14:textId="794373ED" w:rsidR="0071346A" w:rsidRPr="00444084" w:rsidRDefault="0071346A" w:rsidP="00AC4829">
            <w:pPr>
              <w:spacing w:after="0"/>
              <w:rPr>
                <w:rFonts w:ascii="Arial" w:hAnsi="Arial" w:cs="Arial"/>
                <w:sz w:val="18"/>
              </w:rPr>
            </w:pPr>
            <w:r w:rsidRPr="00444084">
              <w:rPr>
                <w:rFonts w:ascii="Arial" w:hAnsi="Arial" w:cs="Arial"/>
                <w:sz w:val="18"/>
              </w:rPr>
              <w:t>3</w:t>
            </w:r>
            <w:r w:rsidR="00032469" w:rsidRPr="00444084">
              <w:rPr>
                <w:rFonts w:ascii="Arial" w:hAnsi="Arial" w:cs="Arial"/>
                <w:sz w:val="18"/>
              </w:rPr>
              <w:t>9,000</w:t>
            </w:r>
          </w:p>
        </w:tc>
        <w:tc>
          <w:tcPr>
            <w:tcW w:w="1446" w:type="dxa"/>
          </w:tcPr>
          <w:p w14:paraId="332E21CB" w14:textId="2BC3411C" w:rsidR="0071346A" w:rsidRPr="00444084" w:rsidRDefault="0071346A"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4,000</w:t>
            </w:r>
          </w:p>
        </w:tc>
        <w:tc>
          <w:tcPr>
            <w:tcW w:w="1710" w:type="dxa"/>
          </w:tcPr>
          <w:p w14:paraId="0BD34403" w14:textId="7CA5AC4E" w:rsidR="0071346A" w:rsidRPr="00444084" w:rsidRDefault="0071346A" w:rsidP="00AC4829">
            <w:pPr>
              <w:spacing w:after="0"/>
              <w:rPr>
                <w:rFonts w:ascii="Arial" w:hAnsi="Arial" w:cs="Arial"/>
                <w:sz w:val="18"/>
              </w:rPr>
            </w:pPr>
            <w:r w:rsidRPr="00444084">
              <w:rPr>
                <w:rFonts w:ascii="Arial" w:hAnsi="Arial" w:cs="Arial"/>
                <w:sz w:val="18"/>
              </w:rPr>
              <w:t>1</w:t>
            </w:r>
            <w:r w:rsidR="00032469" w:rsidRPr="00444084">
              <w:rPr>
                <w:rFonts w:ascii="Arial" w:hAnsi="Arial" w:cs="Arial"/>
                <w:sz w:val="18"/>
              </w:rPr>
              <w:t>4,000</w:t>
            </w:r>
          </w:p>
        </w:tc>
        <w:tc>
          <w:tcPr>
            <w:tcW w:w="1435" w:type="dxa"/>
          </w:tcPr>
          <w:p w14:paraId="42E4E3B5" w14:textId="7AD02411" w:rsidR="0071346A" w:rsidRPr="00444084" w:rsidRDefault="0071346A" w:rsidP="00AC4829">
            <w:pPr>
              <w:spacing w:after="0"/>
              <w:rPr>
                <w:rFonts w:ascii="Arial" w:hAnsi="Arial" w:cs="Arial"/>
                <w:sz w:val="18"/>
              </w:rPr>
            </w:pPr>
            <w:r w:rsidRPr="00444084">
              <w:rPr>
                <w:rFonts w:ascii="Arial" w:hAnsi="Arial" w:cs="Arial"/>
                <w:sz w:val="18"/>
              </w:rPr>
              <w:t>3</w:t>
            </w:r>
            <w:r w:rsidR="00032469" w:rsidRPr="00444084">
              <w:rPr>
                <w:rFonts w:ascii="Arial" w:hAnsi="Arial" w:cs="Arial"/>
                <w:sz w:val="18"/>
              </w:rPr>
              <w:t>9,000</w:t>
            </w:r>
          </w:p>
        </w:tc>
      </w:tr>
      <w:tr w:rsidR="0071346A" w:rsidRPr="00444084" w14:paraId="2B67ACD0" w14:textId="77777777" w:rsidTr="00E7689C">
        <w:trPr>
          <w:trHeight w:val="209"/>
        </w:trPr>
        <w:tc>
          <w:tcPr>
            <w:tcW w:w="3235" w:type="dxa"/>
          </w:tcPr>
          <w:p w14:paraId="459EAC62" w14:textId="13838F64" w:rsidR="0071346A" w:rsidRPr="00444084" w:rsidRDefault="00CE6F5D" w:rsidP="00AC4829">
            <w:pPr>
              <w:spacing w:after="0"/>
              <w:rPr>
                <w:rFonts w:ascii="Arial" w:hAnsi="Arial" w:cs="Arial"/>
                <w:sz w:val="18"/>
              </w:rPr>
            </w:pPr>
            <w:r>
              <w:rPr>
                <w:rFonts w:ascii="Arial" w:hAnsi="Arial" w:cs="Arial"/>
                <w:sz w:val="18"/>
              </w:rPr>
              <w:t>Percent</w:t>
            </w:r>
            <w:r w:rsidR="0071346A" w:rsidRPr="00444084">
              <w:rPr>
                <w:rFonts w:ascii="Arial" w:hAnsi="Arial" w:cs="Arial"/>
                <w:sz w:val="18"/>
              </w:rPr>
              <w:t xml:space="preserve"> change 2019-2030</w:t>
            </w:r>
          </w:p>
        </w:tc>
        <w:tc>
          <w:tcPr>
            <w:tcW w:w="1524" w:type="dxa"/>
          </w:tcPr>
          <w:p w14:paraId="7348012B" w14:textId="77777777" w:rsidR="0071346A" w:rsidRPr="00444084" w:rsidRDefault="0071346A" w:rsidP="00AC4829">
            <w:pPr>
              <w:spacing w:after="0"/>
              <w:rPr>
                <w:rFonts w:ascii="Arial" w:hAnsi="Arial" w:cs="Arial"/>
                <w:sz w:val="18"/>
              </w:rPr>
            </w:pPr>
            <w:r w:rsidRPr="00444084">
              <w:rPr>
                <w:rFonts w:ascii="Arial" w:hAnsi="Arial" w:cs="Arial"/>
                <w:sz w:val="18"/>
              </w:rPr>
              <w:t>+36%</w:t>
            </w:r>
          </w:p>
        </w:tc>
        <w:tc>
          <w:tcPr>
            <w:tcW w:w="1446" w:type="dxa"/>
          </w:tcPr>
          <w:p w14:paraId="2C61B919" w14:textId="77777777" w:rsidR="0071346A" w:rsidRPr="00444084" w:rsidRDefault="0071346A" w:rsidP="00AC4829">
            <w:pPr>
              <w:spacing w:after="0"/>
              <w:rPr>
                <w:rFonts w:ascii="Arial" w:hAnsi="Arial" w:cs="Arial"/>
                <w:sz w:val="18"/>
              </w:rPr>
            </w:pPr>
            <w:r w:rsidRPr="00444084">
              <w:rPr>
                <w:rFonts w:ascii="Arial" w:hAnsi="Arial" w:cs="Arial"/>
                <w:sz w:val="18"/>
              </w:rPr>
              <w:t>-56%</w:t>
            </w:r>
          </w:p>
        </w:tc>
        <w:tc>
          <w:tcPr>
            <w:tcW w:w="1710" w:type="dxa"/>
          </w:tcPr>
          <w:p w14:paraId="3C06ABE7" w14:textId="77777777" w:rsidR="0071346A" w:rsidRPr="00444084" w:rsidRDefault="0071346A" w:rsidP="00AC4829">
            <w:pPr>
              <w:spacing w:after="0"/>
              <w:rPr>
                <w:rFonts w:ascii="Arial" w:hAnsi="Arial" w:cs="Arial"/>
                <w:sz w:val="18"/>
              </w:rPr>
            </w:pPr>
            <w:r w:rsidRPr="00444084">
              <w:rPr>
                <w:rFonts w:ascii="Arial" w:hAnsi="Arial" w:cs="Arial"/>
                <w:sz w:val="18"/>
              </w:rPr>
              <w:t>-56%</w:t>
            </w:r>
          </w:p>
        </w:tc>
        <w:tc>
          <w:tcPr>
            <w:tcW w:w="1435" w:type="dxa"/>
          </w:tcPr>
          <w:p w14:paraId="66FDA31E" w14:textId="77777777" w:rsidR="0071346A" w:rsidRPr="00444084" w:rsidRDefault="0071346A" w:rsidP="00AC4829">
            <w:pPr>
              <w:spacing w:after="0"/>
              <w:rPr>
                <w:rFonts w:ascii="Arial" w:hAnsi="Arial" w:cs="Arial"/>
                <w:sz w:val="18"/>
              </w:rPr>
            </w:pPr>
            <w:r w:rsidRPr="00444084">
              <w:rPr>
                <w:rFonts w:ascii="Arial" w:hAnsi="Arial" w:cs="Arial"/>
                <w:sz w:val="18"/>
              </w:rPr>
              <w:t>+24%</w:t>
            </w:r>
          </w:p>
        </w:tc>
      </w:tr>
      <w:tr w:rsidR="0071346A" w:rsidRPr="00444084" w14:paraId="3452CAF7" w14:textId="77777777" w:rsidTr="00E7689C">
        <w:trPr>
          <w:trHeight w:val="209"/>
        </w:trPr>
        <w:tc>
          <w:tcPr>
            <w:tcW w:w="3235" w:type="dxa"/>
          </w:tcPr>
          <w:p w14:paraId="435D6527" w14:textId="77777777" w:rsidR="0071346A" w:rsidRPr="00444084" w:rsidRDefault="0071346A" w:rsidP="00AC4829">
            <w:pPr>
              <w:spacing w:after="0"/>
              <w:rPr>
                <w:rFonts w:ascii="Arial" w:hAnsi="Arial" w:cs="Arial"/>
                <w:sz w:val="18"/>
              </w:rPr>
            </w:pPr>
            <w:r w:rsidRPr="00444084">
              <w:rPr>
                <w:rFonts w:ascii="Arial" w:hAnsi="Arial" w:cs="Arial"/>
                <w:sz w:val="18"/>
              </w:rPr>
              <w:t xml:space="preserve">Fast Track target </w:t>
            </w:r>
          </w:p>
          <w:p w14:paraId="70FE6ED8" w14:textId="05E10E2B" w:rsidR="0071346A" w:rsidRPr="00444084" w:rsidRDefault="0071346A" w:rsidP="00AC4829">
            <w:pPr>
              <w:spacing w:after="0"/>
              <w:rPr>
                <w:rFonts w:ascii="Arial" w:hAnsi="Arial" w:cs="Arial"/>
                <w:sz w:val="18"/>
              </w:rPr>
            </w:pPr>
            <w:r w:rsidRPr="00444084">
              <w:rPr>
                <w:rFonts w:ascii="Arial" w:hAnsi="Arial" w:cs="Arial"/>
                <w:sz w:val="18"/>
              </w:rPr>
              <w:t>(</w:t>
            </w:r>
            <w:r w:rsidR="00CE6F5D">
              <w:rPr>
                <w:rFonts w:ascii="Arial" w:hAnsi="Arial" w:cs="Arial"/>
                <w:sz w:val="18"/>
              </w:rPr>
              <w:t>Percent</w:t>
            </w:r>
            <w:r w:rsidRPr="00444084">
              <w:rPr>
                <w:rFonts w:ascii="Arial" w:hAnsi="Arial" w:cs="Arial"/>
                <w:sz w:val="18"/>
              </w:rPr>
              <w:t xml:space="preserve"> </w:t>
            </w:r>
            <w:r w:rsidR="00CE6F5D">
              <w:rPr>
                <w:rFonts w:ascii="Arial" w:hAnsi="Arial" w:cs="Arial"/>
                <w:sz w:val="18"/>
              </w:rPr>
              <w:t>r</w:t>
            </w:r>
            <w:r w:rsidRPr="00444084">
              <w:rPr>
                <w:rFonts w:ascii="Arial" w:hAnsi="Arial" w:cs="Arial"/>
                <w:sz w:val="18"/>
              </w:rPr>
              <w:t>eduction 2010-2030)</w:t>
            </w:r>
          </w:p>
        </w:tc>
        <w:tc>
          <w:tcPr>
            <w:tcW w:w="1524" w:type="dxa"/>
          </w:tcPr>
          <w:p w14:paraId="6BEF40F6" w14:textId="77777777" w:rsidR="0071346A" w:rsidRPr="00444084" w:rsidRDefault="0071346A" w:rsidP="00AC4829">
            <w:pPr>
              <w:spacing w:after="0"/>
              <w:rPr>
                <w:rFonts w:ascii="Arial" w:hAnsi="Arial" w:cs="Arial"/>
                <w:sz w:val="18"/>
              </w:rPr>
            </w:pPr>
            <w:r w:rsidRPr="00444084">
              <w:rPr>
                <w:rFonts w:ascii="Arial" w:hAnsi="Arial" w:cs="Arial"/>
                <w:sz w:val="18"/>
              </w:rPr>
              <w:t>-53%</w:t>
            </w:r>
          </w:p>
        </w:tc>
        <w:tc>
          <w:tcPr>
            <w:tcW w:w="1446" w:type="dxa"/>
          </w:tcPr>
          <w:p w14:paraId="549C1E2B" w14:textId="77777777" w:rsidR="0071346A" w:rsidRPr="00444084" w:rsidRDefault="0071346A" w:rsidP="00AC4829">
            <w:pPr>
              <w:spacing w:after="0"/>
              <w:rPr>
                <w:rFonts w:ascii="Arial" w:hAnsi="Arial" w:cs="Arial"/>
                <w:sz w:val="18"/>
              </w:rPr>
            </w:pPr>
            <w:r w:rsidRPr="00444084">
              <w:rPr>
                <w:rFonts w:ascii="Arial" w:hAnsi="Arial" w:cs="Arial"/>
                <w:sz w:val="18"/>
              </w:rPr>
              <w:t>-83%</w:t>
            </w:r>
          </w:p>
        </w:tc>
        <w:tc>
          <w:tcPr>
            <w:tcW w:w="1710" w:type="dxa"/>
          </w:tcPr>
          <w:p w14:paraId="043E3AC1" w14:textId="77777777" w:rsidR="0071346A" w:rsidRPr="00444084" w:rsidRDefault="0071346A" w:rsidP="00AC4829">
            <w:pPr>
              <w:spacing w:after="0"/>
              <w:rPr>
                <w:rFonts w:ascii="Arial" w:hAnsi="Arial" w:cs="Arial"/>
                <w:sz w:val="18"/>
              </w:rPr>
            </w:pPr>
            <w:r w:rsidRPr="00444084">
              <w:rPr>
                <w:rFonts w:ascii="Arial" w:hAnsi="Arial" w:cs="Arial"/>
                <w:sz w:val="18"/>
              </w:rPr>
              <w:t>-83%</w:t>
            </w:r>
          </w:p>
        </w:tc>
        <w:tc>
          <w:tcPr>
            <w:tcW w:w="1435" w:type="dxa"/>
          </w:tcPr>
          <w:p w14:paraId="6260BD80" w14:textId="77777777" w:rsidR="0071346A" w:rsidRPr="00444084" w:rsidRDefault="0071346A" w:rsidP="00AC4829">
            <w:pPr>
              <w:spacing w:after="0"/>
              <w:rPr>
                <w:rFonts w:ascii="Arial" w:hAnsi="Arial" w:cs="Arial"/>
                <w:sz w:val="18"/>
              </w:rPr>
            </w:pPr>
            <w:r w:rsidRPr="00444084">
              <w:rPr>
                <w:rFonts w:ascii="Arial" w:hAnsi="Arial" w:cs="Arial"/>
                <w:sz w:val="18"/>
              </w:rPr>
              <w:t>-52%</w:t>
            </w:r>
          </w:p>
        </w:tc>
      </w:tr>
      <w:tr w:rsidR="0071346A" w:rsidRPr="00444084" w14:paraId="60E5688C" w14:textId="77777777" w:rsidTr="00AC4829">
        <w:trPr>
          <w:trHeight w:val="209"/>
        </w:trPr>
        <w:tc>
          <w:tcPr>
            <w:tcW w:w="4759" w:type="dxa"/>
            <w:gridSpan w:val="2"/>
            <w:shd w:val="clear" w:color="auto" w:fill="D9D9D9" w:themeFill="background1" w:themeFillShade="D9"/>
          </w:tcPr>
          <w:p w14:paraId="67413C0C" w14:textId="77777777" w:rsidR="0071346A" w:rsidRPr="00444084" w:rsidRDefault="0071346A" w:rsidP="00AC4829">
            <w:pPr>
              <w:spacing w:after="0"/>
              <w:rPr>
                <w:rFonts w:ascii="Arial" w:hAnsi="Arial" w:cs="Arial"/>
                <w:sz w:val="18"/>
              </w:rPr>
            </w:pPr>
            <w:r w:rsidRPr="00444084">
              <w:rPr>
                <w:rFonts w:ascii="Arial" w:hAnsi="Arial" w:cs="Arial"/>
                <w:b/>
                <w:sz w:val="18"/>
              </w:rPr>
              <w:t>Number on ART</w:t>
            </w:r>
          </w:p>
        </w:tc>
        <w:tc>
          <w:tcPr>
            <w:tcW w:w="1446" w:type="dxa"/>
            <w:shd w:val="clear" w:color="auto" w:fill="D9D9D9" w:themeFill="background1" w:themeFillShade="D9"/>
          </w:tcPr>
          <w:p w14:paraId="4CA97BCA" w14:textId="77777777" w:rsidR="0071346A" w:rsidRPr="00444084" w:rsidRDefault="0071346A" w:rsidP="00AC4829">
            <w:pPr>
              <w:spacing w:after="0"/>
              <w:rPr>
                <w:rFonts w:ascii="Arial" w:hAnsi="Arial" w:cs="Arial"/>
                <w:b/>
                <w:sz w:val="18"/>
              </w:rPr>
            </w:pPr>
          </w:p>
        </w:tc>
        <w:tc>
          <w:tcPr>
            <w:tcW w:w="1710" w:type="dxa"/>
            <w:shd w:val="clear" w:color="auto" w:fill="D9D9D9" w:themeFill="background1" w:themeFillShade="D9"/>
          </w:tcPr>
          <w:p w14:paraId="1CFECFA6" w14:textId="77777777" w:rsidR="0071346A" w:rsidRPr="00444084" w:rsidRDefault="0071346A" w:rsidP="00AC4829">
            <w:pPr>
              <w:spacing w:after="0"/>
              <w:rPr>
                <w:rFonts w:ascii="Arial" w:hAnsi="Arial" w:cs="Arial"/>
                <w:b/>
                <w:sz w:val="18"/>
              </w:rPr>
            </w:pPr>
          </w:p>
        </w:tc>
        <w:tc>
          <w:tcPr>
            <w:tcW w:w="1435" w:type="dxa"/>
            <w:shd w:val="clear" w:color="auto" w:fill="D9D9D9" w:themeFill="background1" w:themeFillShade="D9"/>
          </w:tcPr>
          <w:p w14:paraId="7670CFEB" w14:textId="77777777" w:rsidR="0071346A" w:rsidRPr="00444084" w:rsidRDefault="0071346A" w:rsidP="00AC4829">
            <w:pPr>
              <w:spacing w:after="0"/>
              <w:rPr>
                <w:rFonts w:ascii="Arial" w:hAnsi="Arial" w:cs="Arial"/>
                <w:b/>
                <w:sz w:val="18"/>
              </w:rPr>
            </w:pPr>
          </w:p>
        </w:tc>
      </w:tr>
      <w:tr w:rsidR="0071346A" w:rsidRPr="00444084" w14:paraId="2ACD159F" w14:textId="77777777" w:rsidTr="00E7689C">
        <w:trPr>
          <w:trHeight w:val="209"/>
        </w:trPr>
        <w:tc>
          <w:tcPr>
            <w:tcW w:w="3235" w:type="dxa"/>
          </w:tcPr>
          <w:p w14:paraId="5BE8BE91" w14:textId="343A0705" w:rsidR="0071346A" w:rsidRPr="00444084" w:rsidRDefault="00CE6F5D" w:rsidP="00AC4829">
            <w:pPr>
              <w:spacing w:after="0"/>
              <w:rPr>
                <w:rFonts w:ascii="Arial" w:hAnsi="Arial" w:cs="Arial"/>
                <w:sz w:val="18"/>
              </w:rPr>
            </w:pPr>
            <w:r>
              <w:rPr>
                <w:rFonts w:ascii="Arial" w:hAnsi="Arial" w:cs="Arial"/>
                <w:sz w:val="18"/>
              </w:rPr>
              <w:t xml:space="preserve">Number on ART </w:t>
            </w:r>
            <w:r w:rsidR="0071346A" w:rsidRPr="00444084">
              <w:rPr>
                <w:rFonts w:ascii="Arial" w:hAnsi="Arial" w:cs="Arial"/>
                <w:sz w:val="18"/>
              </w:rPr>
              <w:t>in 2030</w:t>
            </w:r>
          </w:p>
        </w:tc>
        <w:tc>
          <w:tcPr>
            <w:tcW w:w="1524" w:type="dxa"/>
          </w:tcPr>
          <w:p w14:paraId="0AE3963F" w14:textId="77777777" w:rsidR="0071346A" w:rsidRPr="00444084" w:rsidRDefault="0071346A" w:rsidP="00AC4829">
            <w:pPr>
              <w:spacing w:after="0"/>
              <w:rPr>
                <w:rFonts w:ascii="Arial" w:hAnsi="Arial" w:cs="Arial"/>
                <w:sz w:val="18"/>
              </w:rPr>
            </w:pPr>
            <w:r w:rsidRPr="00444084">
              <w:rPr>
                <w:rFonts w:ascii="Arial" w:hAnsi="Arial" w:cs="Arial"/>
                <w:sz w:val="18"/>
              </w:rPr>
              <w:t>1.10 Million</w:t>
            </w:r>
          </w:p>
          <w:p w14:paraId="5807B2FF" w14:textId="77777777" w:rsidR="0071346A" w:rsidRPr="00444084" w:rsidRDefault="0071346A" w:rsidP="00AC4829">
            <w:pPr>
              <w:spacing w:after="0"/>
              <w:rPr>
                <w:rFonts w:ascii="Arial" w:hAnsi="Arial" w:cs="Arial"/>
                <w:sz w:val="18"/>
              </w:rPr>
            </w:pPr>
            <w:r w:rsidRPr="00444084">
              <w:rPr>
                <w:rFonts w:ascii="Arial" w:hAnsi="Arial" w:cs="Arial"/>
                <w:sz w:val="18"/>
              </w:rPr>
              <w:t>(68% of PLHIV)</w:t>
            </w:r>
          </w:p>
        </w:tc>
        <w:tc>
          <w:tcPr>
            <w:tcW w:w="1446" w:type="dxa"/>
          </w:tcPr>
          <w:p w14:paraId="3A6ABEBF" w14:textId="77777777" w:rsidR="0071346A" w:rsidRPr="00444084" w:rsidRDefault="0071346A" w:rsidP="00AC4829">
            <w:pPr>
              <w:spacing w:after="0"/>
              <w:rPr>
                <w:rFonts w:ascii="Arial" w:hAnsi="Arial" w:cs="Arial"/>
                <w:sz w:val="18"/>
              </w:rPr>
            </w:pPr>
            <w:r w:rsidRPr="00444084">
              <w:rPr>
                <w:rFonts w:ascii="Arial" w:hAnsi="Arial" w:cs="Arial"/>
                <w:sz w:val="18"/>
              </w:rPr>
              <w:t xml:space="preserve">1.34 Million </w:t>
            </w:r>
          </w:p>
          <w:p w14:paraId="2C24849F" w14:textId="77777777" w:rsidR="0071346A" w:rsidRPr="00444084" w:rsidRDefault="0071346A" w:rsidP="00AC4829">
            <w:pPr>
              <w:spacing w:after="0"/>
              <w:rPr>
                <w:rFonts w:ascii="Arial" w:hAnsi="Arial" w:cs="Arial"/>
                <w:sz w:val="18"/>
              </w:rPr>
            </w:pPr>
            <w:r w:rsidRPr="00444084">
              <w:rPr>
                <w:rFonts w:ascii="Arial" w:hAnsi="Arial" w:cs="Arial"/>
                <w:sz w:val="18"/>
              </w:rPr>
              <w:t>(87% of PLHIV)</w:t>
            </w:r>
          </w:p>
        </w:tc>
        <w:tc>
          <w:tcPr>
            <w:tcW w:w="1710" w:type="dxa"/>
          </w:tcPr>
          <w:p w14:paraId="10009C6F" w14:textId="77777777" w:rsidR="0071346A" w:rsidRPr="00444084" w:rsidRDefault="0071346A" w:rsidP="00AC4829">
            <w:pPr>
              <w:spacing w:after="0"/>
              <w:rPr>
                <w:rFonts w:ascii="Arial" w:hAnsi="Arial" w:cs="Arial"/>
                <w:sz w:val="18"/>
              </w:rPr>
            </w:pPr>
            <w:r w:rsidRPr="00444084">
              <w:rPr>
                <w:rFonts w:ascii="Arial" w:hAnsi="Arial" w:cs="Arial"/>
                <w:sz w:val="18"/>
              </w:rPr>
              <w:t>1.35 Million (87% of PLHIVV)</w:t>
            </w:r>
          </w:p>
        </w:tc>
        <w:tc>
          <w:tcPr>
            <w:tcW w:w="1435" w:type="dxa"/>
          </w:tcPr>
          <w:p w14:paraId="027E0B8B" w14:textId="77777777" w:rsidR="0071346A" w:rsidRPr="00444084" w:rsidRDefault="0071346A" w:rsidP="00AC4829">
            <w:pPr>
              <w:spacing w:after="0"/>
              <w:rPr>
                <w:rFonts w:ascii="Arial" w:hAnsi="Arial" w:cs="Arial"/>
                <w:sz w:val="18"/>
              </w:rPr>
            </w:pPr>
            <w:r w:rsidRPr="00444084">
              <w:rPr>
                <w:rFonts w:ascii="Arial" w:hAnsi="Arial" w:cs="Arial"/>
                <w:sz w:val="18"/>
              </w:rPr>
              <w:t>1.07 Million</w:t>
            </w:r>
          </w:p>
          <w:p w14:paraId="388D9655" w14:textId="77777777" w:rsidR="0071346A" w:rsidRPr="00444084" w:rsidRDefault="0071346A" w:rsidP="00AC4829">
            <w:pPr>
              <w:spacing w:after="0"/>
              <w:rPr>
                <w:rFonts w:ascii="Arial" w:hAnsi="Arial" w:cs="Arial"/>
                <w:sz w:val="18"/>
              </w:rPr>
            </w:pPr>
            <w:r w:rsidRPr="00444084">
              <w:rPr>
                <w:rFonts w:ascii="Arial" w:hAnsi="Arial" w:cs="Arial"/>
                <w:sz w:val="18"/>
              </w:rPr>
              <w:t>(65% of PLHIV)</w:t>
            </w:r>
          </w:p>
        </w:tc>
      </w:tr>
      <w:tr w:rsidR="0071346A" w:rsidRPr="00444084" w14:paraId="152D1855" w14:textId="77777777" w:rsidTr="00AC4829">
        <w:trPr>
          <w:trHeight w:val="209"/>
        </w:trPr>
        <w:tc>
          <w:tcPr>
            <w:tcW w:w="9350" w:type="dxa"/>
            <w:gridSpan w:val="5"/>
            <w:shd w:val="clear" w:color="auto" w:fill="D9D9D9" w:themeFill="background1" w:themeFillShade="D9"/>
          </w:tcPr>
          <w:p w14:paraId="18C33DF8" w14:textId="77777777" w:rsidR="0071346A" w:rsidRPr="00444084" w:rsidRDefault="0071346A" w:rsidP="00AC4829">
            <w:pPr>
              <w:spacing w:after="0"/>
              <w:rPr>
                <w:rFonts w:ascii="Arial" w:hAnsi="Arial" w:cs="Arial"/>
                <w:sz w:val="18"/>
              </w:rPr>
            </w:pPr>
            <w:r w:rsidRPr="00444084">
              <w:rPr>
                <w:rFonts w:ascii="Arial" w:hAnsi="Arial" w:cs="Arial"/>
                <w:b/>
                <w:sz w:val="18"/>
              </w:rPr>
              <w:t>Resources (USD M)</w:t>
            </w:r>
          </w:p>
        </w:tc>
      </w:tr>
      <w:tr w:rsidR="0071346A" w:rsidRPr="00444084" w14:paraId="0D37D198" w14:textId="77777777" w:rsidTr="00E7689C">
        <w:trPr>
          <w:trHeight w:val="209"/>
        </w:trPr>
        <w:tc>
          <w:tcPr>
            <w:tcW w:w="3235" w:type="dxa"/>
          </w:tcPr>
          <w:p w14:paraId="7E0B220F" w14:textId="6B7C929D" w:rsidR="0071346A" w:rsidRPr="00444084" w:rsidRDefault="0071346A" w:rsidP="00AC4829">
            <w:pPr>
              <w:spacing w:after="0"/>
              <w:rPr>
                <w:rFonts w:ascii="Arial" w:hAnsi="Arial" w:cs="Arial"/>
                <w:sz w:val="18"/>
              </w:rPr>
            </w:pPr>
            <w:r w:rsidRPr="00444084">
              <w:rPr>
                <w:rFonts w:ascii="Arial" w:hAnsi="Arial" w:cs="Arial"/>
                <w:sz w:val="18"/>
              </w:rPr>
              <w:t>Cumulative</w:t>
            </w:r>
            <w:r w:rsidR="00CE6F5D">
              <w:rPr>
                <w:rFonts w:ascii="Arial" w:hAnsi="Arial" w:cs="Arial"/>
                <w:sz w:val="18"/>
              </w:rPr>
              <w:t xml:space="preserve"> resources</w:t>
            </w:r>
            <w:r w:rsidRPr="00444084">
              <w:rPr>
                <w:rFonts w:ascii="Arial" w:hAnsi="Arial" w:cs="Arial"/>
                <w:sz w:val="18"/>
              </w:rPr>
              <w:t xml:space="preserve"> 2019-2030</w:t>
            </w:r>
          </w:p>
        </w:tc>
        <w:tc>
          <w:tcPr>
            <w:tcW w:w="1524" w:type="dxa"/>
          </w:tcPr>
          <w:p w14:paraId="0C268799" w14:textId="77777777" w:rsidR="0071346A" w:rsidRPr="00444084" w:rsidRDefault="0071346A" w:rsidP="00AC4829">
            <w:pPr>
              <w:spacing w:after="0"/>
              <w:rPr>
                <w:rFonts w:ascii="Arial" w:hAnsi="Arial" w:cs="Arial"/>
                <w:sz w:val="18"/>
              </w:rPr>
            </w:pPr>
            <w:r w:rsidRPr="00444084">
              <w:rPr>
                <w:rFonts w:ascii="Arial" w:hAnsi="Arial" w:cs="Arial"/>
                <w:sz w:val="18"/>
              </w:rPr>
              <w:t>5,783</w:t>
            </w:r>
          </w:p>
        </w:tc>
        <w:tc>
          <w:tcPr>
            <w:tcW w:w="1446" w:type="dxa"/>
          </w:tcPr>
          <w:p w14:paraId="3D2CACA8" w14:textId="77777777" w:rsidR="0071346A" w:rsidRPr="00444084" w:rsidRDefault="0071346A" w:rsidP="00AC4829">
            <w:pPr>
              <w:spacing w:after="0"/>
              <w:rPr>
                <w:rFonts w:ascii="Arial" w:hAnsi="Arial" w:cs="Arial"/>
                <w:sz w:val="18"/>
              </w:rPr>
            </w:pPr>
            <w:r w:rsidRPr="00444084">
              <w:rPr>
                <w:rFonts w:ascii="Arial" w:hAnsi="Arial" w:cs="Arial"/>
                <w:sz w:val="18"/>
              </w:rPr>
              <w:t>8,097</w:t>
            </w:r>
          </w:p>
        </w:tc>
        <w:tc>
          <w:tcPr>
            <w:tcW w:w="1710" w:type="dxa"/>
          </w:tcPr>
          <w:p w14:paraId="75E88C15" w14:textId="4DBC8B1A" w:rsidR="0071346A" w:rsidRPr="00444084" w:rsidRDefault="0071346A" w:rsidP="00AC4829">
            <w:pPr>
              <w:spacing w:after="0"/>
              <w:rPr>
                <w:rFonts w:ascii="Arial" w:hAnsi="Arial" w:cs="Arial"/>
                <w:sz w:val="18"/>
              </w:rPr>
            </w:pPr>
            <w:r w:rsidRPr="00444084">
              <w:rPr>
                <w:rFonts w:ascii="Arial" w:hAnsi="Arial" w:cs="Arial"/>
                <w:sz w:val="18"/>
              </w:rPr>
              <w:t>5,</w:t>
            </w:r>
            <w:r w:rsidR="00E7689C">
              <w:rPr>
                <w:rFonts w:ascii="Arial" w:hAnsi="Arial" w:cs="Arial"/>
                <w:sz w:val="18"/>
              </w:rPr>
              <w:t>461</w:t>
            </w:r>
          </w:p>
        </w:tc>
        <w:tc>
          <w:tcPr>
            <w:tcW w:w="1435" w:type="dxa"/>
          </w:tcPr>
          <w:p w14:paraId="755306C6" w14:textId="145FDC59" w:rsidR="0071346A" w:rsidRPr="00444084" w:rsidRDefault="0071346A" w:rsidP="00AC4829">
            <w:pPr>
              <w:spacing w:after="0"/>
              <w:rPr>
                <w:rFonts w:ascii="Arial" w:hAnsi="Arial" w:cs="Arial"/>
                <w:sz w:val="18"/>
              </w:rPr>
            </w:pPr>
            <w:r w:rsidRPr="00444084">
              <w:rPr>
                <w:rFonts w:ascii="Arial" w:hAnsi="Arial" w:cs="Arial"/>
                <w:sz w:val="18"/>
              </w:rPr>
              <w:t>4,</w:t>
            </w:r>
            <w:r w:rsidR="00CE6F5D">
              <w:rPr>
                <w:rFonts w:ascii="Arial" w:hAnsi="Arial" w:cs="Arial"/>
                <w:sz w:val="18"/>
              </w:rPr>
              <w:t>544</w:t>
            </w:r>
          </w:p>
        </w:tc>
      </w:tr>
      <w:tr w:rsidR="0071346A" w:rsidRPr="00444084" w14:paraId="3C55A6F1" w14:textId="77777777" w:rsidTr="00E7689C">
        <w:trPr>
          <w:trHeight w:val="209"/>
        </w:trPr>
        <w:tc>
          <w:tcPr>
            <w:tcW w:w="3235" w:type="dxa"/>
          </w:tcPr>
          <w:p w14:paraId="31706AD8" w14:textId="31ADC62E" w:rsidR="0071346A" w:rsidRPr="00444084" w:rsidRDefault="00CE6F5D" w:rsidP="00AC4829">
            <w:pPr>
              <w:spacing w:after="0"/>
              <w:rPr>
                <w:rFonts w:ascii="Arial" w:hAnsi="Arial" w:cs="Arial"/>
                <w:sz w:val="18"/>
              </w:rPr>
            </w:pPr>
            <w:r>
              <w:rPr>
                <w:rFonts w:ascii="Arial" w:hAnsi="Arial" w:cs="Arial"/>
                <w:sz w:val="18"/>
              </w:rPr>
              <w:t>Resources required</w:t>
            </w:r>
            <w:r w:rsidR="0071346A" w:rsidRPr="00444084">
              <w:rPr>
                <w:rFonts w:ascii="Arial" w:hAnsi="Arial" w:cs="Arial"/>
                <w:sz w:val="18"/>
              </w:rPr>
              <w:t xml:space="preserve"> in 2030</w:t>
            </w:r>
          </w:p>
        </w:tc>
        <w:tc>
          <w:tcPr>
            <w:tcW w:w="1524" w:type="dxa"/>
          </w:tcPr>
          <w:p w14:paraId="40BFA3E8" w14:textId="77777777" w:rsidR="0071346A" w:rsidRPr="00444084" w:rsidRDefault="0071346A" w:rsidP="00AC4829">
            <w:pPr>
              <w:spacing w:after="0"/>
              <w:rPr>
                <w:rFonts w:ascii="Arial" w:hAnsi="Arial" w:cs="Arial"/>
                <w:sz w:val="18"/>
              </w:rPr>
            </w:pPr>
            <w:r w:rsidRPr="00444084">
              <w:rPr>
                <w:rFonts w:ascii="Arial" w:hAnsi="Arial" w:cs="Arial"/>
                <w:sz w:val="18"/>
              </w:rPr>
              <w:t>500</w:t>
            </w:r>
          </w:p>
        </w:tc>
        <w:tc>
          <w:tcPr>
            <w:tcW w:w="1446" w:type="dxa"/>
          </w:tcPr>
          <w:p w14:paraId="12FFC10B" w14:textId="77777777" w:rsidR="0071346A" w:rsidRPr="00444084" w:rsidRDefault="0071346A" w:rsidP="00AC4829">
            <w:pPr>
              <w:spacing w:after="0"/>
              <w:rPr>
                <w:rFonts w:ascii="Arial" w:hAnsi="Arial" w:cs="Arial"/>
                <w:sz w:val="18"/>
              </w:rPr>
            </w:pPr>
            <w:r w:rsidRPr="00444084">
              <w:rPr>
                <w:rFonts w:ascii="Arial" w:hAnsi="Arial" w:cs="Arial"/>
                <w:sz w:val="18"/>
              </w:rPr>
              <w:t>839</w:t>
            </w:r>
          </w:p>
        </w:tc>
        <w:tc>
          <w:tcPr>
            <w:tcW w:w="1710" w:type="dxa"/>
          </w:tcPr>
          <w:p w14:paraId="789D7A97" w14:textId="6639A70A" w:rsidR="0071346A" w:rsidRPr="00444084" w:rsidRDefault="0071346A" w:rsidP="00AC4829">
            <w:pPr>
              <w:spacing w:after="0"/>
              <w:rPr>
                <w:rFonts w:ascii="Arial" w:hAnsi="Arial" w:cs="Arial"/>
                <w:sz w:val="18"/>
              </w:rPr>
            </w:pPr>
            <w:r w:rsidRPr="00444084">
              <w:rPr>
                <w:rFonts w:ascii="Arial" w:hAnsi="Arial" w:cs="Arial"/>
                <w:sz w:val="18"/>
              </w:rPr>
              <w:t>46</w:t>
            </w:r>
            <w:r w:rsidR="00E7689C">
              <w:rPr>
                <w:rFonts w:ascii="Arial" w:hAnsi="Arial" w:cs="Arial"/>
                <w:sz w:val="18"/>
              </w:rPr>
              <w:t>3</w:t>
            </w:r>
          </w:p>
        </w:tc>
        <w:tc>
          <w:tcPr>
            <w:tcW w:w="1435" w:type="dxa"/>
          </w:tcPr>
          <w:p w14:paraId="4C74EA84" w14:textId="3A956D23" w:rsidR="0071346A" w:rsidRPr="00444084" w:rsidRDefault="0071346A" w:rsidP="00AC4829">
            <w:pPr>
              <w:spacing w:after="0"/>
              <w:rPr>
                <w:rFonts w:ascii="Arial" w:hAnsi="Arial" w:cs="Arial"/>
                <w:sz w:val="18"/>
              </w:rPr>
            </w:pPr>
            <w:r w:rsidRPr="00444084">
              <w:rPr>
                <w:rFonts w:ascii="Arial" w:hAnsi="Arial" w:cs="Arial"/>
                <w:sz w:val="18"/>
              </w:rPr>
              <w:t>32</w:t>
            </w:r>
            <w:r w:rsidR="00CE6F5D">
              <w:rPr>
                <w:rFonts w:ascii="Arial" w:hAnsi="Arial" w:cs="Arial"/>
                <w:sz w:val="18"/>
              </w:rPr>
              <w:t>4</w:t>
            </w:r>
          </w:p>
        </w:tc>
      </w:tr>
    </w:tbl>
    <w:p w14:paraId="2707E3D8" w14:textId="77777777" w:rsidR="00C1557E" w:rsidRPr="00C1557E" w:rsidRDefault="00C1557E" w:rsidP="00C1557E"/>
    <w:p w14:paraId="5979353C" w14:textId="77777777" w:rsidR="002F43BE" w:rsidRDefault="002F43BE">
      <w:pPr>
        <w:rPr>
          <w:rFonts w:ascii="Arial" w:eastAsiaTheme="majorEastAsia" w:hAnsi="Arial" w:cs="Arial"/>
          <w:b/>
          <w:color w:val="C00000"/>
          <w:sz w:val="32"/>
          <w:szCs w:val="32"/>
        </w:rPr>
      </w:pPr>
      <w:r>
        <w:rPr>
          <w:rFonts w:ascii="Arial" w:hAnsi="Arial" w:cs="Arial"/>
          <w:b/>
          <w:color w:val="C00000"/>
        </w:rPr>
        <w:br w:type="page"/>
      </w:r>
    </w:p>
    <w:p w14:paraId="1F1FD9E6" w14:textId="554F2CDE" w:rsidR="00394CCE" w:rsidRDefault="00394CCE" w:rsidP="00C759BF">
      <w:pPr>
        <w:pStyle w:val="Heading1"/>
        <w:spacing w:before="0"/>
        <w:rPr>
          <w:rFonts w:ascii="Arial" w:hAnsi="Arial" w:cs="Arial"/>
          <w:b/>
          <w:color w:val="C00000"/>
        </w:rPr>
      </w:pPr>
      <w:bookmarkStart w:id="109" w:name="_Toc57035203"/>
      <w:r w:rsidRPr="000221D2">
        <w:rPr>
          <w:rFonts w:ascii="Arial" w:hAnsi="Arial" w:cs="Arial"/>
          <w:b/>
          <w:color w:val="C00000"/>
        </w:rPr>
        <w:t>CHAPTER 7</w:t>
      </w:r>
      <w:r w:rsidR="006D1A00">
        <w:rPr>
          <w:rFonts w:ascii="Arial" w:hAnsi="Arial" w:cs="Arial"/>
          <w:b/>
          <w:color w:val="C00000"/>
        </w:rPr>
        <w:t xml:space="preserve">: </w:t>
      </w:r>
      <w:r w:rsidR="001005D4">
        <w:rPr>
          <w:rFonts w:ascii="Arial" w:hAnsi="Arial" w:cs="Arial"/>
          <w:b/>
          <w:color w:val="C00000"/>
        </w:rPr>
        <w:t>DOMESTIC RESOURCE MOBILIZATION</w:t>
      </w:r>
      <w:bookmarkEnd w:id="109"/>
    </w:p>
    <w:p w14:paraId="0F21D465" w14:textId="77777777" w:rsidR="00C1557E" w:rsidRPr="00C1557E" w:rsidRDefault="00C1557E" w:rsidP="00607E5F">
      <w:pPr>
        <w:spacing w:after="0"/>
      </w:pPr>
    </w:p>
    <w:p w14:paraId="1E753AA2" w14:textId="774550C7" w:rsidR="00800C93" w:rsidRDefault="00800C93" w:rsidP="00800C93">
      <w:pPr>
        <w:spacing w:after="0"/>
        <w:rPr>
          <w:rFonts w:ascii="Arial" w:hAnsi="Arial" w:cs="Arial"/>
        </w:rPr>
      </w:pPr>
      <w:r>
        <w:rPr>
          <w:rFonts w:ascii="Arial" w:hAnsi="Arial" w:cs="Arial"/>
        </w:rPr>
        <w:t xml:space="preserve">With the potential for declining donor resources </w:t>
      </w:r>
      <w:r w:rsidR="002C58F6">
        <w:rPr>
          <w:rFonts w:ascii="Arial" w:hAnsi="Arial" w:cs="Arial"/>
        </w:rPr>
        <w:t>to</w:t>
      </w:r>
      <w:r>
        <w:rPr>
          <w:rFonts w:ascii="Arial" w:hAnsi="Arial" w:cs="Arial"/>
        </w:rPr>
        <w:t xml:space="preserve"> jeopardize Tanzania’s HIV response, as described in the previous chapter, </w:t>
      </w:r>
      <w:r w:rsidRPr="0071750D">
        <w:rPr>
          <w:rFonts w:ascii="Arial" w:hAnsi="Arial" w:cs="Arial"/>
        </w:rPr>
        <w:t>the government’s ability to mobilize increased domestic funding for HIV</w:t>
      </w:r>
      <w:r>
        <w:rPr>
          <w:rFonts w:ascii="Arial" w:hAnsi="Arial" w:cs="Arial"/>
        </w:rPr>
        <w:t xml:space="preserve"> would become critical to safeguard past progress and enable the country to advance toward its longer-term goals.  This chapter explores a scenario – Optimization with Domestic Resource Mobilization (O-DRM), in which Tanzania expands domestic funding of the response, in line with its ability to pay.  It attempts to answer the questions “how much additional funding can the country mobilize from various sources?” and “with these extra resources, and with optimization of their use, to what extent could Tanzania overcome the negative effects of declining donor funding and move toward its Fast Track goals?”  </w:t>
      </w:r>
    </w:p>
    <w:p w14:paraId="4094E35C" w14:textId="77777777" w:rsidR="0071750D" w:rsidRPr="0071750D" w:rsidRDefault="0071750D" w:rsidP="00C759BF">
      <w:pPr>
        <w:spacing w:after="0"/>
        <w:rPr>
          <w:rFonts w:ascii="Arial" w:hAnsi="Arial" w:cs="Arial"/>
        </w:rPr>
      </w:pPr>
    </w:p>
    <w:p w14:paraId="20973346" w14:textId="056FA499" w:rsidR="005E5AC1" w:rsidRDefault="005E5AC1" w:rsidP="001863EC">
      <w:pPr>
        <w:pStyle w:val="Heading2"/>
        <w:spacing w:before="0"/>
        <w:rPr>
          <w:rFonts w:ascii="Arial" w:hAnsi="Arial" w:cs="Arial"/>
          <w:b/>
          <w:color w:val="000000" w:themeColor="text1"/>
        </w:rPr>
      </w:pPr>
      <w:bookmarkStart w:id="110" w:name="_Toc57035204"/>
      <w:r w:rsidRPr="0071750D">
        <w:rPr>
          <w:rFonts w:ascii="Arial" w:hAnsi="Arial" w:cs="Arial"/>
          <w:b/>
          <w:color w:val="000000" w:themeColor="text1"/>
        </w:rPr>
        <w:t xml:space="preserve">Historical </w:t>
      </w:r>
      <w:r w:rsidR="00800C93">
        <w:rPr>
          <w:rFonts w:ascii="Arial" w:hAnsi="Arial" w:cs="Arial"/>
          <w:b/>
          <w:color w:val="000000" w:themeColor="text1"/>
        </w:rPr>
        <w:t>c</w:t>
      </w:r>
      <w:r w:rsidRPr="0071750D">
        <w:rPr>
          <w:rFonts w:ascii="Arial" w:hAnsi="Arial" w:cs="Arial"/>
          <w:b/>
          <w:color w:val="000000" w:themeColor="text1"/>
        </w:rPr>
        <w:t xml:space="preserve">ontext of domestic financing </w:t>
      </w:r>
      <w:r w:rsidR="00B12421" w:rsidRPr="0071750D">
        <w:rPr>
          <w:rFonts w:ascii="Arial" w:hAnsi="Arial" w:cs="Arial"/>
          <w:b/>
          <w:color w:val="000000" w:themeColor="text1"/>
        </w:rPr>
        <w:t xml:space="preserve">(for HIV) </w:t>
      </w:r>
      <w:r w:rsidRPr="0071750D">
        <w:rPr>
          <w:rFonts w:ascii="Arial" w:hAnsi="Arial" w:cs="Arial"/>
          <w:b/>
          <w:color w:val="000000" w:themeColor="text1"/>
        </w:rPr>
        <w:t>in T</w:t>
      </w:r>
      <w:r w:rsidR="00B12421" w:rsidRPr="0071750D">
        <w:rPr>
          <w:rFonts w:ascii="Arial" w:hAnsi="Arial" w:cs="Arial"/>
          <w:b/>
          <w:color w:val="000000" w:themeColor="text1"/>
        </w:rPr>
        <w:t>anzania</w:t>
      </w:r>
      <w:bookmarkEnd w:id="110"/>
    </w:p>
    <w:p w14:paraId="62BE8D2D" w14:textId="77777777" w:rsidR="0071750D" w:rsidRPr="0071750D" w:rsidRDefault="0071750D" w:rsidP="001863EC">
      <w:pPr>
        <w:spacing w:after="0"/>
      </w:pPr>
    </w:p>
    <w:p w14:paraId="381BE4B2" w14:textId="4BC9C01C" w:rsidR="002C58F6" w:rsidRPr="0071750D" w:rsidRDefault="002C58F6" w:rsidP="002C58F6">
      <w:pPr>
        <w:spacing w:after="0" w:line="276" w:lineRule="auto"/>
        <w:rPr>
          <w:rFonts w:ascii="Arial" w:hAnsi="Arial" w:cs="Arial"/>
        </w:rPr>
      </w:pPr>
      <w:r w:rsidRPr="0071750D">
        <w:rPr>
          <w:rFonts w:ascii="Arial" w:hAnsi="Arial" w:cs="Arial"/>
        </w:rPr>
        <w:t>As described above in Chapter 6, financing of the health sector as a whole and the HIV response in particular</w:t>
      </w:r>
      <w:r>
        <w:rPr>
          <w:rFonts w:ascii="Arial" w:hAnsi="Arial" w:cs="Arial"/>
        </w:rPr>
        <w:t xml:space="preserve"> has been </w:t>
      </w:r>
      <w:r w:rsidRPr="0071750D">
        <w:rPr>
          <w:rFonts w:ascii="Arial" w:hAnsi="Arial" w:cs="Arial"/>
        </w:rPr>
        <w:t xml:space="preserve">heavily dependent on support from development partners. In 2017, the estimated domestic contribution was </w:t>
      </w:r>
      <w:r>
        <w:rPr>
          <w:rFonts w:ascii="Arial" w:hAnsi="Arial" w:cs="Arial"/>
        </w:rPr>
        <w:t xml:space="preserve">USD </w:t>
      </w:r>
      <w:r w:rsidRPr="0071750D">
        <w:rPr>
          <w:rFonts w:ascii="Arial" w:hAnsi="Arial" w:cs="Arial"/>
        </w:rPr>
        <w:t xml:space="preserve">52.3 </w:t>
      </w:r>
      <w:r>
        <w:rPr>
          <w:rFonts w:ascii="Arial" w:hAnsi="Arial" w:cs="Arial"/>
        </w:rPr>
        <w:t>Million, less than 10% of total expenditure (</w:t>
      </w:r>
      <w:r w:rsidR="00012C5C">
        <w:rPr>
          <w:rFonts w:ascii="Arial" w:hAnsi="Arial" w:cs="Arial"/>
        </w:rPr>
        <w:t>Global Fund 2018a</w:t>
      </w:r>
      <w:r>
        <w:rPr>
          <w:rFonts w:ascii="Arial" w:hAnsi="Arial" w:cs="Arial"/>
        </w:rPr>
        <w:t>).</w:t>
      </w:r>
      <w:r w:rsidRPr="00800C93">
        <w:rPr>
          <w:rFonts w:ascii="Arial" w:hAnsi="Arial" w:cs="Arial"/>
        </w:rPr>
        <w:t xml:space="preserve"> </w:t>
      </w:r>
      <w:r w:rsidRPr="0071750D">
        <w:rPr>
          <w:rFonts w:ascii="Arial" w:hAnsi="Arial" w:cs="Arial"/>
        </w:rPr>
        <w:t>The</w:t>
      </w:r>
      <w:r>
        <w:rPr>
          <w:rFonts w:ascii="Arial" w:hAnsi="Arial" w:cs="Arial"/>
        </w:rPr>
        <w:t xml:space="preserve"> annual</w:t>
      </w:r>
      <w:r w:rsidRPr="0071750D">
        <w:rPr>
          <w:rFonts w:ascii="Arial" w:hAnsi="Arial" w:cs="Arial"/>
        </w:rPr>
        <w:t xml:space="preserve"> domestic contribution increased from </w:t>
      </w:r>
      <w:r>
        <w:rPr>
          <w:rFonts w:ascii="Arial" w:hAnsi="Arial" w:cs="Arial"/>
        </w:rPr>
        <w:t xml:space="preserve">USD </w:t>
      </w:r>
      <w:r w:rsidRPr="0071750D">
        <w:rPr>
          <w:rFonts w:ascii="Arial" w:hAnsi="Arial" w:cs="Arial"/>
        </w:rPr>
        <w:t xml:space="preserve">36.8 </w:t>
      </w:r>
      <w:r>
        <w:rPr>
          <w:rFonts w:ascii="Arial" w:hAnsi="Arial" w:cs="Arial"/>
        </w:rPr>
        <w:t>M in fiscal year 2014-2015</w:t>
      </w:r>
      <w:r w:rsidRPr="0071750D">
        <w:rPr>
          <w:rFonts w:ascii="Arial" w:hAnsi="Arial" w:cs="Arial"/>
        </w:rPr>
        <w:t xml:space="preserve"> to </w:t>
      </w:r>
      <w:r>
        <w:rPr>
          <w:rFonts w:ascii="Arial" w:hAnsi="Arial" w:cs="Arial"/>
        </w:rPr>
        <w:t xml:space="preserve">USD </w:t>
      </w:r>
      <w:r w:rsidRPr="0071750D">
        <w:rPr>
          <w:rFonts w:ascii="Arial" w:hAnsi="Arial" w:cs="Arial"/>
        </w:rPr>
        <w:t>52.3</w:t>
      </w:r>
      <w:r>
        <w:rPr>
          <w:rFonts w:ascii="Arial" w:hAnsi="Arial" w:cs="Arial"/>
        </w:rPr>
        <w:t xml:space="preserve"> M</w:t>
      </w:r>
      <w:r w:rsidRPr="0071750D">
        <w:rPr>
          <w:rFonts w:ascii="Arial" w:hAnsi="Arial" w:cs="Arial"/>
        </w:rPr>
        <w:t xml:space="preserve"> </w:t>
      </w:r>
      <w:r>
        <w:rPr>
          <w:rFonts w:ascii="Arial" w:hAnsi="Arial" w:cs="Arial"/>
        </w:rPr>
        <w:t xml:space="preserve">in </w:t>
      </w:r>
      <w:r w:rsidRPr="0071750D">
        <w:rPr>
          <w:rFonts w:ascii="Arial" w:hAnsi="Arial" w:cs="Arial"/>
        </w:rPr>
        <w:t>2016</w:t>
      </w:r>
      <w:r>
        <w:rPr>
          <w:rFonts w:ascii="Arial" w:hAnsi="Arial" w:cs="Arial"/>
        </w:rPr>
        <w:t>-20</w:t>
      </w:r>
      <w:r w:rsidRPr="0071750D">
        <w:rPr>
          <w:rFonts w:ascii="Arial" w:hAnsi="Arial" w:cs="Arial"/>
        </w:rPr>
        <w:t>17</w:t>
      </w:r>
      <w:r>
        <w:rPr>
          <w:rFonts w:ascii="Arial" w:hAnsi="Arial" w:cs="Arial"/>
        </w:rPr>
        <w:t xml:space="preserve">, a </w:t>
      </w:r>
      <w:r w:rsidRPr="0071750D">
        <w:rPr>
          <w:rFonts w:ascii="Arial" w:hAnsi="Arial" w:cs="Arial"/>
        </w:rPr>
        <w:t>42%</w:t>
      </w:r>
      <w:r>
        <w:rPr>
          <w:rFonts w:ascii="Arial" w:hAnsi="Arial" w:cs="Arial"/>
        </w:rPr>
        <w:t xml:space="preserve"> rise </w:t>
      </w:r>
      <w:r w:rsidRPr="0071750D">
        <w:rPr>
          <w:rFonts w:ascii="Arial" w:hAnsi="Arial" w:cs="Arial"/>
        </w:rPr>
        <w:t xml:space="preserve">over the three-year period. </w:t>
      </w:r>
      <w:r>
        <w:rPr>
          <w:rFonts w:ascii="Arial" w:hAnsi="Arial" w:cs="Arial"/>
        </w:rPr>
        <w:t xml:space="preserve">Looking further back, domestic funding of USD </w:t>
      </w:r>
      <w:r w:rsidRPr="0071750D">
        <w:rPr>
          <w:rFonts w:ascii="Arial" w:hAnsi="Arial" w:cs="Arial"/>
        </w:rPr>
        <w:t xml:space="preserve">138.8 </w:t>
      </w:r>
      <w:r>
        <w:rPr>
          <w:rFonts w:ascii="Arial" w:hAnsi="Arial" w:cs="Arial"/>
        </w:rPr>
        <w:t xml:space="preserve">M from </w:t>
      </w:r>
      <w:r w:rsidRPr="0071750D">
        <w:rPr>
          <w:rFonts w:ascii="Arial" w:hAnsi="Arial" w:cs="Arial"/>
        </w:rPr>
        <w:t>2014</w:t>
      </w:r>
      <w:r>
        <w:rPr>
          <w:rFonts w:ascii="Arial" w:hAnsi="Arial" w:cs="Arial"/>
        </w:rPr>
        <w:t>-</w:t>
      </w:r>
      <w:r w:rsidRPr="0071750D">
        <w:rPr>
          <w:rFonts w:ascii="Arial" w:hAnsi="Arial" w:cs="Arial"/>
        </w:rPr>
        <w:t>2017</w:t>
      </w:r>
      <w:r>
        <w:rPr>
          <w:rFonts w:ascii="Arial" w:hAnsi="Arial" w:cs="Arial"/>
        </w:rPr>
        <w:t xml:space="preserve"> was 76% higher than the USD </w:t>
      </w:r>
      <w:r w:rsidRPr="0071750D">
        <w:rPr>
          <w:rFonts w:ascii="Arial" w:hAnsi="Arial" w:cs="Arial"/>
        </w:rPr>
        <w:t xml:space="preserve">78.7 </w:t>
      </w:r>
      <w:r>
        <w:rPr>
          <w:rFonts w:ascii="Arial" w:hAnsi="Arial" w:cs="Arial"/>
        </w:rPr>
        <w:t>M</w:t>
      </w:r>
      <w:r w:rsidRPr="0071750D">
        <w:rPr>
          <w:rFonts w:ascii="Arial" w:hAnsi="Arial" w:cs="Arial"/>
        </w:rPr>
        <w:t xml:space="preserve"> </w:t>
      </w:r>
      <w:r>
        <w:rPr>
          <w:rFonts w:ascii="Arial" w:hAnsi="Arial" w:cs="Arial"/>
        </w:rPr>
        <w:t>spent over the same corresponding three years from 2011-2014. These figures include government financing of human resources in health (salaries of government health workers), essentially fixed costs which would be paid regardless of how much time these workers spent caring for HIV and AIDS</w:t>
      </w:r>
      <w:r w:rsidRPr="0071750D">
        <w:rPr>
          <w:rFonts w:ascii="Arial" w:hAnsi="Arial" w:cs="Arial"/>
        </w:rPr>
        <w:t>.</w:t>
      </w:r>
      <w:r>
        <w:rPr>
          <w:rFonts w:ascii="Arial" w:hAnsi="Arial" w:cs="Arial"/>
        </w:rPr>
        <w:t xml:space="preserve">  The amounts spent on drugs, tests, and other commodities, and on procurement services, labs, information systems, and other inputs to the HIV program appear to be small.</w:t>
      </w:r>
      <w:r w:rsidRPr="0071750D">
        <w:rPr>
          <w:rFonts w:ascii="Arial" w:hAnsi="Arial" w:cs="Arial"/>
        </w:rPr>
        <w:t xml:space="preserve"> </w:t>
      </w:r>
      <w:r w:rsidR="0099346C">
        <w:rPr>
          <w:rFonts w:ascii="Arial" w:hAnsi="Arial" w:cs="Arial"/>
        </w:rPr>
        <w:t>Given that the most domestic resources go to human resources and not commodities, it is possible the noted increase in domestic contributions could be due in improvements in the</w:t>
      </w:r>
      <w:r w:rsidR="0099346C" w:rsidRPr="00444084">
        <w:rPr>
          <w:rFonts w:ascii="Arial" w:hAnsi="Arial" w:cs="Arial"/>
        </w:rPr>
        <w:t xml:space="preserve"> </w:t>
      </w:r>
      <w:r w:rsidR="0099346C">
        <w:rPr>
          <w:rFonts w:ascii="Arial" w:hAnsi="Arial" w:cs="Arial"/>
        </w:rPr>
        <w:t xml:space="preserve">government’s </w:t>
      </w:r>
      <w:r w:rsidR="0099346C" w:rsidRPr="00444084">
        <w:rPr>
          <w:rFonts w:ascii="Arial" w:hAnsi="Arial" w:cs="Arial"/>
        </w:rPr>
        <w:t xml:space="preserve">methodology for </w:t>
      </w:r>
      <w:r w:rsidR="0099346C">
        <w:rPr>
          <w:rFonts w:ascii="Arial" w:hAnsi="Arial" w:cs="Arial"/>
        </w:rPr>
        <w:t>how</w:t>
      </w:r>
      <w:r w:rsidR="0099346C" w:rsidRPr="00444084">
        <w:rPr>
          <w:rFonts w:ascii="Arial" w:hAnsi="Arial" w:cs="Arial"/>
        </w:rPr>
        <w:t xml:space="preserve"> </w:t>
      </w:r>
      <w:r w:rsidR="0099346C">
        <w:rPr>
          <w:rFonts w:ascii="Arial" w:hAnsi="Arial" w:cs="Arial"/>
        </w:rPr>
        <w:t xml:space="preserve">financial </w:t>
      </w:r>
      <w:r w:rsidR="0099346C" w:rsidRPr="00444084">
        <w:rPr>
          <w:rFonts w:ascii="Arial" w:hAnsi="Arial" w:cs="Arial"/>
        </w:rPr>
        <w:t xml:space="preserve">data </w:t>
      </w:r>
      <w:r w:rsidR="0099346C">
        <w:rPr>
          <w:rFonts w:ascii="Arial" w:hAnsi="Arial" w:cs="Arial"/>
        </w:rPr>
        <w:t>is collected and how staff time is allocated.</w:t>
      </w:r>
    </w:p>
    <w:p w14:paraId="36C05DE8" w14:textId="44DBCB7B" w:rsidR="00B12421" w:rsidRPr="0071750D" w:rsidRDefault="00B12421" w:rsidP="00C759BF">
      <w:pPr>
        <w:spacing w:after="0" w:line="240" w:lineRule="auto"/>
        <w:rPr>
          <w:rFonts w:ascii="Arial" w:hAnsi="Arial" w:cs="Arial"/>
        </w:rPr>
      </w:pPr>
    </w:p>
    <w:p w14:paraId="2CC6C01D" w14:textId="0C005BF8" w:rsidR="000221D2" w:rsidRDefault="002C58F6" w:rsidP="002C58F6">
      <w:pPr>
        <w:spacing w:after="0" w:line="276" w:lineRule="auto"/>
        <w:rPr>
          <w:rFonts w:ascii="Arial" w:hAnsi="Arial" w:cs="Arial"/>
        </w:rPr>
      </w:pPr>
      <w:r>
        <w:rPr>
          <w:rFonts w:ascii="Arial" w:hAnsi="Arial" w:cs="Arial"/>
        </w:rPr>
        <w:t xml:space="preserve">In addition to these concerns, </w:t>
      </w:r>
      <w:r w:rsidRPr="0071750D">
        <w:rPr>
          <w:rFonts w:ascii="Arial" w:hAnsi="Arial" w:cs="Arial"/>
        </w:rPr>
        <w:t xml:space="preserve">budget execution rate within the MOH and the HIV response </w:t>
      </w:r>
      <w:r>
        <w:rPr>
          <w:rFonts w:ascii="Arial" w:hAnsi="Arial" w:cs="Arial"/>
        </w:rPr>
        <w:t xml:space="preserve">generally is relatively low. </w:t>
      </w:r>
      <w:r w:rsidRPr="0071750D">
        <w:rPr>
          <w:rFonts w:ascii="Arial" w:hAnsi="Arial" w:cs="Arial"/>
        </w:rPr>
        <w:t xml:space="preserve">In 2015/16 budget execution was 61% for the total health budget </w:t>
      </w:r>
      <w:r>
        <w:rPr>
          <w:rFonts w:ascii="Arial" w:hAnsi="Arial" w:cs="Arial"/>
        </w:rPr>
        <w:t xml:space="preserve">and </w:t>
      </w:r>
      <w:r w:rsidRPr="0071750D">
        <w:rPr>
          <w:rFonts w:ascii="Arial" w:hAnsi="Arial" w:cs="Arial"/>
        </w:rPr>
        <w:t>picked up to 77% in 2016/17</w:t>
      </w:r>
      <w:r>
        <w:rPr>
          <w:rFonts w:ascii="Arial" w:hAnsi="Arial" w:cs="Arial"/>
        </w:rPr>
        <w:t xml:space="preserve"> (MoHCDGEC 2018</w:t>
      </w:r>
      <w:r w:rsidR="00607E5F">
        <w:rPr>
          <w:rFonts w:ascii="Arial" w:hAnsi="Arial" w:cs="Arial"/>
        </w:rPr>
        <w:t>a</w:t>
      </w:r>
      <w:r>
        <w:rPr>
          <w:rFonts w:ascii="Arial" w:hAnsi="Arial" w:cs="Arial"/>
        </w:rPr>
        <w:t>).</w:t>
      </w:r>
      <w:r w:rsidRPr="0071750D">
        <w:rPr>
          <w:rFonts w:ascii="Arial" w:hAnsi="Arial" w:cs="Arial"/>
        </w:rPr>
        <w:t xml:space="preserve"> Low budget performance was </w:t>
      </w:r>
      <w:r>
        <w:rPr>
          <w:rFonts w:ascii="Arial" w:hAnsi="Arial" w:cs="Arial"/>
        </w:rPr>
        <w:t>e</w:t>
      </w:r>
      <w:r w:rsidRPr="0071750D">
        <w:rPr>
          <w:rFonts w:ascii="Arial" w:hAnsi="Arial" w:cs="Arial"/>
        </w:rPr>
        <w:t xml:space="preserve">xplained by late disbursement of funds, non-release of public and non-basket funds and delays in signing agreements under the new health facility financing mechanism (direct health facility financing). For HIV funding specifically, examples </w:t>
      </w:r>
      <w:r>
        <w:rPr>
          <w:rFonts w:ascii="Arial" w:hAnsi="Arial" w:cs="Arial"/>
        </w:rPr>
        <w:t xml:space="preserve">of under-spending include the fact that </w:t>
      </w:r>
      <w:r w:rsidRPr="0071750D">
        <w:rPr>
          <w:rFonts w:ascii="Arial" w:hAnsi="Arial" w:cs="Arial"/>
        </w:rPr>
        <w:t>expenditure</w:t>
      </w:r>
      <w:r>
        <w:rPr>
          <w:rFonts w:ascii="Arial" w:hAnsi="Arial" w:cs="Arial"/>
        </w:rPr>
        <w:t xml:space="preserve">s by </w:t>
      </w:r>
      <w:r w:rsidRPr="0071750D">
        <w:rPr>
          <w:rFonts w:ascii="Arial" w:hAnsi="Arial" w:cs="Arial"/>
        </w:rPr>
        <w:t>the Medical Store</w:t>
      </w:r>
      <w:r>
        <w:rPr>
          <w:rFonts w:ascii="Arial" w:hAnsi="Arial" w:cs="Arial"/>
        </w:rPr>
        <w:t>s</w:t>
      </w:r>
      <w:r w:rsidRPr="0071750D">
        <w:rPr>
          <w:rFonts w:ascii="Arial" w:hAnsi="Arial" w:cs="Arial"/>
        </w:rPr>
        <w:t xml:space="preserve"> </w:t>
      </w:r>
      <w:r>
        <w:rPr>
          <w:rFonts w:ascii="Arial" w:hAnsi="Arial" w:cs="Arial"/>
        </w:rPr>
        <w:t>D</w:t>
      </w:r>
      <w:r w:rsidRPr="0071750D">
        <w:rPr>
          <w:rFonts w:ascii="Arial" w:hAnsi="Arial" w:cs="Arial"/>
        </w:rPr>
        <w:t>epartment was only 20% of the FY 2016/2017 planned allocation</w:t>
      </w:r>
      <w:r>
        <w:rPr>
          <w:rFonts w:ascii="Arial" w:hAnsi="Arial" w:cs="Arial"/>
        </w:rPr>
        <w:t xml:space="preserve"> (UNICEF and </w:t>
      </w:r>
      <w:r w:rsidR="001332DF">
        <w:rPr>
          <w:rFonts w:ascii="Arial" w:hAnsi="Arial" w:cs="Arial"/>
        </w:rPr>
        <w:t>MoHCDGEC</w:t>
      </w:r>
      <w:r>
        <w:rPr>
          <w:rFonts w:ascii="Arial" w:hAnsi="Arial" w:cs="Arial"/>
        </w:rPr>
        <w:t xml:space="preserve"> 2018).</w:t>
      </w:r>
      <w:r w:rsidRPr="0071750D">
        <w:rPr>
          <w:rFonts w:ascii="Arial" w:hAnsi="Arial" w:cs="Arial"/>
        </w:rPr>
        <w:t xml:space="preserve"> </w:t>
      </w:r>
      <w:r>
        <w:rPr>
          <w:rFonts w:ascii="Arial" w:hAnsi="Arial" w:cs="Arial"/>
        </w:rPr>
        <w:t>Late and un</w:t>
      </w:r>
      <w:r w:rsidRPr="0071750D">
        <w:rPr>
          <w:rFonts w:ascii="Arial" w:hAnsi="Arial" w:cs="Arial"/>
        </w:rPr>
        <w:t>p</w:t>
      </w:r>
      <w:r>
        <w:rPr>
          <w:rFonts w:ascii="Arial" w:hAnsi="Arial" w:cs="Arial"/>
        </w:rPr>
        <w:t>redictable release of government budget funds severely affect</w:t>
      </w:r>
      <w:r w:rsidRPr="0071750D">
        <w:rPr>
          <w:rFonts w:ascii="Arial" w:hAnsi="Arial" w:cs="Arial"/>
        </w:rPr>
        <w:t xml:space="preserve"> implementation in an environment of declining external funding and increased </w:t>
      </w:r>
      <w:r>
        <w:rPr>
          <w:rFonts w:ascii="Arial" w:hAnsi="Arial" w:cs="Arial"/>
        </w:rPr>
        <w:t xml:space="preserve">reliance on </w:t>
      </w:r>
      <w:r w:rsidRPr="0071750D">
        <w:rPr>
          <w:rFonts w:ascii="Arial" w:hAnsi="Arial" w:cs="Arial"/>
        </w:rPr>
        <w:t xml:space="preserve">domestic funding.  </w:t>
      </w:r>
    </w:p>
    <w:p w14:paraId="5DAA06A5" w14:textId="77777777" w:rsidR="002C58F6" w:rsidRPr="0071750D" w:rsidRDefault="002C58F6" w:rsidP="002C58F6">
      <w:pPr>
        <w:spacing w:after="0" w:line="276" w:lineRule="auto"/>
        <w:rPr>
          <w:rFonts w:ascii="Arial" w:hAnsi="Arial" w:cs="Arial"/>
        </w:rPr>
      </w:pPr>
    </w:p>
    <w:p w14:paraId="6F630E9E" w14:textId="1CC1B02F" w:rsidR="00B12421" w:rsidRPr="00054158" w:rsidRDefault="007C32CC" w:rsidP="00C759BF">
      <w:pPr>
        <w:pStyle w:val="Heading2"/>
        <w:spacing w:before="0"/>
        <w:rPr>
          <w:rFonts w:ascii="Arial" w:hAnsi="Arial" w:cs="Arial"/>
          <w:b/>
          <w:color w:val="000000" w:themeColor="text1"/>
        </w:rPr>
      </w:pPr>
      <w:bookmarkStart w:id="111" w:name="_Toc57035205"/>
      <w:r w:rsidRPr="00054158">
        <w:rPr>
          <w:rFonts w:ascii="Arial" w:hAnsi="Arial" w:cs="Arial"/>
          <w:b/>
          <w:color w:val="000000" w:themeColor="text1"/>
        </w:rPr>
        <w:t xml:space="preserve">Future domestic public funding of </w:t>
      </w:r>
      <w:r w:rsidR="00A87EBC" w:rsidRPr="00054158">
        <w:rPr>
          <w:rFonts w:ascii="Arial" w:hAnsi="Arial" w:cs="Arial"/>
          <w:b/>
          <w:color w:val="000000" w:themeColor="text1"/>
        </w:rPr>
        <w:t>the HIV response</w:t>
      </w:r>
      <w:r w:rsidRPr="00054158">
        <w:rPr>
          <w:rFonts w:ascii="Arial" w:hAnsi="Arial" w:cs="Arial"/>
          <w:b/>
          <w:color w:val="000000" w:themeColor="text1"/>
        </w:rPr>
        <w:t xml:space="preserve">: What is </w:t>
      </w:r>
      <w:r w:rsidR="001863EC">
        <w:rPr>
          <w:rFonts w:ascii="Arial" w:hAnsi="Arial" w:cs="Arial"/>
          <w:b/>
          <w:color w:val="000000" w:themeColor="text1"/>
        </w:rPr>
        <w:t>feasible</w:t>
      </w:r>
      <w:r w:rsidRPr="00054158">
        <w:rPr>
          <w:rFonts w:ascii="Arial" w:hAnsi="Arial" w:cs="Arial"/>
          <w:b/>
          <w:color w:val="000000" w:themeColor="text1"/>
        </w:rPr>
        <w:t>?</w:t>
      </w:r>
      <w:bookmarkEnd w:id="111"/>
    </w:p>
    <w:p w14:paraId="3A52F93D" w14:textId="77777777" w:rsidR="00054158" w:rsidRPr="00054158" w:rsidRDefault="00054158" w:rsidP="00054158"/>
    <w:p w14:paraId="59BD9448" w14:textId="6C320E88" w:rsidR="002C58F6" w:rsidRPr="0071750D" w:rsidRDefault="002C58F6" w:rsidP="002C58F6">
      <w:pPr>
        <w:spacing w:after="0" w:line="276" w:lineRule="auto"/>
        <w:rPr>
          <w:rFonts w:ascii="Arial" w:hAnsi="Arial" w:cs="Arial"/>
        </w:rPr>
      </w:pPr>
      <w:r w:rsidRPr="0071750D">
        <w:rPr>
          <w:rFonts w:ascii="Arial" w:hAnsi="Arial" w:cs="Arial"/>
        </w:rPr>
        <w:t>Given the history of</w:t>
      </w:r>
      <w:r>
        <w:rPr>
          <w:rFonts w:ascii="Arial" w:hAnsi="Arial" w:cs="Arial"/>
        </w:rPr>
        <w:t xml:space="preserve"> limited</w:t>
      </w:r>
      <w:r w:rsidRPr="0071750D">
        <w:rPr>
          <w:rFonts w:ascii="Arial" w:hAnsi="Arial" w:cs="Arial"/>
        </w:rPr>
        <w:t xml:space="preserve"> public funding for HIV </w:t>
      </w:r>
      <w:r>
        <w:rPr>
          <w:rFonts w:ascii="Arial" w:hAnsi="Arial" w:cs="Arial"/>
        </w:rPr>
        <w:t xml:space="preserve">in Tanzania </w:t>
      </w:r>
      <w:r w:rsidRPr="0071750D">
        <w:rPr>
          <w:rFonts w:ascii="Arial" w:hAnsi="Arial" w:cs="Arial"/>
        </w:rPr>
        <w:t xml:space="preserve">and the </w:t>
      </w:r>
      <w:r>
        <w:rPr>
          <w:rFonts w:ascii="Arial" w:hAnsi="Arial" w:cs="Arial"/>
        </w:rPr>
        <w:t>potential</w:t>
      </w:r>
      <w:r w:rsidRPr="0071750D">
        <w:rPr>
          <w:rFonts w:ascii="Arial" w:hAnsi="Arial" w:cs="Arial"/>
        </w:rPr>
        <w:t xml:space="preserve"> gap </w:t>
      </w:r>
      <w:r>
        <w:rPr>
          <w:rFonts w:ascii="Arial" w:hAnsi="Arial" w:cs="Arial"/>
        </w:rPr>
        <w:t>created by</w:t>
      </w:r>
      <w:r w:rsidRPr="0071750D">
        <w:rPr>
          <w:rFonts w:ascii="Arial" w:hAnsi="Arial" w:cs="Arial"/>
        </w:rPr>
        <w:t xml:space="preserve"> declining donor funds</w:t>
      </w:r>
      <w:r>
        <w:rPr>
          <w:rFonts w:ascii="Arial" w:hAnsi="Arial" w:cs="Arial"/>
        </w:rPr>
        <w:t xml:space="preserve"> the mobilization of domestic resources for the HIV response becomes critical. </w:t>
      </w:r>
      <w:r w:rsidRPr="0071750D">
        <w:rPr>
          <w:rFonts w:ascii="Arial" w:hAnsi="Arial" w:cs="Arial"/>
          <w:i/>
        </w:rPr>
        <w:t xml:space="preserve"> </w:t>
      </w:r>
      <w:r>
        <w:rPr>
          <w:rFonts w:ascii="Arial" w:hAnsi="Arial" w:cs="Arial"/>
        </w:rPr>
        <w:t xml:space="preserve">It is unlikely that domestic funding will replace external funding dollar for dollar immediately, but gradual increases may have to </w:t>
      </w:r>
      <w:r w:rsidR="00D16277">
        <w:rPr>
          <w:rFonts w:ascii="Arial" w:hAnsi="Arial" w:cs="Arial"/>
        </w:rPr>
        <w:t>occur</w:t>
      </w:r>
      <w:r>
        <w:rPr>
          <w:rFonts w:ascii="Arial" w:hAnsi="Arial" w:cs="Arial"/>
        </w:rPr>
        <w:t xml:space="preserve"> over time to safeguard the national response. </w:t>
      </w:r>
    </w:p>
    <w:p w14:paraId="58EE7CF9" w14:textId="77777777" w:rsidR="002C58F6" w:rsidRPr="0071750D" w:rsidRDefault="002C58F6" w:rsidP="002C58F6">
      <w:pPr>
        <w:spacing w:after="0" w:line="240" w:lineRule="auto"/>
        <w:rPr>
          <w:rFonts w:ascii="Arial" w:hAnsi="Arial" w:cs="Arial"/>
        </w:rPr>
      </w:pPr>
    </w:p>
    <w:p w14:paraId="503D4F19" w14:textId="5B54478A" w:rsidR="002C58F6" w:rsidRDefault="002C58F6" w:rsidP="002C58F6">
      <w:pPr>
        <w:spacing w:after="0" w:line="276" w:lineRule="auto"/>
        <w:rPr>
          <w:rFonts w:ascii="Arial" w:hAnsi="Arial" w:cs="Arial"/>
        </w:rPr>
      </w:pPr>
      <w:r w:rsidRPr="0071750D">
        <w:rPr>
          <w:rFonts w:ascii="Arial" w:hAnsi="Arial" w:cs="Arial"/>
        </w:rPr>
        <w:t xml:space="preserve">In order to estimate the amount of domestic funding which could </w:t>
      </w:r>
      <w:r>
        <w:rPr>
          <w:rFonts w:ascii="Arial" w:hAnsi="Arial" w:cs="Arial"/>
        </w:rPr>
        <w:t>realistically b</w:t>
      </w:r>
      <w:r w:rsidRPr="0071750D">
        <w:rPr>
          <w:rFonts w:ascii="Arial" w:hAnsi="Arial" w:cs="Arial"/>
        </w:rPr>
        <w:t>e committed to HIV</w:t>
      </w:r>
      <w:r>
        <w:rPr>
          <w:rFonts w:ascii="Arial" w:hAnsi="Arial" w:cs="Arial"/>
        </w:rPr>
        <w:t xml:space="preserve">, analysis of fiscal space was conducted based on </w:t>
      </w:r>
      <w:r w:rsidRPr="0071750D">
        <w:rPr>
          <w:rFonts w:ascii="Arial" w:hAnsi="Arial" w:cs="Arial"/>
        </w:rPr>
        <w:t xml:space="preserve">assumptions about </w:t>
      </w:r>
      <w:r>
        <w:rPr>
          <w:rFonts w:ascii="Arial" w:hAnsi="Arial" w:cs="Arial"/>
        </w:rPr>
        <w:t xml:space="preserve">future </w:t>
      </w:r>
      <w:r w:rsidRPr="0071750D">
        <w:rPr>
          <w:rFonts w:ascii="Arial" w:hAnsi="Arial" w:cs="Arial"/>
        </w:rPr>
        <w:t xml:space="preserve">gross domestic product, public health spending and the allocation </w:t>
      </w:r>
      <w:r>
        <w:rPr>
          <w:rFonts w:ascii="Arial" w:hAnsi="Arial" w:cs="Arial"/>
        </w:rPr>
        <w:t xml:space="preserve">of government health budgets </w:t>
      </w:r>
      <w:r w:rsidRPr="0071750D">
        <w:rPr>
          <w:rFonts w:ascii="Arial" w:hAnsi="Arial" w:cs="Arial"/>
        </w:rPr>
        <w:t>to HIV</w:t>
      </w:r>
      <w:r>
        <w:rPr>
          <w:rFonts w:ascii="Arial" w:hAnsi="Arial" w:cs="Arial"/>
        </w:rPr>
        <w:t>.  T</w:t>
      </w:r>
      <w:r w:rsidRPr="0071750D">
        <w:rPr>
          <w:rFonts w:ascii="Arial" w:hAnsi="Arial" w:cs="Arial"/>
        </w:rPr>
        <w:t xml:space="preserve">hese are summarized in </w:t>
      </w:r>
      <w:r w:rsidRPr="00585A95">
        <w:rPr>
          <w:rFonts w:ascii="Arial" w:hAnsi="Arial" w:cs="Arial"/>
          <w:i/>
        </w:rPr>
        <w:t>Figure 7-1</w:t>
      </w:r>
      <w:r>
        <w:rPr>
          <w:rFonts w:ascii="Arial" w:hAnsi="Arial" w:cs="Arial"/>
        </w:rPr>
        <w:t xml:space="preserve"> </w:t>
      </w:r>
      <w:r w:rsidRPr="0071750D">
        <w:rPr>
          <w:rFonts w:ascii="Arial" w:hAnsi="Arial" w:cs="Arial"/>
        </w:rPr>
        <w:t>below. In arriving at targets for an achievable allocation of domestic</w:t>
      </w:r>
      <w:r>
        <w:rPr>
          <w:rFonts w:ascii="Arial" w:hAnsi="Arial" w:cs="Arial"/>
        </w:rPr>
        <w:t xml:space="preserve"> </w:t>
      </w:r>
      <w:r w:rsidRPr="0071750D">
        <w:rPr>
          <w:rFonts w:ascii="Arial" w:hAnsi="Arial" w:cs="Arial"/>
        </w:rPr>
        <w:t xml:space="preserve">public expenditure </w:t>
      </w:r>
      <w:r>
        <w:rPr>
          <w:rFonts w:ascii="Arial" w:hAnsi="Arial" w:cs="Arial"/>
        </w:rPr>
        <w:t xml:space="preserve">to </w:t>
      </w:r>
      <w:r w:rsidRPr="0071750D">
        <w:rPr>
          <w:rFonts w:ascii="Arial" w:hAnsi="Arial" w:cs="Arial"/>
        </w:rPr>
        <w:t xml:space="preserve">health and HIV, we considered </w:t>
      </w:r>
      <w:r>
        <w:rPr>
          <w:rFonts w:ascii="Arial" w:hAnsi="Arial" w:cs="Arial"/>
        </w:rPr>
        <w:t xml:space="preserve">the performance of </w:t>
      </w:r>
      <w:r w:rsidRPr="0071750D">
        <w:rPr>
          <w:rFonts w:ascii="Arial" w:hAnsi="Arial" w:cs="Arial"/>
        </w:rPr>
        <w:t>neighboring countries and the recently published health expenditure ‘scorecard’ for African Union member countries</w:t>
      </w:r>
      <w:r w:rsidR="00607E5F">
        <w:rPr>
          <w:rFonts w:ascii="Arial" w:hAnsi="Arial" w:cs="Arial"/>
        </w:rPr>
        <w:t xml:space="preserve"> (African Union and Global Fund 2018)</w:t>
      </w:r>
      <w:r w:rsidRPr="0071750D">
        <w:rPr>
          <w:rFonts w:ascii="Arial" w:hAnsi="Arial" w:cs="Arial"/>
        </w:rPr>
        <w:t xml:space="preserve">. </w:t>
      </w:r>
    </w:p>
    <w:p w14:paraId="44FD38B6" w14:textId="77777777" w:rsidR="00800C93" w:rsidRDefault="00800C93" w:rsidP="00C759BF">
      <w:pPr>
        <w:spacing w:after="0" w:line="240" w:lineRule="auto"/>
        <w:rPr>
          <w:rFonts w:ascii="Arial" w:hAnsi="Arial" w:cs="Arial"/>
        </w:rPr>
      </w:pPr>
    </w:p>
    <w:p w14:paraId="2AFACF31" w14:textId="7F0C1011" w:rsidR="00487501" w:rsidRDefault="00D13A66" w:rsidP="00C759BF">
      <w:pPr>
        <w:spacing w:after="0" w:line="240" w:lineRule="auto"/>
        <w:rPr>
          <w:rFonts w:ascii="Arial" w:hAnsi="Arial" w:cs="Arial"/>
        </w:rPr>
      </w:pPr>
      <w:r w:rsidRPr="0071750D">
        <w:rPr>
          <w:rFonts w:ascii="Arial" w:hAnsi="Arial" w:cs="Arial"/>
        </w:rPr>
        <w:t>In summary, the relevant targets provide for:</w:t>
      </w:r>
    </w:p>
    <w:p w14:paraId="6F9C8309" w14:textId="450543A4" w:rsidR="00800C93" w:rsidRPr="0071750D" w:rsidRDefault="00800C93" w:rsidP="0058354C">
      <w:pPr>
        <w:pStyle w:val="ListParagraph"/>
        <w:numPr>
          <w:ilvl w:val="0"/>
          <w:numId w:val="3"/>
        </w:numPr>
        <w:spacing w:after="0" w:line="240" w:lineRule="auto"/>
        <w:rPr>
          <w:rFonts w:ascii="Arial" w:hAnsi="Arial" w:cs="Arial"/>
        </w:rPr>
      </w:pPr>
      <w:r w:rsidRPr="0071750D">
        <w:rPr>
          <w:rFonts w:ascii="Arial" w:hAnsi="Arial" w:cs="Arial"/>
        </w:rPr>
        <w:t xml:space="preserve">Domestic General Government Health Expenditure (GGHE-D) as % General Government Expenditure (GGE) </w:t>
      </w:r>
      <w:r>
        <w:rPr>
          <w:rFonts w:ascii="Arial" w:hAnsi="Arial" w:cs="Arial"/>
        </w:rPr>
        <w:t xml:space="preserve">which is assumed </w:t>
      </w:r>
      <w:r w:rsidR="0099346C">
        <w:rPr>
          <w:rFonts w:ascii="Arial" w:hAnsi="Arial" w:cs="Arial"/>
        </w:rPr>
        <w:t xml:space="preserve">to </w:t>
      </w:r>
      <w:r>
        <w:rPr>
          <w:rFonts w:ascii="Arial" w:hAnsi="Arial" w:cs="Arial"/>
        </w:rPr>
        <w:t xml:space="preserve">rise from 7% at present to reach </w:t>
      </w:r>
      <w:r w:rsidRPr="0071750D">
        <w:rPr>
          <w:rFonts w:ascii="Arial" w:hAnsi="Arial" w:cs="Arial"/>
        </w:rPr>
        <w:t>1</w:t>
      </w:r>
      <w:r>
        <w:rPr>
          <w:rFonts w:ascii="Arial" w:hAnsi="Arial" w:cs="Arial"/>
        </w:rPr>
        <w:t>1</w:t>
      </w:r>
      <w:r w:rsidRPr="0071750D">
        <w:rPr>
          <w:rFonts w:ascii="Arial" w:hAnsi="Arial" w:cs="Arial"/>
        </w:rPr>
        <w:t>%</w:t>
      </w:r>
      <w:r>
        <w:rPr>
          <w:rFonts w:ascii="Arial" w:hAnsi="Arial" w:cs="Arial"/>
        </w:rPr>
        <w:t xml:space="preserve"> by </w:t>
      </w:r>
      <w:r w:rsidR="001863EC">
        <w:rPr>
          <w:rFonts w:ascii="Arial" w:hAnsi="Arial" w:cs="Arial"/>
        </w:rPr>
        <w:t>2020</w:t>
      </w:r>
      <w:r>
        <w:rPr>
          <w:rFonts w:ascii="Arial" w:hAnsi="Arial" w:cs="Arial"/>
        </w:rPr>
        <w:t xml:space="preserve">, </w:t>
      </w:r>
      <w:r w:rsidRPr="0071750D">
        <w:rPr>
          <w:rFonts w:ascii="Arial" w:hAnsi="Arial" w:cs="Arial"/>
        </w:rPr>
        <w:t>based on the Abuja declaration targets</w:t>
      </w:r>
    </w:p>
    <w:p w14:paraId="625BD353" w14:textId="60031587" w:rsidR="00800C93" w:rsidRDefault="00800C93" w:rsidP="0058354C">
      <w:pPr>
        <w:pStyle w:val="ListParagraph"/>
        <w:numPr>
          <w:ilvl w:val="0"/>
          <w:numId w:val="3"/>
        </w:numPr>
        <w:spacing w:after="0" w:line="240" w:lineRule="auto"/>
        <w:rPr>
          <w:rFonts w:ascii="Arial" w:hAnsi="Arial" w:cs="Arial"/>
        </w:rPr>
      </w:pPr>
      <w:r w:rsidRPr="0071750D">
        <w:rPr>
          <w:rFonts w:ascii="Arial" w:hAnsi="Arial" w:cs="Arial"/>
        </w:rPr>
        <w:t xml:space="preserve">Domestic expenditure on HIV </w:t>
      </w:r>
      <w:r>
        <w:rPr>
          <w:rFonts w:ascii="Arial" w:hAnsi="Arial" w:cs="Arial"/>
        </w:rPr>
        <w:t xml:space="preserve">as a share of government health expenditure, </w:t>
      </w:r>
      <w:r w:rsidRPr="0071750D">
        <w:rPr>
          <w:rFonts w:ascii="Arial" w:hAnsi="Arial" w:cs="Arial"/>
        </w:rPr>
        <w:t>which</w:t>
      </w:r>
      <w:r>
        <w:rPr>
          <w:rFonts w:ascii="Arial" w:hAnsi="Arial" w:cs="Arial"/>
        </w:rPr>
        <w:t xml:space="preserve"> is assumed to</w:t>
      </w:r>
      <w:r w:rsidRPr="0071750D">
        <w:rPr>
          <w:rFonts w:ascii="Arial" w:hAnsi="Arial" w:cs="Arial"/>
        </w:rPr>
        <w:t xml:space="preserve"> increase from </w:t>
      </w:r>
      <w:r>
        <w:rPr>
          <w:rFonts w:ascii="Arial" w:hAnsi="Arial" w:cs="Arial"/>
        </w:rPr>
        <w:t xml:space="preserve">the </w:t>
      </w:r>
      <w:r w:rsidRPr="0071750D">
        <w:rPr>
          <w:rFonts w:ascii="Arial" w:hAnsi="Arial" w:cs="Arial"/>
        </w:rPr>
        <w:t>current level</w:t>
      </w:r>
      <w:r>
        <w:rPr>
          <w:rFonts w:ascii="Arial" w:hAnsi="Arial" w:cs="Arial"/>
        </w:rPr>
        <w:t xml:space="preserve"> </w:t>
      </w:r>
      <w:r w:rsidR="001863EC">
        <w:rPr>
          <w:rFonts w:ascii="Arial" w:hAnsi="Arial" w:cs="Arial"/>
        </w:rPr>
        <w:t>(5.7</w:t>
      </w:r>
      <w:r>
        <w:rPr>
          <w:rFonts w:ascii="Arial" w:hAnsi="Arial" w:cs="Arial"/>
        </w:rPr>
        <w:t>%</w:t>
      </w:r>
      <w:r w:rsidR="001863EC">
        <w:rPr>
          <w:rFonts w:ascii="Arial" w:hAnsi="Arial" w:cs="Arial"/>
        </w:rPr>
        <w:t xml:space="preserve"> in 2017</w:t>
      </w:r>
      <w:r>
        <w:rPr>
          <w:rFonts w:ascii="Arial" w:hAnsi="Arial" w:cs="Arial"/>
        </w:rPr>
        <w:t xml:space="preserve">) </w:t>
      </w:r>
      <w:r w:rsidRPr="0071750D">
        <w:rPr>
          <w:rFonts w:ascii="Arial" w:hAnsi="Arial" w:cs="Arial"/>
        </w:rPr>
        <w:t>to 7% of domestic government health expenditure by 2030</w:t>
      </w:r>
      <w:r>
        <w:rPr>
          <w:rFonts w:ascii="Arial" w:hAnsi="Arial" w:cs="Arial"/>
        </w:rPr>
        <w:t xml:space="preserve">.  By comparison, domestic spending on HIV as a share of health budgets exceeds 10% in both </w:t>
      </w:r>
      <w:r w:rsidRPr="0071750D">
        <w:rPr>
          <w:rFonts w:ascii="Arial" w:hAnsi="Arial" w:cs="Arial"/>
        </w:rPr>
        <w:t xml:space="preserve">Uganda and Kenya (IMF, WEO)  </w:t>
      </w:r>
    </w:p>
    <w:p w14:paraId="31BC937F" w14:textId="77777777" w:rsidR="006C23BF" w:rsidRDefault="006C23BF" w:rsidP="006C23BF">
      <w:pPr>
        <w:pStyle w:val="ListParagraph"/>
        <w:spacing w:after="0" w:line="240" w:lineRule="auto"/>
        <w:rPr>
          <w:rFonts w:ascii="Arial" w:hAnsi="Arial" w:cs="Arial"/>
        </w:rPr>
      </w:pPr>
    </w:p>
    <w:p w14:paraId="6260C628" w14:textId="7234D221" w:rsidR="00696943" w:rsidRPr="001863EC" w:rsidRDefault="00C86D0D" w:rsidP="006C23BF">
      <w:pPr>
        <w:spacing w:after="0" w:line="240" w:lineRule="auto"/>
        <w:rPr>
          <w:rFonts w:ascii="Arial" w:hAnsi="Arial" w:cs="Arial"/>
          <w:i/>
          <w:sz w:val="18"/>
        </w:rPr>
      </w:pPr>
      <w:r w:rsidRPr="001863EC">
        <w:rPr>
          <w:rFonts w:ascii="Arial" w:hAnsi="Arial" w:cs="Arial"/>
          <w:i/>
          <w:sz w:val="18"/>
        </w:rPr>
        <w:t>Figure</w:t>
      </w:r>
      <w:r w:rsidR="006C23BF" w:rsidRPr="001863EC">
        <w:rPr>
          <w:rFonts w:ascii="Arial" w:hAnsi="Arial" w:cs="Arial"/>
          <w:i/>
          <w:sz w:val="18"/>
        </w:rPr>
        <w:t xml:space="preserve"> 7-1. Summary of assumptions underpinning projections of feasible domestic resource mobilization</w:t>
      </w:r>
    </w:p>
    <w:p w14:paraId="2418C134" w14:textId="2457F08A" w:rsidR="000851C2" w:rsidRPr="00054158" w:rsidRDefault="000851C2" w:rsidP="00C759BF">
      <w:pPr>
        <w:pStyle w:val="Caption"/>
        <w:spacing w:after="0"/>
        <w:rPr>
          <w:rFonts w:ascii="Arial" w:hAnsi="Arial" w:cs="Arial"/>
          <w:color w:val="000000" w:themeColor="text1"/>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40"/>
        <w:gridCol w:w="2344"/>
        <w:gridCol w:w="2521"/>
      </w:tblGrid>
      <w:tr w:rsidR="000E543A" w:rsidRPr="005A3BB7" w14:paraId="1B3F12B6" w14:textId="77777777" w:rsidTr="005A3BB7">
        <w:trPr>
          <w:cantSplit/>
          <w:trHeight w:val="207"/>
        </w:trPr>
        <w:tc>
          <w:tcPr>
            <w:tcW w:w="2245" w:type="dxa"/>
            <w:vAlign w:val="center"/>
          </w:tcPr>
          <w:p w14:paraId="514F3D06" w14:textId="5CEFDEFE" w:rsidR="000E543A" w:rsidRPr="005A3BB7" w:rsidRDefault="000E543A" w:rsidP="005A3BB7">
            <w:pPr>
              <w:spacing w:after="0"/>
              <w:rPr>
                <w:rFonts w:ascii="Arial" w:hAnsi="Arial" w:cs="Arial"/>
                <w:b/>
                <w:sz w:val="18"/>
                <w:szCs w:val="18"/>
              </w:rPr>
            </w:pPr>
            <w:r w:rsidRPr="005A3BB7">
              <w:rPr>
                <w:rFonts w:ascii="Arial" w:hAnsi="Arial" w:cs="Arial"/>
                <w:b/>
                <w:sz w:val="18"/>
                <w:szCs w:val="18"/>
              </w:rPr>
              <w:t>Key indicator</w:t>
            </w:r>
          </w:p>
        </w:tc>
        <w:tc>
          <w:tcPr>
            <w:tcW w:w="2340" w:type="dxa"/>
            <w:vAlign w:val="center"/>
          </w:tcPr>
          <w:p w14:paraId="67E4E3D9" w14:textId="0C500C0A" w:rsidR="000E543A" w:rsidRPr="005A3BB7" w:rsidRDefault="000E543A" w:rsidP="005A3BB7">
            <w:pPr>
              <w:spacing w:after="0"/>
              <w:rPr>
                <w:rFonts w:ascii="Arial" w:hAnsi="Arial" w:cs="Arial"/>
                <w:b/>
                <w:sz w:val="18"/>
                <w:szCs w:val="18"/>
              </w:rPr>
            </w:pPr>
            <w:r w:rsidRPr="005A3BB7">
              <w:rPr>
                <w:rFonts w:ascii="Arial" w:hAnsi="Arial" w:cs="Arial"/>
                <w:b/>
                <w:sz w:val="18"/>
                <w:szCs w:val="18"/>
              </w:rPr>
              <w:t>Baseline</w:t>
            </w:r>
          </w:p>
        </w:tc>
        <w:tc>
          <w:tcPr>
            <w:tcW w:w="2344" w:type="dxa"/>
          </w:tcPr>
          <w:p w14:paraId="279AB5DC" w14:textId="795B30F8" w:rsidR="000E543A" w:rsidRPr="005A3BB7" w:rsidRDefault="000E543A" w:rsidP="005A3BB7">
            <w:pPr>
              <w:spacing w:after="0"/>
              <w:rPr>
                <w:rFonts w:ascii="Arial" w:hAnsi="Arial" w:cs="Arial"/>
                <w:b/>
                <w:sz w:val="18"/>
                <w:szCs w:val="18"/>
              </w:rPr>
            </w:pPr>
            <w:r w:rsidRPr="005A3BB7">
              <w:rPr>
                <w:rFonts w:ascii="Arial" w:hAnsi="Arial" w:cs="Arial"/>
                <w:b/>
                <w:sz w:val="18"/>
                <w:szCs w:val="18"/>
              </w:rPr>
              <w:t>Target</w:t>
            </w:r>
          </w:p>
        </w:tc>
        <w:tc>
          <w:tcPr>
            <w:tcW w:w="2521" w:type="dxa"/>
            <w:vAlign w:val="center"/>
          </w:tcPr>
          <w:p w14:paraId="5305DF69" w14:textId="78BDE22C" w:rsidR="000E543A" w:rsidRPr="005A3BB7" w:rsidRDefault="000E543A" w:rsidP="005A3BB7">
            <w:pPr>
              <w:spacing w:after="0"/>
              <w:rPr>
                <w:rFonts w:ascii="Arial" w:hAnsi="Arial" w:cs="Arial"/>
                <w:b/>
                <w:sz w:val="18"/>
                <w:szCs w:val="18"/>
              </w:rPr>
            </w:pPr>
            <w:r w:rsidRPr="005A3BB7">
              <w:rPr>
                <w:rFonts w:ascii="Arial" w:hAnsi="Arial" w:cs="Arial"/>
                <w:b/>
                <w:sz w:val="18"/>
                <w:szCs w:val="18"/>
              </w:rPr>
              <w:t>Future assumption</w:t>
            </w:r>
          </w:p>
        </w:tc>
      </w:tr>
      <w:tr w:rsidR="000E543A" w:rsidRPr="005A3BB7" w14:paraId="76509884" w14:textId="77777777" w:rsidTr="005A3BB7">
        <w:trPr>
          <w:cantSplit/>
          <w:trHeight w:val="561"/>
        </w:trPr>
        <w:tc>
          <w:tcPr>
            <w:tcW w:w="2245" w:type="dxa"/>
            <w:vAlign w:val="center"/>
          </w:tcPr>
          <w:p w14:paraId="5DBD8251" w14:textId="49DA3F7C" w:rsidR="000E543A" w:rsidRPr="005A3BB7" w:rsidRDefault="000E543A" w:rsidP="005A3BB7">
            <w:pPr>
              <w:spacing w:after="0"/>
              <w:rPr>
                <w:rFonts w:ascii="Arial" w:hAnsi="Arial" w:cs="Arial"/>
                <w:sz w:val="18"/>
                <w:szCs w:val="18"/>
              </w:rPr>
            </w:pPr>
            <w:r w:rsidRPr="005A3BB7">
              <w:rPr>
                <w:rFonts w:ascii="Arial" w:hAnsi="Arial" w:cs="Arial"/>
                <w:sz w:val="18"/>
                <w:szCs w:val="18"/>
              </w:rPr>
              <w:t>Gross domestic product</w:t>
            </w:r>
          </w:p>
        </w:tc>
        <w:tc>
          <w:tcPr>
            <w:tcW w:w="2340" w:type="dxa"/>
            <w:vAlign w:val="center"/>
          </w:tcPr>
          <w:p w14:paraId="472E827D" w14:textId="77777777" w:rsidR="005A3BB7" w:rsidRPr="005A3BB7" w:rsidRDefault="000E543A" w:rsidP="005A3BB7">
            <w:pPr>
              <w:spacing w:after="0"/>
              <w:rPr>
                <w:rFonts w:ascii="Arial" w:hAnsi="Arial" w:cs="Arial"/>
                <w:sz w:val="18"/>
                <w:szCs w:val="18"/>
              </w:rPr>
            </w:pPr>
            <w:r w:rsidRPr="005A3BB7">
              <w:rPr>
                <w:rFonts w:ascii="Arial" w:hAnsi="Arial" w:cs="Arial"/>
                <w:sz w:val="18"/>
                <w:szCs w:val="18"/>
              </w:rPr>
              <w:t>7% growth in 2016, increasing to 7.3% in 2020</w:t>
            </w:r>
            <w:r w:rsidR="005A3BB7" w:rsidRPr="005A3BB7">
              <w:rPr>
                <w:rStyle w:val="FootnoteReference"/>
                <w:rFonts w:ascii="Arial" w:hAnsi="Arial" w:cs="Arial"/>
                <w:sz w:val="18"/>
                <w:szCs w:val="18"/>
              </w:rPr>
              <w:t xml:space="preserve"> </w:t>
            </w:r>
          </w:p>
          <w:p w14:paraId="4A3D5217" w14:textId="36571E34" w:rsidR="000E543A" w:rsidRPr="005A3BB7" w:rsidRDefault="005A3BB7" w:rsidP="005A3BB7">
            <w:pPr>
              <w:spacing w:after="0"/>
              <w:rPr>
                <w:rFonts w:ascii="Arial" w:hAnsi="Arial" w:cs="Arial"/>
                <w:sz w:val="18"/>
                <w:szCs w:val="18"/>
              </w:rPr>
            </w:pPr>
            <w:r w:rsidRPr="005A3BB7">
              <w:rPr>
                <w:rFonts w:ascii="Arial" w:hAnsi="Arial" w:cs="Arial"/>
                <w:sz w:val="18"/>
                <w:szCs w:val="18"/>
              </w:rPr>
              <w:t>(Trading Economics 2019)</w:t>
            </w:r>
          </w:p>
        </w:tc>
        <w:tc>
          <w:tcPr>
            <w:tcW w:w="2344" w:type="dxa"/>
          </w:tcPr>
          <w:p w14:paraId="21222935" w14:textId="004A8F78" w:rsidR="000E543A" w:rsidRPr="005A3BB7" w:rsidRDefault="000E543A" w:rsidP="005A3BB7">
            <w:pPr>
              <w:spacing w:after="0"/>
              <w:rPr>
                <w:rFonts w:ascii="Arial" w:hAnsi="Arial" w:cs="Arial"/>
                <w:sz w:val="18"/>
                <w:szCs w:val="18"/>
              </w:rPr>
            </w:pPr>
            <w:r w:rsidRPr="005A3BB7">
              <w:rPr>
                <w:rFonts w:ascii="Arial" w:hAnsi="Arial" w:cs="Arial"/>
                <w:sz w:val="18"/>
                <w:szCs w:val="18"/>
              </w:rPr>
              <w:t>--</w:t>
            </w:r>
          </w:p>
        </w:tc>
        <w:tc>
          <w:tcPr>
            <w:tcW w:w="2521" w:type="dxa"/>
            <w:vAlign w:val="center"/>
          </w:tcPr>
          <w:p w14:paraId="2D830F14" w14:textId="753F86C5" w:rsidR="000E543A" w:rsidRPr="005A3BB7" w:rsidRDefault="000E543A" w:rsidP="005A3BB7">
            <w:pPr>
              <w:spacing w:after="0"/>
              <w:rPr>
                <w:rFonts w:ascii="Arial" w:hAnsi="Arial" w:cs="Arial"/>
                <w:sz w:val="18"/>
                <w:szCs w:val="18"/>
              </w:rPr>
            </w:pPr>
            <w:r w:rsidRPr="005A3BB7">
              <w:rPr>
                <w:rFonts w:ascii="Arial" w:hAnsi="Arial" w:cs="Arial"/>
                <w:sz w:val="18"/>
                <w:szCs w:val="18"/>
              </w:rPr>
              <w:t>From 2020, GDP growth slows by 0.25% per annum to 4.8% in 2030</w:t>
            </w:r>
          </w:p>
        </w:tc>
      </w:tr>
      <w:tr w:rsidR="000E543A" w:rsidRPr="005A3BB7" w14:paraId="4D059204" w14:textId="77777777" w:rsidTr="005A3BB7">
        <w:trPr>
          <w:cantSplit/>
          <w:trHeight w:val="829"/>
        </w:trPr>
        <w:tc>
          <w:tcPr>
            <w:tcW w:w="2245" w:type="dxa"/>
            <w:vAlign w:val="center"/>
          </w:tcPr>
          <w:p w14:paraId="143ABEAA" w14:textId="77777777" w:rsidR="000E543A" w:rsidRPr="005A3BB7" w:rsidRDefault="000E543A" w:rsidP="005A3BB7">
            <w:pPr>
              <w:spacing w:after="0"/>
              <w:rPr>
                <w:rFonts w:ascii="Arial" w:hAnsi="Arial" w:cs="Arial"/>
                <w:sz w:val="18"/>
                <w:szCs w:val="18"/>
              </w:rPr>
            </w:pPr>
            <w:r w:rsidRPr="005A3BB7">
              <w:rPr>
                <w:rFonts w:ascii="Arial" w:hAnsi="Arial" w:cs="Arial"/>
                <w:sz w:val="18"/>
                <w:szCs w:val="18"/>
              </w:rPr>
              <w:t>General government total expenditure as a % of GDP (GGE)</w:t>
            </w:r>
          </w:p>
          <w:p w14:paraId="0CF7F751" w14:textId="5C49BF3F" w:rsidR="000E543A" w:rsidRPr="005A3BB7" w:rsidRDefault="000E543A" w:rsidP="005A3BB7">
            <w:pPr>
              <w:spacing w:after="0"/>
              <w:rPr>
                <w:rFonts w:ascii="Arial" w:hAnsi="Arial" w:cs="Arial"/>
                <w:sz w:val="18"/>
                <w:szCs w:val="18"/>
              </w:rPr>
            </w:pPr>
          </w:p>
        </w:tc>
        <w:tc>
          <w:tcPr>
            <w:tcW w:w="2340" w:type="dxa"/>
            <w:vAlign w:val="center"/>
          </w:tcPr>
          <w:p w14:paraId="1FD79F8A" w14:textId="7C445465" w:rsidR="000E543A" w:rsidRPr="005A3BB7" w:rsidRDefault="000E543A" w:rsidP="005A3BB7">
            <w:pPr>
              <w:spacing w:after="0"/>
              <w:rPr>
                <w:rFonts w:ascii="Arial" w:hAnsi="Arial" w:cs="Arial"/>
                <w:sz w:val="18"/>
                <w:szCs w:val="18"/>
              </w:rPr>
            </w:pPr>
            <w:r w:rsidRPr="005A3BB7">
              <w:rPr>
                <w:rFonts w:ascii="Arial" w:hAnsi="Arial" w:cs="Arial"/>
                <w:sz w:val="18"/>
                <w:szCs w:val="18"/>
              </w:rPr>
              <w:t>17.3% in 2017 and increases to 18.9% by 2023</w:t>
            </w:r>
            <w:r w:rsidR="005A3BB7" w:rsidRPr="005A3BB7">
              <w:rPr>
                <w:rFonts w:ascii="Arial" w:hAnsi="Arial" w:cs="Arial"/>
                <w:sz w:val="18"/>
                <w:szCs w:val="18"/>
              </w:rPr>
              <w:t xml:space="preserve"> (IMF 2018) </w:t>
            </w:r>
          </w:p>
        </w:tc>
        <w:tc>
          <w:tcPr>
            <w:tcW w:w="2344" w:type="dxa"/>
          </w:tcPr>
          <w:p w14:paraId="562010B5" w14:textId="7BF00B54" w:rsidR="000E543A" w:rsidRPr="005A3BB7" w:rsidRDefault="000E543A" w:rsidP="005A3BB7">
            <w:pPr>
              <w:spacing w:after="0"/>
              <w:rPr>
                <w:rFonts w:ascii="Arial" w:hAnsi="Arial" w:cs="Arial"/>
                <w:sz w:val="18"/>
                <w:szCs w:val="18"/>
              </w:rPr>
            </w:pPr>
            <w:r w:rsidRPr="005A3BB7">
              <w:rPr>
                <w:rFonts w:ascii="Arial" w:hAnsi="Arial" w:cs="Arial"/>
                <w:sz w:val="18"/>
                <w:szCs w:val="18"/>
              </w:rPr>
              <w:t>--</w:t>
            </w:r>
          </w:p>
        </w:tc>
        <w:tc>
          <w:tcPr>
            <w:tcW w:w="2521" w:type="dxa"/>
            <w:vAlign w:val="center"/>
          </w:tcPr>
          <w:p w14:paraId="2E10450E" w14:textId="369390A0" w:rsidR="000E543A" w:rsidRPr="005A3BB7" w:rsidRDefault="000E543A" w:rsidP="005A3BB7">
            <w:pPr>
              <w:spacing w:after="0"/>
              <w:rPr>
                <w:rFonts w:ascii="Arial" w:hAnsi="Arial" w:cs="Arial"/>
                <w:sz w:val="18"/>
                <w:szCs w:val="18"/>
              </w:rPr>
            </w:pPr>
            <w:r w:rsidRPr="005A3BB7">
              <w:rPr>
                <w:rFonts w:ascii="Arial" w:hAnsi="Arial" w:cs="Arial"/>
                <w:sz w:val="18"/>
                <w:szCs w:val="18"/>
              </w:rPr>
              <w:t>From 2023; GGE remains at 18.9% of GDP for the duration of the forecast</w:t>
            </w:r>
          </w:p>
        </w:tc>
      </w:tr>
      <w:tr w:rsidR="000E543A" w:rsidRPr="005A3BB7" w14:paraId="5C15ADC7" w14:textId="77777777" w:rsidTr="005A3BB7">
        <w:trPr>
          <w:cantSplit/>
          <w:trHeight w:val="1244"/>
        </w:trPr>
        <w:tc>
          <w:tcPr>
            <w:tcW w:w="2245" w:type="dxa"/>
            <w:vAlign w:val="center"/>
          </w:tcPr>
          <w:p w14:paraId="69BF7A71" w14:textId="7BCCF87B" w:rsidR="000E543A" w:rsidRPr="005A3BB7" w:rsidRDefault="000E543A" w:rsidP="005A3BB7">
            <w:pPr>
              <w:spacing w:after="0"/>
              <w:rPr>
                <w:rFonts w:ascii="Arial" w:hAnsi="Arial" w:cs="Arial"/>
                <w:sz w:val="18"/>
                <w:szCs w:val="18"/>
              </w:rPr>
            </w:pPr>
            <w:r w:rsidRPr="005A3BB7">
              <w:rPr>
                <w:rFonts w:ascii="Arial" w:hAnsi="Arial" w:cs="Arial"/>
                <w:sz w:val="18"/>
                <w:szCs w:val="18"/>
              </w:rPr>
              <w:t>Domestic General Government Health Expenditure (GGHE-D) as % General Government Expenditure (GGE)</w:t>
            </w:r>
          </w:p>
        </w:tc>
        <w:tc>
          <w:tcPr>
            <w:tcW w:w="2340" w:type="dxa"/>
            <w:vAlign w:val="center"/>
          </w:tcPr>
          <w:p w14:paraId="71C93CD4" w14:textId="5731F82C" w:rsidR="000E543A" w:rsidRPr="005A3BB7" w:rsidRDefault="000E543A" w:rsidP="005A3BB7">
            <w:pPr>
              <w:spacing w:after="0"/>
              <w:rPr>
                <w:rFonts w:ascii="Arial" w:hAnsi="Arial" w:cs="Arial"/>
                <w:sz w:val="18"/>
                <w:szCs w:val="18"/>
              </w:rPr>
            </w:pPr>
            <w:r w:rsidRPr="005A3BB7">
              <w:rPr>
                <w:rFonts w:ascii="Arial" w:hAnsi="Arial" w:cs="Arial"/>
                <w:sz w:val="18"/>
                <w:szCs w:val="18"/>
              </w:rPr>
              <w:t>7% in 2015 increasing to 10% in 2016 (IMF</w:t>
            </w:r>
            <w:r w:rsidR="005A3BB7" w:rsidRPr="005A3BB7">
              <w:rPr>
                <w:rFonts w:ascii="Arial" w:hAnsi="Arial" w:cs="Arial"/>
                <w:sz w:val="18"/>
                <w:szCs w:val="18"/>
              </w:rPr>
              <w:t xml:space="preserve"> 2018</w:t>
            </w:r>
            <w:r w:rsidRPr="005A3BB7">
              <w:rPr>
                <w:rFonts w:ascii="Arial" w:hAnsi="Arial" w:cs="Arial"/>
                <w:sz w:val="18"/>
                <w:szCs w:val="18"/>
              </w:rPr>
              <w:t>)</w:t>
            </w:r>
          </w:p>
        </w:tc>
        <w:tc>
          <w:tcPr>
            <w:tcW w:w="2344" w:type="dxa"/>
          </w:tcPr>
          <w:p w14:paraId="32E06EFC" w14:textId="77777777" w:rsidR="002B2227" w:rsidRPr="005A3BB7" w:rsidRDefault="002B2227" w:rsidP="005A3BB7">
            <w:pPr>
              <w:spacing w:after="0"/>
              <w:rPr>
                <w:rFonts w:ascii="Arial" w:hAnsi="Arial" w:cs="Arial"/>
                <w:sz w:val="18"/>
                <w:szCs w:val="18"/>
              </w:rPr>
            </w:pPr>
          </w:p>
          <w:p w14:paraId="6049F3C1" w14:textId="48F32508" w:rsidR="000E543A" w:rsidRPr="005A3BB7" w:rsidRDefault="000E543A" w:rsidP="005A3BB7">
            <w:pPr>
              <w:spacing w:after="0"/>
              <w:rPr>
                <w:rFonts w:ascii="Arial" w:hAnsi="Arial" w:cs="Arial"/>
                <w:sz w:val="18"/>
                <w:szCs w:val="18"/>
              </w:rPr>
            </w:pPr>
            <w:r w:rsidRPr="005A3BB7">
              <w:rPr>
                <w:rFonts w:ascii="Arial" w:hAnsi="Arial" w:cs="Arial"/>
                <w:sz w:val="18"/>
                <w:szCs w:val="18"/>
              </w:rPr>
              <w:t xml:space="preserve">11% </w:t>
            </w:r>
          </w:p>
          <w:p w14:paraId="2C2F8AE2" w14:textId="77777777" w:rsidR="007A65AE" w:rsidRPr="005A3BB7" w:rsidRDefault="007A65AE" w:rsidP="005A3BB7">
            <w:pPr>
              <w:spacing w:after="0"/>
              <w:rPr>
                <w:rFonts w:ascii="Arial" w:hAnsi="Arial" w:cs="Arial"/>
                <w:sz w:val="18"/>
                <w:szCs w:val="18"/>
              </w:rPr>
            </w:pPr>
          </w:p>
          <w:p w14:paraId="2336D6E9" w14:textId="3FA982F7" w:rsidR="007A65AE" w:rsidRPr="005A3BB7" w:rsidRDefault="007A65AE" w:rsidP="005A3BB7">
            <w:pPr>
              <w:spacing w:after="0"/>
              <w:rPr>
                <w:rFonts w:ascii="Arial" w:hAnsi="Arial" w:cs="Arial"/>
                <w:sz w:val="18"/>
                <w:szCs w:val="18"/>
              </w:rPr>
            </w:pPr>
            <w:r w:rsidRPr="005A3BB7">
              <w:rPr>
                <w:rFonts w:ascii="Arial" w:hAnsi="Arial" w:cs="Arial"/>
                <w:sz w:val="18"/>
                <w:szCs w:val="18"/>
              </w:rPr>
              <w:t>Regional target is 15% but</w:t>
            </w:r>
            <w:r w:rsidR="003B2713" w:rsidRPr="005A3BB7">
              <w:rPr>
                <w:sz w:val="18"/>
                <w:szCs w:val="18"/>
              </w:rPr>
              <w:t xml:space="preserve"> </w:t>
            </w:r>
            <w:r w:rsidR="003B2713" w:rsidRPr="005A3BB7">
              <w:rPr>
                <w:rFonts w:ascii="Arial" w:hAnsi="Arial" w:cs="Arial"/>
                <w:sz w:val="18"/>
                <w:szCs w:val="18"/>
              </w:rPr>
              <w:t>reaching 15% seem unlikely given competing development needs</w:t>
            </w:r>
            <w:r w:rsidRPr="005A3BB7">
              <w:rPr>
                <w:rFonts w:ascii="Arial" w:hAnsi="Arial" w:cs="Arial"/>
                <w:sz w:val="18"/>
                <w:szCs w:val="18"/>
              </w:rPr>
              <w:t xml:space="preserve"> </w:t>
            </w:r>
          </w:p>
        </w:tc>
        <w:tc>
          <w:tcPr>
            <w:tcW w:w="2521" w:type="dxa"/>
            <w:vAlign w:val="center"/>
          </w:tcPr>
          <w:p w14:paraId="502F93EA" w14:textId="272DCDA4" w:rsidR="000E543A" w:rsidRPr="005A3BB7" w:rsidRDefault="000E543A" w:rsidP="005A3BB7">
            <w:pPr>
              <w:spacing w:after="0"/>
              <w:rPr>
                <w:rFonts w:ascii="Arial" w:hAnsi="Arial" w:cs="Arial"/>
                <w:sz w:val="18"/>
                <w:szCs w:val="18"/>
              </w:rPr>
            </w:pPr>
            <w:r w:rsidRPr="005A3BB7">
              <w:rPr>
                <w:rFonts w:ascii="Arial" w:hAnsi="Arial" w:cs="Arial"/>
                <w:sz w:val="18"/>
                <w:szCs w:val="18"/>
              </w:rPr>
              <w:t>Increases by 0.25% per annum and reaches a ceiling of 11% in 2020 and remains at that level</w:t>
            </w:r>
          </w:p>
        </w:tc>
      </w:tr>
      <w:tr w:rsidR="000E543A" w:rsidRPr="005A3BB7" w14:paraId="1C194DF6" w14:textId="77777777" w:rsidTr="005A3BB7">
        <w:trPr>
          <w:cantSplit/>
          <w:trHeight w:val="1037"/>
        </w:trPr>
        <w:tc>
          <w:tcPr>
            <w:tcW w:w="2245" w:type="dxa"/>
            <w:vAlign w:val="center"/>
          </w:tcPr>
          <w:p w14:paraId="68482E89" w14:textId="5BED23F4" w:rsidR="000E543A" w:rsidRPr="005A3BB7" w:rsidRDefault="000E543A" w:rsidP="005A3BB7">
            <w:pPr>
              <w:spacing w:after="0"/>
              <w:rPr>
                <w:rFonts w:ascii="Arial" w:hAnsi="Arial" w:cs="Arial"/>
                <w:sz w:val="18"/>
                <w:szCs w:val="18"/>
              </w:rPr>
            </w:pPr>
            <w:r w:rsidRPr="005A3BB7">
              <w:rPr>
                <w:rFonts w:ascii="Arial" w:hAnsi="Arial" w:cs="Arial"/>
                <w:sz w:val="18"/>
                <w:szCs w:val="18"/>
              </w:rPr>
              <w:t>Domestic General Government Health Expenditure (GGHE-D) on HIV as % of GGHE-D</w:t>
            </w:r>
          </w:p>
        </w:tc>
        <w:tc>
          <w:tcPr>
            <w:tcW w:w="2340" w:type="dxa"/>
            <w:vAlign w:val="center"/>
          </w:tcPr>
          <w:p w14:paraId="65A6A07A" w14:textId="77777777" w:rsidR="005A3BB7" w:rsidRPr="005A3BB7" w:rsidRDefault="000E543A" w:rsidP="005A3BB7">
            <w:pPr>
              <w:spacing w:after="0"/>
              <w:rPr>
                <w:rFonts w:ascii="Arial" w:hAnsi="Arial" w:cs="Arial"/>
                <w:sz w:val="18"/>
                <w:szCs w:val="18"/>
              </w:rPr>
            </w:pPr>
            <w:r w:rsidRPr="005A3BB7">
              <w:rPr>
                <w:rFonts w:ascii="Arial" w:hAnsi="Arial" w:cs="Arial"/>
                <w:sz w:val="18"/>
                <w:szCs w:val="18"/>
              </w:rPr>
              <w:t>6.2% in 2015</w:t>
            </w:r>
          </w:p>
          <w:p w14:paraId="2452F385" w14:textId="706173DC" w:rsidR="005A3BB7" w:rsidRPr="005A3BB7" w:rsidRDefault="005A3BB7" w:rsidP="005A3BB7">
            <w:pPr>
              <w:spacing w:after="0"/>
              <w:rPr>
                <w:sz w:val="18"/>
                <w:szCs w:val="18"/>
              </w:rPr>
            </w:pPr>
            <w:r w:rsidRPr="005A3BB7">
              <w:rPr>
                <w:sz w:val="18"/>
                <w:szCs w:val="18"/>
              </w:rPr>
              <w:t xml:space="preserve"> (</w:t>
            </w:r>
            <w:r w:rsidRPr="005A3BB7">
              <w:rPr>
                <w:rFonts w:ascii="Arial" w:hAnsi="Arial" w:cs="Arial"/>
                <w:sz w:val="18"/>
                <w:szCs w:val="18"/>
              </w:rPr>
              <w:t>Global Fund 2015)</w:t>
            </w:r>
            <w:r w:rsidRPr="005A3BB7">
              <w:rPr>
                <w:sz w:val="18"/>
                <w:szCs w:val="18"/>
              </w:rPr>
              <w:t xml:space="preserve"> </w:t>
            </w:r>
          </w:p>
          <w:p w14:paraId="5F760E44" w14:textId="77777777" w:rsidR="005A3BB7" w:rsidRPr="005A3BB7" w:rsidRDefault="005A3BB7" w:rsidP="005A3BB7">
            <w:pPr>
              <w:spacing w:after="0"/>
              <w:rPr>
                <w:sz w:val="18"/>
                <w:szCs w:val="18"/>
              </w:rPr>
            </w:pPr>
          </w:p>
          <w:p w14:paraId="342E22D9" w14:textId="4F0E3DB0" w:rsidR="000E543A" w:rsidRPr="005A3BB7" w:rsidRDefault="005A3BB7" w:rsidP="005A3BB7">
            <w:pPr>
              <w:spacing w:after="0"/>
              <w:rPr>
                <w:rFonts w:ascii="Arial" w:hAnsi="Arial" w:cs="Arial"/>
                <w:sz w:val="18"/>
                <w:szCs w:val="18"/>
              </w:rPr>
            </w:pPr>
            <w:r w:rsidRPr="005A3BB7">
              <w:rPr>
                <w:sz w:val="18"/>
                <w:szCs w:val="18"/>
              </w:rPr>
              <w:t>D</w:t>
            </w:r>
            <w:r w:rsidR="000E543A" w:rsidRPr="005A3BB7">
              <w:rPr>
                <w:rFonts w:ascii="Arial" w:hAnsi="Arial" w:cs="Arial"/>
                <w:sz w:val="18"/>
                <w:szCs w:val="18"/>
              </w:rPr>
              <w:t>eclining to 4.4% in 2019</w:t>
            </w:r>
          </w:p>
        </w:tc>
        <w:tc>
          <w:tcPr>
            <w:tcW w:w="2344" w:type="dxa"/>
          </w:tcPr>
          <w:p w14:paraId="353ECE61" w14:textId="77777777" w:rsidR="002B2227" w:rsidRPr="005A3BB7" w:rsidRDefault="002B2227" w:rsidP="005A3BB7">
            <w:pPr>
              <w:spacing w:after="0"/>
              <w:rPr>
                <w:rFonts w:ascii="Arial" w:hAnsi="Arial" w:cs="Arial"/>
                <w:sz w:val="18"/>
                <w:szCs w:val="18"/>
              </w:rPr>
            </w:pPr>
          </w:p>
          <w:p w14:paraId="630A6F8D" w14:textId="670E9389" w:rsidR="000E543A" w:rsidRPr="005A3BB7" w:rsidRDefault="000E543A" w:rsidP="005A3BB7">
            <w:pPr>
              <w:spacing w:after="0"/>
              <w:rPr>
                <w:rFonts w:ascii="Arial" w:hAnsi="Arial" w:cs="Arial"/>
                <w:sz w:val="18"/>
                <w:szCs w:val="18"/>
              </w:rPr>
            </w:pPr>
            <w:r w:rsidRPr="005A3BB7">
              <w:rPr>
                <w:rFonts w:ascii="Arial" w:hAnsi="Arial" w:cs="Arial"/>
                <w:sz w:val="18"/>
                <w:szCs w:val="18"/>
              </w:rPr>
              <w:t>7%</w:t>
            </w:r>
          </w:p>
          <w:p w14:paraId="4DBE8017" w14:textId="77777777" w:rsidR="007A65AE" w:rsidRPr="005A3BB7" w:rsidRDefault="007A65AE" w:rsidP="005A3BB7">
            <w:pPr>
              <w:spacing w:after="0"/>
              <w:rPr>
                <w:rFonts w:ascii="Arial" w:hAnsi="Arial" w:cs="Arial"/>
                <w:sz w:val="18"/>
                <w:szCs w:val="18"/>
              </w:rPr>
            </w:pPr>
          </w:p>
          <w:p w14:paraId="59F1D684" w14:textId="2A0595A8" w:rsidR="007A65AE" w:rsidRPr="005A3BB7" w:rsidRDefault="007A65AE" w:rsidP="005A3BB7">
            <w:pPr>
              <w:spacing w:after="0"/>
              <w:rPr>
                <w:rFonts w:ascii="Arial" w:hAnsi="Arial" w:cs="Arial"/>
                <w:sz w:val="18"/>
                <w:szCs w:val="18"/>
              </w:rPr>
            </w:pPr>
            <w:r w:rsidRPr="005A3BB7">
              <w:rPr>
                <w:rFonts w:ascii="Arial" w:hAnsi="Arial" w:cs="Arial"/>
                <w:sz w:val="18"/>
                <w:szCs w:val="18"/>
              </w:rPr>
              <w:t>Neighboring counties achieved over 10%, but 10% was assessed to put too much pressure on the government budget</w:t>
            </w:r>
          </w:p>
        </w:tc>
        <w:tc>
          <w:tcPr>
            <w:tcW w:w="2521" w:type="dxa"/>
            <w:vAlign w:val="center"/>
          </w:tcPr>
          <w:p w14:paraId="68FBB9F1" w14:textId="09DF6351" w:rsidR="000E543A" w:rsidRPr="005A3BB7" w:rsidRDefault="000E543A" w:rsidP="005A3BB7">
            <w:pPr>
              <w:spacing w:after="0"/>
              <w:rPr>
                <w:rFonts w:ascii="Arial" w:hAnsi="Arial" w:cs="Arial"/>
                <w:sz w:val="18"/>
                <w:szCs w:val="18"/>
              </w:rPr>
            </w:pPr>
            <w:r w:rsidRPr="005A3BB7">
              <w:rPr>
                <w:rFonts w:ascii="Arial" w:hAnsi="Arial" w:cs="Arial"/>
                <w:sz w:val="18"/>
                <w:szCs w:val="18"/>
              </w:rPr>
              <w:t>Increases by 0.25% until a ceiling of 7.2% is reached in 2030</w:t>
            </w:r>
          </w:p>
        </w:tc>
      </w:tr>
    </w:tbl>
    <w:p w14:paraId="56801B12" w14:textId="77777777" w:rsidR="00696943" w:rsidRPr="0071750D" w:rsidRDefault="00696943" w:rsidP="00C759BF">
      <w:pPr>
        <w:spacing w:after="0" w:line="240" w:lineRule="auto"/>
        <w:rPr>
          <w:rFonts w:ascii="Arial" w:hAnsi="Arial" w:cs="Arial"/>
        </w:rPr>
      </w:pPr>
    </w:p>
    <w:p w14:paraId="5FC5B4E8" w14:textId="674AD1D7" w:rsidR="00F523A7" w:rsidRPr="0071750D" w:rsidRDefault="00F523A7" w:rsidP="00F523A7">
      <w:pPr>
        <w:spacing w:after="0" w:line="240" w:lineRule="auto"/>
        <w:rPr>
          <w:rFonts w:ascii="Arial" w:hAnsi="Arial" w:cs="Arial"/>
        </w:rPr>
      </w:pPr>
      <w:r>
        <w:rPr>
          <w:rFonts w:ascii="Arial" w:hAnsi="Arial" w:cs="Arial"/>
        </w:rPr>
        <w:t xml:space="preserve">Using the baseline data and </w:t>
      </w:r>
      <w:r w:rsidRPr="0071750D">
        <w:rPr>
          <w:rFonts w:ascii="Arial" w:hAnsi="Arial" w:cs="Arial"/>
        </w:rPr>
        <w:t xml:space="preserve">assumptions as described above, the total domestic contribution to HIV could </w:t>
      </w:r>
      <w:r>
        <w:rPr>
          <w:rFonts w:ascii="Arial" w:hAnsi="Arial" w:cs="Arial"/>
        </w:rPr>
        <w:t xml:space="preserve">be expected to </w:t>
      </w:r>
      <w:r w:rsidRPr="0071750D">
        <w:rPr>
          <w:rFonts w:ascii="Arial" w:hAnsi="Arial" w:cs="Arial"/>
        </w:rPr>
        <w:t xml:space="preserve">increase from the baseline values of </w:t>
      </w:r>
      <w:r>
        <w:rPr>
          <w:rFonts w:ascii="Arial" w:hAnsi="Arial" w:cs="Arial"/>
        </w:rPr>
        <w:t xml:space="preserve">USD </w:t>
      </w:r>
      <w:r w:rsidRPr="0071750D">
        <w:rPr>
          <w:rFonts w:ascii="Arial" w:hAnsi="Arial" w:cs="Arial"/>
        </w:rPr>
        <w:t>3</w:t>
      </w:r>
      <w:r>
        <w:rPr>
          <w:rFonts w:ascii="Arial" w:hAnsi="Arial" w:cs="Arial"/>
        </w:rPr>
        <w:t>7</w:t>
      </w:r>
      <w:r w:rsidRPr="0071750D">
        <w:rPr>
          <w:rFonts w:ascii="Arial" w:hAnsi="Arial" w:cs="Arial"/>
        </w:rPr>
        <w:t xml:space="preserve"> </w:t>
      </w:r>
      <w:r>
        <w:rPr>
          <w:rFonts w:ascii="Arial" w:hAnsi="Arial" w:cs="Arial"/>
        </w:rPr>
        <w:t>M</w:t>
      </w:r>
      <w:r w:rsidRPr="0071750D">
        <w:rPr>
          <w:rFonts w:ascii="Arial" w:hAnsi="Arial" w:cs="Arial"/>
        </w:rPr>
        <w:t xml:space="preserve"> and </w:t>
      </w:r>
      <w:r>
        <w:rPr>
          <w:rFonts w:ascii="Arial" w:hAnsi="Arial" w:cs="Arial"/>
        </w:rPr>
        <w:t>USD 50</w:t>
      </w:r>
      <w:r w:rsidRPr="0071750D">
        <w:rPr>
          <w:rFonts w:ascii="Arial" w:hAnsi="Arial" w:cs="Arial"/>
        </w:rPr>
        <w:t xml:space="preserve"> </w:t>
      </w:r>
      <w:r>
        <w:rPr>
          <w:rFonts w:ascii="Arial" w:hAnsi="Arial" w:cs="Arial"/>
        </w:rPr>
        <w:t>M</w:t>
      </w:r>
      <w:r w:rsidRPr="0071750D">
        <w:rPr>
          <w:rFonts w:ascii="Arial" w:hAnsi="Arial" w:cs="Arial"/>
        </w:rPr>
        <w:t xml:space="preserve"> in 2015 and 2016 to a</w:t>
      </w:r>
      <w:r>
        <w:rPr>
          <w:rFonts w:ascii="Arial" w:hAnsi="Arial" w:cs="Arial"/>
        </w:rPr>
        <w:t xml:space="preserve">n annual </w:t>
      </w:r>
      <w:r w:rsidRPr="0071750D">
        <w:rPr>
          <w:rFonts w:ascii="Arial" w:hAnsi="Arial" w:cs="Arial"/>
        </w:rPr>
        <w:t xml:space="preserve">total of </w:t>
      </w:r>
      <w:r>
        <w:rPr>
          <w:rFonts w:ascii="Arial" w:hAnsi="Arial" w:cs="Arial"/>
        </w:rPr>
        <w:t xml:space="preserve">USD </w:t>
      </w:r>
      <w:r w:rsidRPr="0071750D">
        <w:rPr>
          <w:rFonts w:ascii="Arial" w:hAnsi="Arial" w:cs="Arial"/>
        </w:rPr>
        <w:t>17</w:t>
      </w:r>
      <w:r>
        <w:rPr>
          <w:rFonts w:ascii="Arial" w:hAnsi="Arial" w:cs="Arial"/>
        </w:rPr>
        <w:t>4</w:t>
      </w:r>
      <w:r w:rsidRPr="0071750D">
        <w:rPr>
          <w:rFonts w:ascii="Arial" w:hAnsi="Arial" w:cs="Arial"/>
        </w:rPr>
        <w:t xml:space="preserve"> </w:t>
      </w:r>
      <w:r>
        <w:rPr>
          <w:rFonts w:ascii="Arial" w:hAnsi="Arial" w:cs="Arial"/>
        </w:rPr>
        <w:t>M</w:t>
      </w:r>
      <w:r w:rsidRPr="0071750D">
        <w:rPr>
          <w:rFonts w:ascii="Arial" w:hAnsi="Arial" w:cs="Arial"/>
        </w:rPr>
        <w:t xml:space="preserve">illion in 2030.  This trend suggests </w:t>
      </w:r>
      <w:r>
        <w:rPr>
          <w:rFonts w:ascii="Arial" w:hAnsi="Arial" w:cs="Arial"/>
        </w:rPr>
        <w:t xml:space="preserve">an annual increment of USD </w:t>
      </w:r>
      <w:r w:rsidRPr="0071750D">
        <w:rPr>
          <w:rFonts w:ascii="Arial" w:hAnsi="Arial" w:cs="Arial"/>
        </w:rPr>
        <w:t>6</w:t>
      </w:r>
      <w:r>
        <w:rPr>
          <w:rFonts w:ascii="Arial" w:hAnsi="Arial" w:cs="Arial"/>
        </w:rPr>
        <w:t>-14</w:t>
      </w:r>
      <w:r w:rsidRPr="0071750D">
        <w:rPr>
          <w:rFonts w:ascii="Arial" w:hAnsi="Arial" w:cs="Arial"/>
        </w:rPr>
        <w:t xml:space="preserve"> </w:t>
      </w:r>
      <w:r>
        <w:rPr>
          <w:rFonts w:ascii="Arial" w:hAnsi="Arial" w:cs="Arial"/>
        </w:rPr>
        <w:t>Million</w:t>
      </w:r>
      <w:r w:rsidRPr="0071750D">
        <w:rPr>
          <w:rFonts w:ascii="Arial" w:hAnsi="Arial" w:cs="Arial"/>
        </w:rPr>
        <w:t xml:space="preserve"> per annum, the latter increase achieved in the final year of the forecast period. </w:t>
      </w:r>
      <w:r>
        <w:rPr>
          <w:rFonts w:ascii="Arial" w:hAnsi="Arial" w:cs="Arial"/>
        </w:rPr>
        <w:t xml:space="preserve"> Th</w:t>
      </w:r>
      <w:r w:rsidRPr="0071750D">
        <w:rPr>
          <w:rFonts w:ascii="Arial" w:hAnsi="Arial" w:cs="Arial"/>
        </w:rPr>
        <w:t xml:space="preserve">is estimated increase was based on the best data available and validated by </w:t>
      </w:r>
      <w:r>
        <w:rPr>
          <w:rFonts w:ascii="Arial" w:hAnsi="Arial" w:cs="Arial"/>
        </w:rPr>
        <w:t>s</w:t>
      </w:r>
      <w:r w:rsidRPr="0071750D">
        <w:rPr>
          <w:rFonts w:ascii="Arial" w:hAnsi="Arial" w:cs="Arial"/>
        </w:rPr>
        <w:t>takeholders</w:t>
      </w:r>
      <w:r>
        <w:rPr>
          <w:rFonts w:ascii="Arial" w:hAnsi="Arial" w:cs="Arial"/>
        </w:rPr>
        <w:t xml:space="preserve"> -- preliminary estimates of USD 10 M in annual increments to public spending were presented to the Technical Working Group in February 2019 and the final estimates were reviewed by NACP and TACAIDS in April 2019. The full calculations are available in Annex 9.</w:t>
      </w:r>
    </w:p>
    <w:p w14:paraId="71E54BE2" w14:textId="26F5F302" w:rsidR="00891880" w:rsidRDefault="00891880" w:rsidP="00C759BF">
      <w:pPr>
        <w:spacing w:after="0" w:line="240" w:lineRule="auto"/>
        <w:rPr>
          <w:rFonts w:ascii="Arial" w:hAnsi="Arial" w:cs="Arial"/>
        </w:rPr>
      </w:pPr>
    </w:p>
    <w:p w14:paraId="7AED4CFB" w14:textId="77777777" w:rsidR="002F43BE" w:rsidRDefault="002F43BE" w:rsidP="00C759BF">
      <w:pPr>
        <w:spacing w:after="0" w:line="240" w:lineRule="auto"/>
        <w:rPr>
          <w:rFonts w:ascii="Arial" w:hAnsi="Arial" w:cs="Arial"/>
          <w:i/>
          <w:sz w:val="18"/>
        </w:rPr>
      </w:pPr>
    </w:p>
    <w:p w14:paraId="6A47908D" w14:textId="77777777" w:rsidR="002F43BE" w:rsidRDefault="002F43BE" w:rsidP="00C759BF">
      <w:pPr>
        <w:spacing w:after="0" w:line="240" w:lineRule="auto"/>
        <w:rPr>
          <w:rFonts w:ascii="Arial" w:hAnsi="Arial" w:cs="Arial"/>
          <w:i/>
          <w:sz w:val="18"/>
        </w:rPr>
      </w:pPr>
    </w:p>
    <w:p w14:paraId="3F566F5B" w14:textId="77777777" w:rsidR="002F43BE" w:rsidRDefault="002F43BE" w:rsidP="00C759BF">
      <w:pPr>
        <w:spacing w:after="0" w:line="240" w:lineRule="auto"/>
        <w:rPr>
          <w:rFonts w:ascii="Arial" w:hAnsi="Arial" w:cs="Arial"/>
          <w:i/>
          <w:sz w:val="18"/>
        </w:rPr>
      </w:pPr>
    </w:p>
    <w:p w14:paraId="3D7C826F" w14:textId="77777777" w:rsidR="002F43BE" w:rsidRDefault="002F43BE" w:rsidP="00C759BF">
      <w:pPr>
        <w:spacing w:after="0" w:line="240" w:lineRule="auto"/>
        <w:rPr>
          <w:rFonts w:ascii="Arial" w:hAnsi="Arial" w:cs="Arial"/>
          <w:i/>
          <w:sz w:val="18"/>
        </w:rPr>
      </w:pPr>
    </w:p>
    <w:p w14:paraId="06C7B11B" w14:textId="77777777" w:rsidR="002F43BE" w:rsidRDefault="002F43BE" w:rsidP="00C759BF">
      <w:pPr>
        <w:spacing w:after="0" w:line="240" w:lineRule="auto"/>
        <w:rPr>
          <w:rFonts w:ascii="Arial" w:hAnsi="Arial" w:cs="Arial"/>
          <w:i/>
          <w:sz w:val="18"/>
        </w:rPr>
      </w:pPr>
    </w:p>
    <w:p w14:paraId="3B012993" w14:textId="77777777" w:rsidR="002F43BE" w:rsidRDefault="002F43BE" w:rsidP="00C759BF">
      <w:pPr>
        <w:spacing w:after="0" w:line="240" w:lineRule="auto"/>
        <w:rPr>
          <w:rFonts w:ascii="Arial" w:hAnsi="Arial" w:cs="Arial"/>
          <w:i/>
          <w:sz w:val="18"/>
        </w:rPr>
      </w:pPr>
    </w:p>
    <w:p w14:paraId="671FEF2E" w14:textId="77777777" w:rsidR="002F43BE" w:rsidRDefault="002F43BE" w:rsidP="00C759BF">
      <w:pPr>
        <w:spacing w:after="0" w:line="240" w:lineRule="auto"/>
        <w:rPr>
          <w:rFonts w:ascii="Arial" w:hAnsi="Arial" w:cs="Arial"/>
          <w:i/>
          <w:sz w:val="18"/>
        </w:rPr>
      </w:pPr>
    </w:p>
    <w:p w14:paraId="401DF0D2" w14:textId="77777777" w:rsidR="002F43BE" w:rsidRDefault="002F43BE" w:rsidP="00C759BF">
      <w:pPr>
        <w:spacing w:after="0" w:line="240" w:lineRule="auto"/>
        <w:rPr>
          <w:rFonts w:ascii="Arial" w:hAnsi="Arial" w:cs="Arial"/>
          <w:i/>
          <w:sz w:val="18"/>
        </w:rPr>
      </w:pPr>
    </w:p>
    <w:p w14:paraId="0F62452A" w14:textId="77777777" w:rsidR="002F43BE" w:rsidRDefault="002F43BE" w:rsidP="00C759BF">
      <w:pPr>
        <w:spacing w:after="0" w:line="240" w:lineRule="auto"/>
        <w:rPr>
          <w:rFonts w:ascii="Arial" w:hAnsi="Arial" w:cs="Arial"/>
          <w:i/>
          <w:sz w:val="18"/>
        </w:rPr>
      </w:pPr>
    </w:p>
    <w:p w14:paraId="601E627C" w14:textId="77777777" w:rsidR="002F43BE" w:rsidRDefault="002F43BE" w:rsidP="00C759BF">
      <w:pPr>
        <w:spacing w:after="0" w:line="240" w:lineRule="auto"/>
        <w:rPr>
          <w:rFonts w:ascii="Arial" w:hAnsi="Arial" w:cs="Arial"/>
          <w:i/>
          <w:sz w:val="18"/>
        </w:rPr>
      </w:pPr>
    </w:p>
    <w:p w14:paraId="26D726BD" w14:textId="57645CEF" w:rsidR="000E543A" w:rsidRDefault="000E543A" w:rsidP="00C759BF">
      <w:pPr>
        <w:spacing w:after="0" w:line="240" w:lineRule="auto"/>
        <w:rPr>
          <w:rFonts w:ascii="Arial" w:hAnsi="Arial" w:cs="Arial"/>
        </w:rPr>
      </w:pPr>
      <w:r w:rsidRPr="002B2227">
        <w:rPr>
          <w:rFonts w:ascii="Arial" w:hAnsi="Arial" w:cs="Arial"/>
          <w:i/>
          <w:sz w:val="18"/>
        </w:rPr>
        <w:t xml:space="preserve">Figure </w:t>
      </w:r>
      <w:r w:rsidR="0071346A">
        <w:rPr>
          <w:rFonts w:ascii="Arial" w:hAnsi="Arial" w:cs="Arial"/>
          <w:i/>
          <w:sz w:val="18"/>
        </w:rPr>
        <w:t>7-2</w:t>
      </w:r>
      <w:r w:rsidRPr="002B2227">
        <w:rPr>
          <w:rFonts w:ascii="Arial" w:hAnsi="Arial" w:cs="Arial"/>
          <w:i/>
          <w:sz w:val="18"/>
        </w:rPr>
        <w:t xml:space="preserve">. Estimated feasible </w:t>
      </w:r>
      <w:r w:rsidR="00F523A7">
        <w:rPr>
          <w:rFonts w:ascii="Arial" w:hAnsi="Arial" w:cs="Arial"/>
          <w:i/>
          <w:sz w:val="18"/>
        </w:rPr>
        <w:t>amounts</w:t>
      </w:r>
      <w:r w:rsidRPr="002B2227">
        <w:rPr>
          <w:rFonts w:ascii="Arial" w:hAnsi="Arial" w:cs="Arial"/>
          <w:i/>
          <w:sz w:val="18"/>
        </w:rPr>
        <w:t xml:space="preserve"> </w:t>
      </w:r>
      <w:r w:rsidR="00F523A7">
        <w:rPr>
          <w:rFonts w:ascii="Arial" w:hAnsi="Arial" w:cs="Arial"/>
          <w:i/>
          <w:sz w:val="18"/>
        </w:rPr>
        <w:t>of</w:t>
      </w:r>
      <w:r w:rsidRPr="002B2227">
        <w:rPr>
          <w:rFonts w:ascii="Arial" w:hAnsi="Arial" w:cs="Arial"/>
          <w:i/>
          <w:sz w:val="18"/>
        </w:rPr>
        <w:t xml:space="preserve"> domestic funding for HIV to 2030 (USD Millions)</w:t>
      </w:r>
    </w:p>
    <w:p w14:paraId="350D223E" w14:textId="608B6269" w:rsidR="002B2227" w:rsidRPr="0071750D" w:rsidRDefault="002B2227" w:rsidP="00C759BF">
      <w:pPr>
        <w:spacing w:after="0" w:line="240" w:lineRule="auto"/>
        <w:rPr>
          <w:rFonts w:ascii="Arial" w:hAnsi="Arial" w:cs="Arial"/>
        </w:rPr>
      </w:pPr>
      <w:r>
        <w:rPr>
          <w:rFonts w:ascii="Arial" w:hAnsi="Arial" w:cs="Arial"/>
          <w:b/>
          <w:noProof/>
          <w:color w:val="000000" w:themeColor="text1"/>
        </w:rPr>
        <w:drawing>
          <wp:inline distT="0" distB="0" distL="0" distR="0" wp14:anchorId="5E4B33E1" wp14:editId="3E3C47D1">
            <wp:extent cx="6026727" cy="1953491"/>
            <wp:effectExtent l="0" t="0" r="12700" b="88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4DE55F" w14:textId="77777777" w:rsidR="004066EA" w:rsidRDefault="004066EA" w:rsidP="00534FF7"/>
    <w:p w14:paraId="7F658CB9" w14:textId="71688F49" w:rsidR="007A65AE" w:rsidRPr="00674233" w:rsidRDefault="007A65AE" w:rsidP="007A65AE">
      <w:pPr>
        <w:pStyle w:val="Heading2"/>
        <w:rPr>
          <w:rFonts w:ascii="Arial" w:hAnsi="Arial" w:cs="Arial"/>
          <w:b/>
          <w:color w:val="000000" w:themeColor="text1"/>
        </w:rPr>
      </w:pPr>
      <w:bookmarkStart w:id="112" w:name="_Toc57035206"/>
      <w:r w:rsidRPr="00674233">
        <w:rPr>
          <w:rFonts w:ascii="Arial" w:hAnsi="Arial" w:cs="Arial"/>
          <w:b/>
          <w:color w:val="000000" w:themeColor="text1"/>
        </w:rPr>
        <w:t>Modeling Assumptions</w:t>
      </w:r>
      <w:bookmarkEnd w:id="112"/>
    </w:p>
    <w:p w14:paraId="75D48320" w14:textId="77777777" w:rsidR="007A65AE" w:rsidRDefault="007A65AE" w:rsidP="00F523A7">
      <w:pPr>
        <w:spacing w:after="0"/>
      </w:pPr>
    </w:p>
    <w:p w14:paraId="14E40A1A" w14:textId="129A89E7" w:rsidR="00D04C2B" w:rsidRDefault="00F523A7" w:rsidP="00800C93">
      <w:pPr>
        <w:rPr>
          <w:rFonts w:ascii="Arial" w:hAnsi="Arial" w:cs="Arial"/>
          <w:i/>
          <w:sz w:val="18"/>
        </w:rPr>
      </w:pPr>
      <w:r>
        <w:rPr>
          <w:rFonts w:ascii="Arial" w:hAnsi="Arial" w:cs="Arial"/>
        </w:rPr>
        <w:t>The scenario for Optimization with Domestic Resource Mobilization (O-DRM) aims to model the impact on the national HIV response of additional domestic contributions in mitigating the impact of declining donor funds, assuming optimization to maximize the impact of the additional domestic funds as well as the reduced donor financing. Without optimization the benefits of the extra domestic spending on HIV would be much lower, preventing Tanzania from achieving its Fast Track goals.</w:t>
      </w:r>
    </w:p>
    <w:p w14:paraId="54A5ACFC" w14:textId="69688266" w:rsidR="0071346A" w:rsidRPr="0071346A" w:rsidRDefault="0071346A" w:rsidP="00444084">
      <w:pPr>
        <w:spacing w:after="0"/>
        <w:rPr>
          <w:rFonts w:ascii="Arial" w:hAnsi="Arial" w:cs="Arial"/>
          <w:i/>
          <w:sz w:val="18"/>
        </w:rPr>
      </w:pPr>
      <w:r w:rsidRPr="0071346A">
        <w:rPr>
          <w:rFonts w:ascii="Arial" w:hAnsi="Arial" w:cs="Arial"/>
          <w:i/>
          <w:sz w:val="18"/>
        </w:rPr>
        <w:t>Figure 7-3. Modeling as</w:t>
      </w:r>
      <w:r w:rsidR="002F43BE">
        <w:rPr>
          <w:rFonts w:ascii="Arial" w:hAnsi="Arial" w:cs="Arial"/>
          <w:i/>
          <w:sz w:val="18"/>
        </w:rPr>
        <w:t>s</w:t>
      </w:r>
      <w:r w:rsidRPr="0071346A">
        <w:rPr>
          <w:rFonts w:ascii="Arial" w:hAnsi="Arial" w:cs="Arial"/>
          <w:i/>
          <w:sz w:val="18"/>
        </w:rPr>
        <w:t>um</w:t>
      </w:r>
      <w:r w:rsidR="002F43BE">
        <w:rPr>
          <w:rFonts w:ascii="Arial" w:hAnsi="Arial" w:cs="Arial"/>
          <w:i/>
          <w:sz w:val="18"/>
        </w:rPr>
        <w:t>p</w:t>
      </w:r>
      <w:r w:rsidRPr="0071346A">
        <w:rPr>
          <w:rFonts w:ascii="Arial" w:hAnsi="Arial" w:cs="Arial"/>
          <w:i/>
          <w:sz w:val="18"/>
        </w:rPr>
        <w:t>tions for O-DRM scenario</w:t>
      </w:r>
    </w:p>
    <w:tbl>
      <w:tblPr>
        <w:tblpPr w:leftFromText="180" w:rightFromText="180" w:vertAnchor="text" w:horzAnchor="margin" w:tblpY="164"/>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55"/>
        <w:gridCol w:w="1800"/>
        <w:gridCol w:w="5686"/>
      </w:tblGrid>
      <w:tr w:rsidR="007C1806" w:rsidRPr="00813E82" w14:paraId="11608B04" w14:textId="77777777" w:rsidTr="009F5706">
        <w:trPr>
          <w:trHeight w:val="345"/>
        </w:trPr>
        <w:tc>
          <w:tcPr>
            <w:tcW w:w="2155" w:type="dxa"/>
            <w:shd w:val="clear" w:color="auto" w:fill="FFFFFF" w:themeFill="background1"/>
            <w:vAlign w:val="center"/>
          </w:tcPr>
          <w:p w14:paraId="7D9E1F09" w14:textId="770B91E9" w:rsidR="007C1806" w:rsidRPr="00276364" w:rsidRDefault="007C1806" w:rsidP="00060DBD">
            <w:pPr>
              <w:spacing w:after="0"/>
              <w:rPr>
                <w:rFonts w:ascii="Arial" w:hAnsi="Arial" w:cs="Arial"/>
                <w:b/>
                <w:sz w:val="18"/>
              </w:rPr>
            </w:pPr>
            <w:r w:rsidRPr="00276364">
              <w:rPr>
                <w:rFonts w:ascii="Arial" w:hAnsi="Arial" w:cs="Arial"/>
                <w:b/>
                <w:sz w:val="18"/>
              </w:rPr>
              <w:t>Abbreviation</w:t>
            </w:r>
          </w:p>
        </w:tc>
        <w:tc>
          <w:tcPr>
            <w:tcW w:w="7486" w:type="dxa"/>
            <w:gridSpan w:val="2"/>
            <w:shd w:val="clear" w:color="auto" w:fill="FFFFFF" w:themeFill="background1"/>
            <w:vAlign w:val="center"/>
          </w:tcPr>
          <w:p w14:paraId="3619A876" w14:textId="605DCBCA" w:rsidR="007C1806" w:rsidRPr="00276364" w:rsidRDefault="007C1806" w:rsidP="00060DBD">
            <w:pPr>
              <w:spacing w:after="0"/>
              <w:rPr>
                <w:rFonts w:ascii="Arial" w:hAnsi="Arial" w:cs="Arial"/>
                <w:sz w:val="18"/>
              </w:rPr>
            </w:pPr>
            <w:r w:rsidRPr="00276364">
              <w:rPr>
                <w:rFonts w:ascii="Arial" w:hAnsi="Arial" w:cs="Arial"/>
                <w:sz w:val="18"/>
              </w:rPr>
              <w:t>O-DRM</w:t>
            </w:r>
          </w:p>
        </w:tc>
      </w:tr>
      <w:tr w:rsidR="007A65AE" w:rsidRPr="00813E82" w14:paraId="3DFD2F81" w14:textId="77777777" w:rsidTr="009F5706">
        <w:trPr>
          <w:trHeight w:val="345"/>
        </w:trPr>
        <w:tc>
          <w:tcPr>
            <w:tcW w:w="2155" w:type="dxa"/>
            <w:shd w:val="clear" w:color="auto" w:fill="FFFFFF" w:themeFill="background1"/>
            <w:vAlign w:val="center"/>
          </w:tcPr>
          <w:p w14:paraId="13260704" w14:textId="36ED0EDF" w:rsidR="007A65AE" w:rsidRPr="00276364" w:rsidRDefault="007A65AE" w:rsidP="00060DBD">
            <w:pPr>
              <w:spacing w:after="0"/>
              <w:rPr>
                <w:rFonts w:ascii="Arial" w:hAnsi="Arial" w:cs="Arial"/>
                <w:b/>
                <w:sz w:val="18"/>
              </w:rPr>
            </w:pPr>
            <w:r w:rsidRPr="00276364">
              <w:rPr>
                <w:rFonts w:ascii="Arial" w:hAnsi="Arial" w:cs="Arial"/>
                <w:b/>
                <w:sz w:val="18"/>
              </w:rPr>
              <w:t>Coverage o</w:t>
            </w:r>
            <w:r w:rsidR="00060DBD" w:rsidRPr="00276364">
              <w:rPr>
                <w:rFonts w:ascii="Arial" w:hAnsi="Arial" w:cs="Arial"/>
                <w:b/>
                <w:sz w:val="18"/>
              </w:rPr>
              <w:t xml:space="preserve">r </w:t>
            </w:r>
            <w:r w:rsidR="003B2713" w:rsidRPr="00276364">
              <w:rPr>
                <w:rFonts w:ascii="Arial" w:hAnsi="Arial" w:cs="Arial"/>
                <w:b/>
                <w:sz w:val="18"/>
              </w:rPr>
              <w:t>funding-</w:t>
            </w:r>
            <w:r w:rsidRPr="00276364">
              <w:rPr>
                <w:rFonts w:ascii="Arial" w:hAnsi="Arial" w:cs="Arial"/>
                <w:b/>
                <w:sz w:val="18"/>
              </w:rPr>
              <w:t xml:space="preserve"> driven</w:t>
            </w:r>
            <w:r w:rsidR="00060DBD" w:rsidRPr="00276364">
              <w:rPr>
                <w:rFonts w:ascii="Arial" w:hAnsi="Arial" w:cs="Arial"/>
                <w:b/>
                <w:sz w:val="18"/>
              </w:rPr>
              <w:t>?</w:t>
            </w:r>
          </w:p>
        </w:tc>
        <w:tc>
          <w:tcPr>
            <w:tcW w:w="7486" w:type="dxa"/>
            <w:gridSpan w:val="2"/>
            <w:shd w:val="clear" w:color="auto" w:fill="FFFFFF" w:themeFill="background1"/>
            <w:vAlign w:val="center"/>
          </w:tcPr>
          <w:p w14:paraId="34E7DC5A" w14:textId="2F5B9AC5" w:rsidR="007A65AE" w:rsidRPr="00276364" w:rsidRDefault="003B2713" w:rsidP="00060DBD">
            <w:pPr>
              <w:spacing w:after="0"/>
              <w:rPr>
                <w:rFonts w:ascii="Arial" w:hAnsi="Arial" w:cs="Arial"/>
                <w:sz w:val="18"/>
              </w:rPr>
            </w:pPr>
            <w:r w:rsidRPr="00276364">
              <w:rPr>
                <w:rFonts w:ascii="Arial" w:hAnsi="Arial" w:cs="Arial"/>
                <w:sz w:val="18"/>
              </w:rPr>
              <w:t>Funding</w:t>
            </w:r>
            <w:r w:rsidR="007A65AE" w:rsidRPr="00276364">
              <w:rPr>
                <w:rFonts w:ascii="Arial" w:hAnsi="Arial" w:cs="Arial"/>
                <w:sz w:val="18"/>
              </w:rPr>
              <w:t>-driven</w:t>
            </w:r>
          </w:p>
        </w:tc>
      </w:tr>
      <w:tr w:rsidR="007A65AE" w:rsidRPr="00813E82" w14:paraId="654DFCC5" w14:textId="77777777" w:rsidTr="009F5706">
        <w:trPr>
          <w:trHeight w:val="244"/>
        </w:trPr>
        <w:tc>
          <w:tcPr>
            <w:tcW w:w="2155" w:type="dxa"/>
            <w:shd w:val="clear" w:color="auto" w:fill="FFFFFF" w:themeFill="background1"/>
            <w:vAlign w:val="center"/>
          </w:tcPr>
          <w:p w14:paraId="3514344B" w14:textId="77777777" w:rsidR="007A65AE" w:rsidRPr="00276364" w:rsidRDefault="007A65AE" w:rsidP="00060DBD">
            <w:pPr>
              <w:spacing w:after="0"/>
              <w:rPr>
                <w:rFonts w:ascii="Arial" w:hAnsi="Arial" w:cs="Arial"/>
                <w:b/>
                <w:sz w:val="18"/>
              </w:rPr>
            </w:pPr>
            <w:r w:rsidRPr="00276364">
              <w:rPr>
                <w:rFonts w:ascii="Arial" w:hAnsi="Arial" w:cs="Arial"/>
                <w:b/>
                <w:sz w:val="18"/>
              </w:rPr>
              <w:t>Coverage target</w:t>
            </w:r>
          </w:p>
        </w:tc>
        <w:tc>
          <w:tcPr>
            <w:tcW w:w="7486" w:type="dxa"/>
            <w:gridSpan w:val="2"/>
            <w:shd w:val="clear" w:color="auto" w:fill="FFFFFF" w:themeFill="background1"/>
            <w:vAlign w:val="center"/>
          </w:tcPr>
          <w:p w14:paraId="6326DF36" w14:textId="2C3CCCC6" w:rsidR="007A65AE" w:rsidRPr="00276364" w:rsidRDefault="008D00C9" w:rsidP="00060DBD">
            <w:pPr>
              <w:spacing w:after="0"/>
              <w:rPr>
                <w:rFonts w:ascii="Arial" w:hAnsi="Arial" w:cs="Arial"/>
                <w:sz w:val="18"/>
              </w:rPr>
            </w:pPr>
            <w:r>
              <w:rPr>
                <w:rFonts w:ascii="Arial" w:hAnsi="Arial" w:cs="Arial"/>
                <w:sz w:val="18"/>
              </w:rPr>
              <w:t>Maximized after accounting for savings from Optimization; Reaches 90% ART coverage for adult PLHIV (15 +) by 2030</w:t>
            </w:r>
          </w:p>
        </w:tc>
      </w:tr>
      <w:tr w:rsidR="009F5706" w:rsidRPr="00813E82" w14:paraId="5331572D" w14:textId="77777777" w:rsidTr="009F5706">
        <w:trPr>
          <w:trHeight w:val="230"/>
        </w:trPr>
        <w:tc>
          <w:tcPr>
            <w:tcW w:w="2155" w:type="dxa"/>
            <w:vMerge w:val="restart"/>
            <w:shd w:val="clear" w:color="auto" w:fill="FFFFFF" w:themeFill="background1"/>
            <w:vAlign w:val="center"/>
          </w:tcPr>
          <w:p w14:paraId="7BE70FD1" w14:textId="75957E5A" w:rsidR="009F5706" w:rsidRPr="00276364" w:rsidRDefault="009F5706" w:rsidP="009F5706">
            <w:pPr>
              <w:spacing w:after="0"/>
              <w:rPr>
                <w:rFonts w:ascii="Arial" w:hAnsi="Arial" w:cs="Arial"/>
                <w:b/>
                <w:sz w:val="18"/>
              </w:rPr>
            </w:pPr>
            <w:r w:rsidRPr="00276364">
              <w:rPr>
                <w:rFonts w:ascii="Arial" w:hAnsi="Arial" w:cs="Arial"/>
                <w:b/>
                <w:sz w:val="18"/>
              </w:rPr>
              <w:t>Funding constraint</w:t>
            </w:r>
          </w:p>
        </w:tc>
        <w:tc>
          <w:tcPr>
            <w:tcW w:w="1800" w:type="dxa"/>
            <w:shd w:val="clear" w:color="auto" w:fill="FFFFFF" w:themeFill="background1"/>
            <w:vAlign w:val="center"/>
          </w:tcPr>
          <w:p w14:paraId="6A56C799" w14:textId="77777777" w:rsidR="009F5706" w:rsidRPr="00276364" w:rsidRDefault="009F5706" w:rsidP="009F5706">
            <w:pPr>
              <w:spacing w:after="0"/>
              <w:rPr>
                <w:rFonts w:ascii="Arial" w:hAnsi="Arial" w:cs="Arial"/>
                <w:i/>
                <w:sz w:val="18"/>
              </w:rPr>
            </w:pPr>
            <w:r w:rsidRPr="00276364">
              <w:rPr>
                <w:rFonts w:ascii="Arial" w:hAnsi="Arial" w:cs="Arial"/>
                <w:i/>
                <w:sz w:val="18"/>
              </w:rPr>
              <w:t>PEPFAR</w:t>
            </w:r>
          </w:p>
        </w:tc>
        <w:tc>
          <w:tcPr>
            <w:tcW w:w="5686" w:type="dxa"/>
            <w:shd w:val="clear" w:color="auto" w:fill="FFFFFF" w:themeFill="background1"/>
            <w:vAlign w:val="center"/>
          </w:tcPr>
          <w:p w14:paraId="4F814207" w14:textId="2B3F788A" w:rsidR="009F5706" w:rsidRPr="00311475" w:rsidRDefault="009F5706" w:rsidP="009F5706">
            <w:pPr>
              <w:spacing w:after="0"/>
              <w:rPr>
                <w:rFonts w:ascii="Arial" w:hAnsi="Arial" w:cs="Arial"/>
                <w:sz w:val="18"/>
                <w:szCs w:val="18"/>
              </w:rPr>
            </w:pPr>
            <w:r w:rsidRPr="00311475">
              <w:rPr>
                <w:rFonts w:ascii="Arial" w:hAnsi="Arial" w:cs="Arial"/>
                <w:sz w:val="18"/>
                <w:szCs w:val="18"/>
              </w:rPr>
              <w:t xml:space="preserve">23% decline </w:t>
            </w:r>
            <w:r w:rsidR="00E67AAA">
              <w:rPr>
                <w:rFonts w:ascii="Arial" w:hAnsi="Arial" w:cs="Arial"/>
                <w:sz w:val="18"/>
                <w:szCs w:val="18"/>
              </w:rPr>
              <w:t xml:space="preserve">in </w:t>
            </w:r>
            <w:r w:rsidRPr="00311475">
              <w:rPr>
                <w:rFonts w:ascii="Arial" w:hAnsi="Arial" w:cs="Arial"/>
                <w:sz w:val="18"/>
                <w:szCs w:val="18"/>
              </w:rPr>
              <w:t>2020</w:t>
            </w:r>
            <w:r>
              <w:rPr>
                <w:rFonts w:ascii="Arial" w:hAnsi="Arial" w:cs="Arial"/>
                <w:sz w:val="18"/>
                <w:szCs w:val="18"/>
              </w:rPr>
              <w:t xml:space="preserve"> </w:t>
            </w:r>
          </w:p>
          <w:p w14:paraId="1E343065" w14:textId="50CED545" w:rsidR="009F5706" w:rsidRPr="00276364" w:rsidRDefault="009F5706" w:rsidP="009F5706">
            <w:pPr>
              <w:spacing w:after="0"/>
              <w:rPr>
                <w:rFonts w:ascii="Arial" w:hAnsi="Arial" w:cs="Arial"/>
                <w:sz w:val="18"/>
              </w:rPr>
            </w:pPr>
            <w:r w:rsidRPr="00311475">
              <w:rPr>
                <w:rFonts w:ascii="Arial" w:hAnsi="Arial" w:cs="Arial"/>
                <w:sz w:val="18"/>
                <w:szCs w:val="18"/>
              </w:rPr>
              <w:t>15% decline every 3 years after</w:t>
            </w:r>
            <w:r>
              <w:rPr>
                <w:rFonts w:ascii="Arial" w:hAnsi="Arial" w:cs="Arial"/>
                <w:sz w:val="18"/>
                <w:szCs w:val="18"/>
              </w:rPr>
              <w:t xml:space="preserve"> </w:t>
            </w:r>
          </w:p>
        </w:tc>
      </w:tr>
      <w:tr w:rsidR="009F5706" w:rsidRPr="00813E82" w14:paraId="2248DD92" w14:textId="77777777" w:rsidTr="009F5706">
        <w:trPr>
          <w:trHeight w:val="236"/>
        </w:trPr>
        <w:tc>
          <w:tcPr>
            <w:tcW w:w="2155" w:type="dxa"/>
            <w:vMerge/>
            <w:shd w:val="clear" w:color="auto" w:fill="FFFFFF" w:themeFill="background1"/>
            <w:vAlign w:val="center"/>
          </w:tcPr>
          <w:p w14:paraId="26EA33F0" w14:textId="77777777" w:rsidR="009F5706" w:rsidRPr="00276364" w:rsidRDefault="009F5706" w:rsidP="009F5706">
            <w:pPr>
              <w:spacing w:after="0"/>
              <w:rPr>
                <w:rFonts w:ascii="Arial" w:hAnsi="Arial" w:cs="Arial"/>
                <w:b/>
                <w:sz w:val="18"/>
              </w:rPr>
            </w:pPr>
          </w:p>
        </w:tc>
        <w:tc>
          <w:tcPr>
            <w:tcW w:w="1800" w:type="dxa"/>
            <w:shd w:val="clear" w:color="auto" w:fill="FFFFFF" w:themeFill="background1"/>
            <w:vAlign w:val="center"/>
          </w:tcPr>
          <w:p w14:paraId="01D748D2" w14:textId="77777777" w:rsidR="009F5706" w:rsidRPr="00276364" w:rsidRDefault="009F5706" w:rsidP="009F5706">
            <w:pPr>
              <w:spacing w:after="0"/>
              <w:rPr>
                <w:rFonts w:ascii="Arial" w:hAnsi="Arial" w:cs="Arial"/>
                <w:i/>
                <w:sz w:val="18"/>
              </w:rPr>
            </w:pPr>
            <w:r w:rsidRPr="00276364">
              <w:rPr>
                <w:rFonts w:ascii="Arial" w:hAnsi="Arial" w:cs="Arial"/>
                <w:i/>
                <w:sz w:val="18"/>
              </w:rPr>
              <w:t>Global Fund</w:t>
            </w:r>
          </w:p>
        </w:tc>
        <w:tc>
          <w:tcPr>
            <w:tcW w:w="5686" w:type="dxa"/>
            <w:shd w:val="clear" w:color="auto" w:fill="FFFFFF" w:themeFill="background1"/>
            <w:vAlign w:val="center"/>
          </w:tcPr>
          <w:p w14:paraId="3B115078" w14:textId="742025ED" w:rsidR="009F5706" w:rsidRPr="00276364" w:rsidRDefault="009F5706" w:rsidP="009F5706">
            <w:pPr>
              <w:spacing w:after="0"/>
              <w:rPr>
                <w:rFonts w:ascii="Arial" w:hAnsi="Arial" w:cs="Arial"/>
                <w:sz w:val="18"/>
              </w:rPr>
            </w:pPr>
            <w:r w:rsidRPr="00311475">
              <w:rPr>
                <w:rFonts w:ascii="Arial" w:hAnsi="Arial" w:cs="Arial"/>
                <w:sz w:val="18"/>
                <w:szCs w:val="18"/>
              </w:rPr>
              <w:t>10% decline every 3 years starting 202</w:t>
            </w:r>
            <w:r>
              <w:rPr>
                <w:rFonts w:ascii="Arial" w:hAnsi="Arial" w:cs="Arial"/>
                <w:sz w:val="18"/>
                <w:szCs w:val="18"/>
              </w:rPr>
              <w:t xml:space="preserve">1 </w:t>
            </w:r>
          </w:p>
        </w:tc>
      </w:tr>
      <w:tr w:rsidR="00060DBD" w:rsidRPr="00813E82" w14:paraId="7C131FD2" w14:textId="77777777" w:rsidTr="009F5706">
        <w:trPr>
          <w:trHeight w:val="234"/>
        </w:trPr>
        <w:tc>
          <w:tcPr>
            <w:tcW w:w="2155" w:type="dxa"/>
            <w:vMerge/>
            <w:shd w:val="clear" w:color="auto" w:fill="FFFFFF" w:themeFill="background1"/>
            <w:vAlign w:val="center"/>
          </w:tcPr>
          <w:p w14:paraId="6068E994" w14:textId="77777777" w:rsidR="00060DBD" w:rsidRPr="00276364" w:rsidRDefault="00060DBD" w:rsidP="00060DBD">
            <w:pPr>
              <w:spacing w:after="0"/>
              <w:rPr>
                <w:rFonts w:ascii="Arial" w:hAnsi="Arial" w:cs="Arial"/>
                <w:b/>
                <w:sz w:val="18"/>
              </w:rPr>
            </w:pPr>
          </w:p>
        </w:tc>
        <w:tc>
          <w:tcPr>
            <w:tcW w:w="1800" w:type="dxa"/>
            <w:shd w:val="clear" w:color="auto" w:fill="FFFFFF" w:themeFill="background1"/>
            <w:vAlign w:val="center"/>
          </w:tcPr>
          <w:p w14:paraId="33D5ADCE" w14:textId="77777777" w:rsidR="00060DBD" w:rsidRPr="00276364" w:rsidRDefault="00060DBD" w:rsidP="00060DBD">
            <w:pPr>
              <w:spacing w:after="0"/>
              <w:rPr>
                <w:rFonts w:ascii="Arial" w:hAnsi="Arial" w:cs="Arial"/>
                <w:i/>
                <w:sz w:val="18"/>
              </w:rPr>
            </w:pPr>
            <w:r w:rsidRPr="00276364">
              <w:rPr>
                <w:rFonts w:ascii="Arial" w:hAnsi="Arial" w:cs="Arial"/>
                <w:i/>
                <w:sz w:val="18"/>
              </w:rPr>
              <w:t>Domestic</w:t>
            </w:r>
          </w:p>
        </w:tc>
        <w:tc>
          <w:tcPr>
            <w:tcW w:w="5686" w:type="dxa"/>
            <w:shd w:val="clear" w:color="auto" w:fill="FFFFFF" w:themeFill="background1"/>
            <w:vAlign w:val="center"/>
          </w:tcPr>
          <w:p w14:paraId="277985EA" w14:textId="135802B7" w:rsidR="00060DBD" w:rsidRPr="00276364" w:rsidRDefault="00060DBD" w:rsidP="00060DBD">
            <w:pPr>
              <w:spacing w:after="0"/>
              <w:rPr>
                <w:rFonts w:ascii="Arial" w:hAnsi="Arial" w:cs="Arial"/>
                <w:sz w:val="18"/>
              </w:rPr>
            </w:pPr>
            <w:r w:rsidRPr="00276364">
              <w:rPr>
                <w:rFonts w:ascii="Arial" w:hAnsi="Arial" w:cs="Arial"/>
                <w:sz w:val="18"/>
              </w:rPr>
              <w:t>Increase</w:t>
            </w:r>
            <w:r w:rsidR="008D00C9">
              <w:rPr>
                <w:rFonts w:ascii="Arial" w:hAnsi="Arial" w:cs="Arial"/>
                <w:sz w:val="18"/>
              </w:rPr>
              <w:t>s from 55 M annually by</w:t>
            </w:r>
            <w:r w:rsidRPr="00276364">
              <w:rPr>
                <w:rFonts w:ascii="Arial" w:hAnsi="Arial" w:cs="Arial"/>
                <w:sz w:val="18"/>
              </w:rPr>
              <w:t xml:space="preserve"> </w:t>
            </w:r>
            <w:r w:rsidR="008D00C9">
              <w:rPr>
                <w:rFonts w:ascii="Arial" w:hAnsi="Arial" w:cs="Arial"/>
                <w:sz w:val="18"/>
              </w:rPr>
              <w:t>3</w:t>
            </w:r>
            <w:r w:rsidRPr="00276364">
              <w:rPr>
                <w:rFonts w:ascii="Arial" w:hAnsi="Arial" w:cs="Arial"/>
                <w:sz w:val="18"/>
              </w:rPr>
              <w:t xml:space="preserve">-14 M a year (see above), reaching </w:t>
            </w:r>
            <w:r w:rsidR="000807B2">
              <w:rPr>
                <w:rFonts w:ascii="Arial" w:hAnsi="Arial" w:cs="Arial"/>
                <w:sz w:val="18"/>
              </w:rPr>
              <w:t xml:space="preserve">USD </w:t>
            </w:r>
            <w:r w:rsidRPr="00276364">
              <w:rPr>
                <w:rFonts w:ascii="Arial" w:hAnsi="Arial" w:cs="Arial"/>
                <w:sz w:val="18"/>
              </w:rPr>
              <w:t>174 M in 2030</w:t>
            </w:r>
          </w:p>
        </w:tc>
      </w:tr>
      <w:tr w:rsidR="009F5706" w:rsidRPr="00813E82" w14:paraId="6219122B" w14:textId="77777777" w:rsidTr="009F5706">
        <w:trPr>
          <w:trHeight w:val="234"/>
        </w:trPr>
        <w:tc>
          <w:tcPr>
            <w:tcW w:w="2155" w:type="dxa"/>
            <w:vMerge/>
            <w:shd w:val="clear" w:color="auto" w:fill="FFFFFF" w:themeFill="background1"/>
            <w:vAlign w:val="center"/>
          </w:tcPr>
          <w:p w14:paraId="2D2AEA0A" w14:textId="77777777" w:rsidR="009F5706" w:rsidRPr="00276364" w:rsidRDefault="009F5706" w:rsidP="00060DBD">
            <w:pPr>
              <w:spacing w:after="0"/>
              <w:rPr>
                <w:rFonts w:ascii="Arial" w:hAnsi="Arial" w:cs="Arial"/>
                <w:b/>
                <w:sz w:val="18"/>
              </w:rPr>
            </w:pPr>
          </w:p>
        </w:tc>
        <w:tc>
          <w:tcPr>
            <w:tcW w:w="1800" w:type="dxa"/>
            <w:shd w:val="clear" w:color="auto" w:fill="FFFFFF" w:themeFill="background1"/>
            <w:vAlign w:val="center"/>
          </w:tcPr>
          <w:p w14:paraId="6261504E" w14:textId="4E948E82" w:rsidR="009F5706" w:rsidRPr="00276364" w:rsidRDefault="009F5706" w:rsidP="00060DBD">
            <w:pPr>
              <w:spacing w:after="0"/>
              <w:rPr>
                <w:rFonts w:ascii="Arial" w:hAnsi="Arial" w:cs="Arial"/>
                <w:sz w:val="18"/>
              </w:rPr>
            </w:pPr>
            <w:r>
              <w:rPr>
                <w:rFonts w:ascii="Arial" w:hAnsi="Arial" w:cs="Arial"/>
                <w:sz w:val="18"/>
              </w:rPr>
              <w:t>2019 funding level</w:t>
            </w:r>
          </w:p>
        </w:tc>
        <w:tc>
          <w:tcPr>
            <w:tcW w:w="5686" w:type="dxa"/>
            <w:shd w:val="clear" w:color="auto" w:fill="FFFFFF" w:themeFill="background1"/>
            <w:vAlign w:val="center"/>
          </w:tcPr>
          <w:p w14:paraId="4A52B5E6" w14:textId="4BE17455" w:rsidR="009F5706" w:rsidRPr="00276364" w:rsidRDefault="009F5706" w:rsidP="00060DBD">
            <w:pPr>
              <w:spacing w:after="0"/>
              <w:rPr>
                <w:rFonts w:ascii="Arial" w:hAnsi="Arial" w:cs="Arial"/>
                <w:sz w:val="18"/>
              </w:rPr>
            </w:pPr>
            <w:r>
              <w:rPr>
                <w:rFonts w:ascii="Arial" w:hAnsi="Arial" w:cs="Arial"/>
                <w:sz w:val="18"/>
              </w:rPr>
              <w:t xml:space="preserve">USD </w:t>
            </w:r>
            <w:r w:rsidR="006E3A04">
              <w:rPr>
                <w:rFonts w:ascii="Arial" w:hAnsi="Arial" w:cs="Arial"/>
                <w:sz w:val="18"/>
              </w:rPr>
              <w:t>4</w:t>
            </w:r>
            <w:r w:rsidR="00E67AAA">
              <w:rPr>
                <w:rFonts w:ascii="Arial" w:hAnsi="Arial" w:cs="Arial"/>
                <w:sz w:val="18"/>
              </w:rPr>
              <w:t>5</w:t>
            </w:r>
            <w:r w:rsidR="00E7689C">
              <w:rPr>
                <w:rFonts w:ascii="Arial" w:hAnsi="Arial" w:cs="Arial"/>
                <w:sz w:val="18"/>
              </w:rPr>
              <w:t>3</w:t>
            </w:r>
            <w:r>
              <w:rPr>
                <w:rFonts w:ascii="Arial" w:hAnsi="Arial" w:cs="Arial"/>
                <w:sz w:val="18"/>
              </w:rPr>
              <w:t xml:space="preserve"> M</w:t>
            </w:r>
          </w:p>
        </w:tc>
      </w:tr>
      <w:tr w:rsidR="00060DBD" w:rsidRPr="00813E82" w14:paraId="656F2E0A" w14:textId="77777777" w:rsidTr="009F5706">
        <w:trPr>
          <w:trHeight w:val="234"/>
        </w:trPr>
        <w:tc>
          <w:tcPr>
            <w:tcW w:w="2155" w:type="dxa"/>
            <w:vMerge/>
            <w:shd w:val="clear" w:color="auto" w:fill="FFFFFF" w:themeFill="background1"/>
            <w:vAlign w:val="center"/>
          </w:tcPr>
          <w:p w14:paraId="3B310193" w14:textId="77777777" w:rsidR="00060DBD" w:rsidRPr="00276364" w:rsidRDefault="00060DBD" w:rsidP="00060DBD">
            <w:pPr>
              <w:spacing w:after="0"/>
              <w:rPr>
                <w:rFonts w:ascii="Arial" w:hAnsi="Arial" w:cs="Arial"/>
                <w:b/>
                <w:sz w:val="18"/>
              </w:rPr>
            </w:pPr>
          </w:p>
        </w:tc>
        <w:tc>
          <w:tcPr>
            <w:tcW w:w="1800" w:type="dxa"/>
            <w:shd w:val="clear" w:color="auto" w:fill="FFFFFF" w:themeFill="background1"/>
            <w:vAlign w:val="center"/>
          </w:tcPr>
          <w:p w14:paraId="621644C2" w14:textId="79616BA3" w:rsidR="00060DBD" w:rsidRPr="00276364" w:rsidRDefault="00060DBD" w:rsidP="00060DBD">
            <w:pPr>
              <w:spacing w:after="0"/>
              <w:rPr>
                <w:rFonts w:ascii="Arial" w:hAnsi="Arial" w:cs="Arial"/>
                <w:sz w:val="18"/>
              </w:rPr>
            </w:pPr>
            <w:r w:rsidRPr="00276364">
              <w:rPr>
                <w:rFonts w:ascii="Arial" w:hAnsi="Arial" w:cs="Arial"/>
                <w:sz w:val="18"/>
              </w:rPr>
              <w:t>2030 funding level</w:t>
            </w:r>
          </w:p>
        </w:tc>
        <w:tc>
          <w:tcPr>
            <w:tcW w:w="5686" w:type="dxa"/>
            <w:shd w:val="clear" w:color="auto" w:fill="FFFFFF" w:themeFill="background1"/>
            <w:vAlign w:val="center"/>
          </w:tcPr>
          <w:p w14:paraId="0B58B6F3" w14:textId="0893E2F3" w:rsidR="00060DBD" w:rsidRPr="00276364" w:rsidRDefault="00060DBD" w:rsidP="00060DBD">
            <w:pPr>
              <w:spacing w:after="0"/>
              <w:rPr>
                <w:rFonts w:ascii="Arial" w:hAnsi="Arial" w:cs="Arial"/>
                <w:sz w:val="18"/>
              </w:rPr>
            </w:pPr>
            <w:r w:rsidRPr="00276364">
              <w:rPr>
                <w:rFonts w:ascii="Arial" w:hAnsi="Arial" w:cs="Arial"/>
                <w:sz w:val="18"/>
              </w:rPr>
              <w:t>USD 4</w:t>
            </w:r>
            <w:r w:rsidR="00E7689C">
              <w:rPr>
                <w:rFonts w:ascii="Arial" w:hAnsi="Arial" w:cs="Arial"/>
                <w:sz w:val="18"/>
              </w:rPr>
              <w:t>19</w:t>
            </w:r>
            <w:r w:rsidRPr="00276364">
              <w:rPr>
                <w:rFonts w:ascii="Arial" w:hAnsi="Arial" w:cs="Arial"/>
                <w:sz w:val="18"/>
              </w:rPr>
              <w:t xml:space="preserve"> M</w:t>
            </w:r>
          </w:p>
        </w:tc>
      </w:tr>
      <w:tr w:rsidR="00060DBD" w:rsidRPr="00813E82" w14:paraId="2E0DB50D" w14:textId="77777777" w:rsidTr="009F5706">
        <w:trPr>
          <w:trHeight w:val="234"/>
        </w:trPr>
        <w:tc>
          <w:tcPr>
            <w:tcW w:w="2155" w:type="dxa"/>
            <w:vMerge/>
            <w:shd w:val="clear" w:color="auto" w:fill="FFFFFF" w:themeFill="background1"/>
            <w:vAlign w:val="center"/>
          </w:tcPr>
          <w:p w14:paraId="64DA897A" w14:textId="77777777" w:rsidR="00060DBD" w:rsidRPr="00276364" w:rsidRDefault="00060DBD" w:rsidP="00060DBD">
            <w:pPr>
              <w:spacing w:after="0"/>
              <w:rPr>
                <w:rFonts w:ascii="Arial" w:hAnsi="Arial" w:cs="Arial"/>
                <w:b/>
                <w:sz w:val="18"/>
              </w:rPr>
            </w:pPr>
          </w:p>
        </w:tc>
        <w:tc>
          <w:tcPr>
            <w:tcW w:w="1800" w:type="dxa"/>
            <w:shd w:val="clear" w:color="auto" w:fill="FFFFFF" w:themeFill="background1"/>
            <w:vAlign w:val="center"/>
          </w:tcPr>
          <w:p w14:paraId="2ED90296" w14:textId="1F030FCA" w:rsidR="00060DBD" w:rsidRPr="00276364" w:rsidRDefault="00060DBD" w:rsidP="00060DBD">
            <w:pPr>
              <w:spacing w:after="0"/>
              <w:rPr>
                <w:rFonts w:ascii="Arial" w:hAnsi="Arial" w:cs="Arial"/>
                <w:sz w:val="18"/>
              </w:rPr>
            </w:pPr>
            <w:r w:rsidRPr="00276364">
              <w:rPr>
                <w:rFonts w:ascii="Arial" w:hAnsi="Arial" w:cs="Arial"/>
                <w:sz w:val="18"/>
              </w:rPr>
              <w:t>Cumulative funding</w:t>
            </w:r>
            <w:r w:rsidR="0022303B">
              <w:rPr>
                <w:rFonts w:ascii="Arial" w:hAnsi="Arial" w:cs="Arial"/>
                <w:sz w:val="18"/>
              </w:rPr>
              <w:t xml:space="preserve"> (2019-2030)</w:t>
            </w:r>
          </w:p>
        </w:tc>
        <w:tc>
          <w:tcPr>
            <w:tcW w:w="5686" w:type="dxa"/>
            <w:shd w:val="clear" w:color="auto" w:fill="FFFFFF" w:themeFill="background1"/>
            <w:vAlign w:val="center"/>
          </w:tcPr>
          <w:p w14:paraId="5644F23B" w14:textId="38451F0A" w:rsidR="00060DBD" w:rsidRPr="00276364" w:rsidRDefault="00060DBD" w:rsidP="00060DBD">
            <w:pPr>
              <w:spacing w:after="0"/>
              <w:rPr>
                <w:rFonts w:ascii="Arial" w:hAnsi="Arial" w:cs="Arial"/>
                <w:sz w:val="18"/>
              </w:rPr>
            </w:pPr>
            <w:r w:rsidRPr="00276364">
              <w:rPr>
                <w:rFonts w:ascii="Arial" w:hAnsi="Arial" w:cs="Arial"/>
                <w:sz w:val="18"/>
              </w:rPr>
              <w:t>USD 5.</w:t>
            </w:r>
            <w:r w:rsidR="00E67AAA">
              <w:rPr>
                <w:rFonts w:ascii="Arial" w:hAnsi="Arial" w:cs="Arial"/>
                <w:sz w:val="18"/>
              </w:rPr>
              <w:t>2</w:t>
            </w:r>
            <w:r w:rsidRPr="00276364">
              <w:rPr>
                <w:rFonts w:ascii="Arial" w:hAnsi="Arial" w:cs="Arial"/>
                <w:sz w:val="18"/>
              </w:rPr>
              <w:t xml:space="preserve"> B</w:t>
            </w:r>
          </w:p>
        </w:tc>
      </w:tr>
      <w:tr w:rsidR="00A81BE0" w:rsidRPr="00813E82" w14:paraId="77ACC300" w14:textId="77777777" w:rsidTr="009F5706">
        <w:trPr>
          <w:trHeight w:val="244"/>
        </w:trPr>
        <w:tc>
          <w:tcPr>
            <w:tcW w:w="2155" w:type="dxa"/>
            <w:shd w:val="clear" w:color="auto" w:fill="FFFFFF" w:themeFill="background1"/>
            <w:vAlign w:val="center"/>
          </w:tcPr>
          <w:p w14:paraId="04B8B5E0" w14:textId="42DB3E38" w:rsidR="00A81BE0" w:rsidRPr="00276364" w:rsidRDefault="00311475" w:rsidP="00060DBD">
            <w:pPr>
              <w:spacing w:after="0"/>
              <w:rPr>
                <w:rFonts w:ascii="Arial" w:hAnsi="Arial" w:cs="Arial"/>
                <w:b/>
                <w:sz w:val="18"/>
              </w:rPr>
            </w:pPr>
            <w:r>
              <w:rPr>
                <w:rFonts w:ascii="Arial" w:hAnsi="Arial" w:cs="Arial"/>
                <w:b/>
                <w:sz w:val="18"/>
              </w:rPr>
              <w:t>Optimization</w:t>
            </w:r>
          </w:p>
        </w:tc>
        <w:tc>
          <w:tcPr>
            <w:tcW w:w="7486" w:type="dxa"/>
            <w:gridSpan w:val="2"/>
            <w:shd w:val="clear" w:color="auto" w:fill="FFFFFF" w:themeFill="background1"/>
            <w:vAlign w:val="center"/>
          </w:tcPr>
          <w:p w14:paraId="3D260C25" w14:textId="4B11862C" w:rsidR="00A81BE0" w:rsidRPr="00276364" w:rsidRDefault="00311475" w:rsidP="00060DBD">
            <w:pPr>
              <w:spacing w:after="0"/>
              <w:rPr>
                <w:rFonts w:ascii="Arial" w:hAnsi="Arial" w:cs="Arial"/>
                <w:sz w:val="18"/>
              </w:rPr>
            </w:pPr>
            <w:r>
              <w:rPr>
                <w:rFonts w:ascii="Arial" w:hAnsi="Arial" w:cs="Arial"/>
                <w:sz w:val="18"/>
              </w:rPr>
              <w:t>ART technical efficiencies and efficient testing strategy applied at scale. Prevention intervention prioritization re-evaluated for available funding envelope.</w:t>
            </w:r>
          </w:p>
        </w:tc>
      </w:tr>
    </w:tbl>
    <w:p w14:paraId="1604E2CD" w14:textId="547D8101" w:rsidR="000E543A" w:rsidRDefault="000E543A" w:rsidP="000E543A">
      <w:pPr>
        <w:spacing w:after="0"/>
        <w:rPr>
          <w:rFonts w:ascii="Arial" w:hAnsi="Arial" w:cs="Arial"/>
        </w:rPr>
      </w:pPr>
    </w:p>
    <w:p w14:paraId="6DCAD57B" w14:textId="24DBD78B" w:rsidR="000E543A" w:rsidRDefault="001005D4" w:rsidP="000E543A">
      <w:pPr>
        <w:pStyle w:val="Heading2"/>
        <w:rPr>
          <w:rFonts w:ascii="Arial" w:hAnsi="Arial" w:cs="Arial"/>
          <w:b/>
          <w:color w:val="000000" w:themeColor="text1"/>
        </w:rPr>
      </w:pPr>
      <w:bookmarkStart w:id="113" w:name="_Toc57035207"/>
      <w:r>
        <w:rPr>
          <w:rFonts w:ascii="Arial" w:hAnsi="Arial" w:cs="Arial"/>
          <w:b/>
          <w:color w:val="000000" w:themeColor="text1"/>
        </w:rPr>
        <w:t>Projected a</w:t>
      </w:r>
      <w:r w:rsidR="000E543A" w:rsidRPr="000E543A">
        <w:rPr>
          <w:rFonts w:ascii="Arial" w:hAnsi="Arial" w:cs="Arial"/>
          <w:b/>
          <w:color w:val="000000" w:themeColor="text1"/>
        </w:rPr>
        <w:t>vailable resources</w:t>
      </w:r>
      <w:bookmarkEnd w:id="113"/>
    </w:p>
    <w:p w14:paraId="69319898" w14:textId="77777777" w:rsidR="000E543A" w:rsidRPr="000E543A" w:rsidRDefault="000E543A" w:rsidP="00444084">
      <w:pPr>
        <w:spacing w:after="0"/>
      </w:pPr>
    </w:p>
    <w:p w14:paraId="5B605B92" w14:textId="199460B4" w:rsidR="00F523A7" w:rsidRDefault="00F523A7" w:rsidP="00F523A7">
      <w:pPr>
        <w:rPr>
          <w:rFonts w:ascii="Arial" w:hAnsi="Arial" w:cs="Arial"/>
        </w:rPr>
      </w:pPr>
      <w:r w:rsidRPr="0071750D">
        <w:rPr>
          <w:rFonts w:ascii="Arial" w:hAnsi="Arial" w:cs="Arial"/>
        </w:rPr>
        <w:t xml:space="preserve">If domestic funding increases incrementally each year as projected above to </w:t>
      </w:r>
      <w:r>
        <w:rPr>
          <w:rFonts w:ascii="Arial" w:hAnsi="Arial" w:cs="Arial"/>
        </w:rPr>
        <w:t xml:space="preserve">USD </w:t>
      </w:r>
      <w:r w:rsidRPr="0071750D">
        <w:rPr>
          <w:rFonts w:ascii="Arial" w:hAnsi="Arial" w:cs="Arial"/>
        </w:rPr>
        <w:t xml:space="preserve">174 </w:t>
      </w:r>
      <w:r>
        <w:rPr>
          <w:rFonts w:ascii="Arial" w:hAnsi="Arial" w:cs="Arial"/>
        </w:rPr>
        <w:t xml:space="preserve">M </w:t>
      </w:r>
      <w:r w:rsidRPr="0071750D">
        <w:rPr>
          <w:rFonts w:ascii="Arial" w:hAnsi="Arial" w:cs="Arial"/>
        </w:rPr>
        <w:t>in 2030,</w:t>
      </w:r>
      <w:r>
        <w:rPr>
          <w:rFonts w:ascii="Arial" w:hAnsi="Arial" w:cs="Arial"/>
        </w:rPr>
        <w:t xml:space="preserve"> these additional resources could help offset the losses in donor funding, which are estimated at over USD 800 M over the next 12 years under this scenario as compared to the </w:t>
      </w:r>
      <w:r w:rsidR="00C527FE">
        <w:rPr>
          <w:rFonts w:ascii="Arial" w:hAnsi="Arial" w:cs="Arial"/>
        </w:rPr>
        <w:t>CC</w:t>
      </w:r>
      <w:r>
        <w:rPr>
          <w:rFonts w:ascii="Arial" w:hAnsi="Arial" w:cs="Arial"/>
        </w:rPr>
        <w:t xml:space="preserve"> scenario. Cumulative resources under the O-DRM scenario would amount to 9</w:t>
      </w:r>
      <w:r w:rsidR="00B1089B">
        <w:rPr>
          <w:rFonts w:ascii="Arial" w:hAnsi="Arial" w:cs="Arial"/>
        </w:rPr>
        <w:t>0</w:t>
      </w:r>
      <w:r>
        <w:rPr>
          <w:rFonts w:ascii="Arial" w:hAnsi="Arial" w:cs="Arial"/>
        </w:rPr>
        <w:t xml:space="preserve">% of the resources available under the </w:t>
      </w:r>
      <w:r w:rsidR="007C4173">
        <w:rPr>
          <w:rFonts w:ascii="Arial" w:hAnsi="Arial" w:cs="Arial"/>
        </w:rPr>
        <w:t>Constant Coverage Scenario</w:t>
      </w:r>
      <w:r>
        <w:rPr>
          <w:rFonts w:ascii="Arial" w:hAnsi="Arial" w:cs="Arial"/>
        </w:rPr>
        <w:t xml:space="preserve"> from 2019-2030</w:t>
      </w:r>
      <w:r w:rsidR="00B1089B">
        <w:rPr>
          <w:rFonts w:ascii="Arial" w:hAnsi="Arial" w:cs="Arial"/>
        </w:rPr>
        <w:t>.</w:t>
      </w:r>
      <w:r>
        <w:rPr>
          <w:rFonts w:ascii="Arial" w:hAnsi="Arial" w:cs="Arial"/>
        </w:rPr>
        <w:t xml:space="preserve">  In 2030, total funding under O-DRM would be USD 4</w:t>
      </w:r>
      <w:r w:rsidR="00B1089B">
        <w:rPr>
          <w:rFonts w:ascii="Arial" w:hAnsi="Arial" w:cs="Arial"/>
        </w:rPr>
        <w:t>19</w:t>
      </w:r>
      <w:r>
        <w:rPr>
          <w:rFonts w:ascii="Arial" w:hAnsi="Arial" w:cs="Arial"/>
        </w:rPr>
        <w:t xml:space="preserve"> Million compared to USD 500 Million under the </w:t>
      </w:r>
      <w:r w:rsidR="007C4173">
        <w:rPr>
          <w:rFonts w:ascii="Arial" w:hAnsi="Arial" w:cs="Arial"/>
        </w:rPr>
        <w:t>CC Scenario</w:t>
      </w:r>
      <w:r>
        <w:rPr>
          <w:rFonts w:ascii="Arial" w:hAnsi="Arial" w:cs="Arial"/>
        </w:rPr>
        <w:t xml:space="preserve"> and USD 32</w:t>
      </w:r>
      <w:r w:rsidR="00B1089B">
        <w:rPr>
          <w:rFonts w:ascii="Arial" w:hAnsi="Arial" w:cs="Arial"/>
        </w:rPr>
        <w:t>4</w:t>
      </w:r>
      <w:r>
        <w:rPr>
          <w:rFonts w:ascii="Arial" w:hAnsi="Arial" w:cs="Arial"/>
        </w:rPr>
        <w:t xml:space="preserve"> M under the O-DDF scenario.</w:t>
      </w:r>
    </w:p>
    <w:p w14:paraId="7780376B" w14:textId="5BFC4DD8" w:rsidR="000E543A" w:rsidRPr="00422204" w:rsidRDefault="00E46497" w:rsidP="00276364">
      <w:pPr>
        <w:spacing w:after="0"/>
        <w:rPr>
          <w:rFonts w:ascii="Arial" w:hAnsi="Arial" w:cs="Arial"/>
          <w:i/>
          <w:sz w:val="18"/>
        </w:rPr>
      </w:pPr>
      <w:r w:rsidRPr="00422204">
        <w:rPr>
          <w:rFonts w:ascii="Arial" w:hAnsi="Arial" w:cs="Arial"/>
          <w:i/>
          <w:sz w:val="18"/>
        </w:rPr>
        <w:t xml:space="preserve">Figure </w:t>
      </w:r>
      <w:r w:rsidR="0071346A" w:rsidRPr="00422204">
        <w:rPr>
          <w:rFonts w:ascii="Arial" w:hAnsi="Arial" w:cs="Arial"/>
          <w:i/>
          <w:sz w:val="18"/>
        </w:rPr>
        <w:t>7-4</w:t>
      </w:r>
      <w:r w:rsidRPr="00422204">
        <w:rPr>
          <w:rFonts w:ascii="Arial" w:hAnsi="Arial" w:cs="Arial"/>
          <w:i/>
          <w:sz w:val="18"/>
        </w:rPr>
        <w:t>. Available resources 2019-2030</w:t>
      </w:r>
      <w:r w:rsidR="000E543A" w:rsidRPr="00E41D5E">
        <w:rPr>
          <w:noProof/>
        </w:rPr>
        <w:drawing>
          <wp:anchor distT="0" distB="0" distL="114300" distR="114300" simplePos="0" relativeHeight="251717632" behindDoc="0" locked="0" layoutInCell="1" allowOverlap="1" wp14:anchorId="472456A6" wp14:editId="5A38FF3E">
            <wp:simplePos x="0" y="0"/>
            <wp:positionH relativeFrom="column">
              <wp:posOffset>0</wp:posOffset>
            </wp:positionH>
            <wp:positionV relativeFrom="paragraph">
              <wp:posOffset>251460</wp:posOffset>
            </wp:positionV>
            <wp:extent cx="5029200" cy="2468880"/>
            <wp:effectExtent l="0" t="0" r="0" b="7620"/>
            <wp:wrapTopAndBottom/>
            <wp:docPr id="101" name="Chart 101">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2AAF8728" w14:textId="02EC71C1" w:rsidR="000E543A" w:rsidRPr="00422204" w:rsidRDefault="000E543A" w:rsidP="000E543A">
      <w:pPr>
        <w:spacing w:after="0"/>
        <w:rPr>
          <w:rFonts w:ascii="Arial" w:hAnsi="Arial" w:cs="Arial"/>
        </w:rPr>
      </w:pPr>
    </w:p>
    <w:p w14:paraId="74C251F3" w14:textId="77777777" w:rsidR="00CF2E58" w:rsidRDefault="00CF2E58" w:rsidP="00CF2E58">
      <w:pPr>
        <w:spacing w:after="0"/>
        <w:rPr>
          <w:rFonts w:ascii="Arial" w:hAnsi="Arial" w:cs="Arial"/>
        </w:rPr>
      </w:pPr>
      <w:r>
        <w:rPr>
          <w:rFonts w:ascii="Arial" w:hAnsi="Arial" w:cs="Arial"/>
        </w:rPr>
        <w:t>O-DRM would have important implications for long-term sustainability of the program and transitioning financial oversight from external donors to the Government. If domestic contributions were to increase according to these projections, the composition of the program financing would shift from less than 10% government funding to more than a third government funded, yet donor financing would still make up the majority of HIV spending in Tanzania.</w:t>
      </w:r>
    </w:p>
    <w:p w14:paraId="32D1AAB9" w14:textId="18FB7562" w:rsidR="000E543A" w:rsidRPr="008D04B1" w:rsidRDefault="000E543A" w:rsidP="000E543A">
      <w:pPr>
        <w:spacing w:after="0"/>
        <w:rPr>
          <w:rFonts w:ascii="Arial" w:hAnsi="Arial" w:cs="Arial"/>
          <w:i/>
          <w:sz w:val="18"/>
        </w:rPr>
      </w:pPr>
    </w:p>
    <w:p w14:paraId="641D0641" w14:textId="4C8EA890" w:rsidR="00060DBD" w:rsidRDefault="000E543A" w:rsidP="000E543A">
      <w:pPr>
        <w:spacing w:after="0"/>
        <w:rPr>
          <w:rFonts w:ascii="Arial" w:hAnsi="Arial" w:cs="Arial"/>
        </w:rPr>
      </w:pPr>
      <w:r w:rsidRPr="008D04B1">
        <w:rPr>
          <w:rFonts w:ascii="Arial" w:hAnsi="Arial" w:cs="Arial"/>
          <w:i/>
          <w:sz w:val="18"/>
        </w:rPr>
        <w:t xml:space="preserve">Figure </w:t>
      </w:r>
      <w:r w:rsidR="0071346A">
        <w:rPr>
          <w:rFonts w:ascii="Arial" w:hAnsi="Arial" w:cs="Arial"/>
          <w:i/>
          <w:sz w:val="18"/>
        </w:rPr>
        <w:t>7-5</w:t>
      </w:r>
      <w:r w:rsidRPr="008D04B1">
        <w:rPr>
          <w:rFonts w:ascii="Arial" w:hAnsi="Arial" w:cs="Arial"/>
          <w:i/>
          <w:sz w:val="18"/>
        </w:rPr>
        <w:t xml:space="preserve">. </w:t>
      </w:r>
      <w:r w:rsidR="004066EA">
        <w:rPr>
          <w:rFonts w:ascii="Arial" w:hAnsi="Arial" w:cs="Arial"/>
          <w:i/>
          <w:sz w:val="18"/>
        </w:rPr>
        <w:t>Change</w:t>
      </w:r>
      <w:r w:rsidR="003049DA">
        <w:rPr>
          <w:rFonts w:ascii="Arial" w:hAnsi="Arial" w:cs="Arial"/>
          <w:i/>
          <w:sz w:val="18"/>
        </w:rPr>
        <w:t>s</w:t>
      </w:r>
      <w:r w:rsidR="004066EA">
        <w:rPr>
          <w:rFonts w:ascii="Arial" w:hAnsi="Arial" w:cs="Arial"/>
          <w:i/>
          <w:sz w:val="18"/>
        </w:rPr>
        <w:t xml:space="preserve"> in funding contributions over time</w:t>
      </w:r>
      <w:r w:rsidR="008D04B1">
        <w:rPr>
          <w:rFonts w:ascii="Arial" w:hAnsi="Arial" w:cs="Arial"/>
          <w:i/>
          <w:sz w:val="18"/>
        </w:rPr>
        <w:t xml:space="preserve"> under O-DRM</w:t>
      </w:r>
    </w:p>
    <w:p w14:paraId="52A301E8" w14:textId="03D1BF38" w:rsidR="000E543A" w:rsidRPr="0071750D" w:rsidRDefault="004066EA" w:rsidP="000E543A">
      <w:pPr>
        <w:spacing w:after="0"/>
        <w:rPr>
          <w:rFonts w:ascii="Arial" w:hAnsi="Arial" w:cs="Arial"/>
        </w:rPr>
      </w:pPr>
      <w:r>
        <w:rPr>
          <w:rFonts w:ascii="Arial" w:hAnsi="Arial" w:cs="Arial"/>
          <w:noProof/>
        </w:rPr>
        <w:drawing>
          <wp:inline distT="0" distB="0" distL="0" distR="0" wp14:anchorId="20A1810A" wp14:editId="7600D220">
            <wp:extent cx="5782733" cy="3200400"/>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0CC19E" w14:textId="366CBEC3" w:rsidR="00813E82" w:rsidRDefault="00813E82" w:rsidP="00813E82"/>
    <w:p w14:paraId="04DF1C0E" w14:textId="4DA4C046" w:rsidR="00813E82" w:rsidRDefault="00813E82" w:rsidP="00813E82"/>
    <w:p w14:paraId="3ACB0492" w14:textId="77777777" w:rsidR="00813E82" w:rsidRDefault="00813E82" w:rsidP="00444084">
      <w:pPr>
        <w:pStyle w:val="Heading2"/>
        <w:spacing w:before="0"/>
        <w:rPr>
          <w:rFonts w:ascii="Arial" w:hAnsi="Arial" w:cs="Arial"/>
          <w:b/>
          <w:color w:val="000000" w:themeColor="text1"/>
        </w:rPr>
      </w:pPr>
    </w:p>
    <w:p w14:paraId="4E988214" w14:textId="0CDDF9F6" w:rsidR="00B12421" w:rsidRPr="000E543A" w:rsidRDefault="0034381A" w:rsidP="00444084">
      <w:pPr>
        <w:pStyle w:val="Heading2"/>
        <w:spacing w:before="0"/>
        <w:rPr>
          <w:rFonts w:ascii="Arial" w:hAnsi="Arial" w:cs="Arial"/>
          <w:b/>
          <w:color w:val="000000" w:themeColor="text1"/>
        </w:rPr>
      </w:pPr>
      <w:bookmarkStart w:id="114" w:name="_Toc57035208"/>
      <w:r w:rsidRPr="000E543A">
        <w:rPr>
          <w:rFonts w:ascii="Arial" w:hAnsi="Arial" w:cs="Arial"/>
          <w:b/>
          <w:color w:val="000000" w:themeColor="text1"/>
        </w:rPr>
        <w:t>Estimated impact of the additional domestic contribution</w:t>
      </w:r>
      <w:bookmarkEnd w:id="114"/>
      <w:r w:rsidRPr="000E543A">
        <w:rPr>
          <w:rFonts w:ascii="Arial" w:hAnsi="Arial" w:cs="Arial"/>
          <w:b/>
          <w:color w:val="000000" w:themeColor="text1"/>
        </w:rPr>
        <w:t xml:space="preserve"> </w:t>
      </w:r>
    </w:p>
    <w:p w14:paraId="18DB3E22" w14:textId="4D50FDE3" w:rsidR="00432592" w:rsidRPr="0071750D" w:rsidRDefault="00432592" w:rsidP="00C759BF">
      <w:pPr>
        <w:spacing w:after="0"/>
        <w:rPr>
          <w:rFonts w:ascii="Arial" w:hAnsi="Arial" w:cs="Arial"/>
        </w:rPr>
      </w:pPr>
    </w:p>
    <w:p w14:paraId="3728D099" w14:textId="4F6EC46A" w:rsidR="0071750D" w:rsidRDefault="0071750D" w:rsidP="00C759BF">
      <w:pPr>
        <w:spacing w:after="0"/>
        <w:rPr>
          <w:rFonts w:ascii="Arial" w:hAnsi="Arial" w:cs="Arial"/>
        </w:rPr>
      </w:pPr>
      <w:r w:rsidRPr="0071750D">
        <w:rPr>
          <w:rFonts w:ascii="Arial" w:hAnsi="Arial" w:cs="Arial"/>
          <w:b/>
        </w:rPr>
        <w:t>ART coverage.</w:t>
      </w:r>
      <w:r w:rsidR="007A65AE">
        <w:rPr>
          <w:rFonts w:ascii="Arial" w:hAnsi="Arial" w:cs="Arial"/>
          <w:b/>
        </w:rPr>
        <w:t xml:space="preserve"> </w:t>
      </w:r>
      <w:r w:rsidR="007A65AE">
        <w:rPr>
          <w:rFonts w:ascii="Arial" w:hAnsi="Arial" w:cs="Arial"/>
        </w:rPr>
        <w:t xml:space="preserve">Domestic resource mobilization would help achieve ART coverage goals of the National Strategy. Since optimization of available funds was assumed, ART coverage was prioritized. In 2030, 1.37 PLHIV would be on treatment. </w:t>
      </w:r>
    </w:p>
    <w:p w14:paraId="6771FA3C" w14:textId="77777777" w:rsidR="00C86D0D" w:rsidRDefault="00C86D0D" w:rsidP="00C759BF">
      <w:pPr>
        <w:spacing w:after="0"/>
        <w:rPr>
          <w:rFonts w:ascii="Arial" w:hAnsi="Arial" w:cs="Arial"/>
        </w:rPr>
      </w:pPr>
    </w:p>
    <w:p w14:paraId="2F6D7A63" w14:textId="168DBAA7" w:rsidR="0034381A" w:rsidRPr="0071750D" w:rsidRDefault="00C86D0D" w:rsidP="00C759BF">
      <w:pPr>
        <w:spacing w:after="0"/>
        <w:rPr>
          <w:rFonts w:ascii="Arial" w:hAnsi="Arial" w:cs="Arial"/>
        </w:rPr>
      </w:pPr>
      <w:r w:rsidRPr="00C86D0D">
        <w:rPr>
          <w:rFonts w:ascii="Arial" w:hAnsi="Arial" w:cs="Arial"/>
          <w:i/>
          <w:sz w:val="18"/>
        </w:rPr>
        <w:t xml:space="preserve">Figure </w:t>
      </w:r>
      <w:r w:rsidR="0071346A">
        <w:rPr>
          <w:rFonts w:ascii="Arial" w:hAnsi="Arial" w:cs="Arial"/>
          <w:i/>
          <w:sz w:val="18"/>
        </w:rPr>
        <w:t>7-6</w:t>
      </w:r>
      <w:r w:rsidRPr="00C86D0D">
        <w:rPr>
          <w:rFonts w:ascii="Arial" w:hAnsi="Arial" w:cs="Arial"/>
          <w:i/>
          <w:sz w:val="18"/>
        </w:rPr>
        <w:t>. Number on ART 2019-2030</w:t>
      </w:r>
      <w:r w:rsidR="0071750D" w:rsidRPr="0071750D">
        <w:rPr>
          <w:rFonts w:ascii="Arial" w:hAnsi="Arial" w:cs="Arial"/>
          <w:noProof/>
        </w:rPr>
        <w:drawing>
          <wp:anchor distT="0" distB="0" distL="114300" distR="114300" simplePos="0" relativeHeight="251709440" behindDoc="0" locked="0" layoutInCell="1" allowOverlap="1" wp14:anchorId="47AE30F8" wp14:editId="5E802CD3">
            <wp:simplePos x="0" y="0"/>
            <wp:positionH relativeFrom="column">
              <wp:posOffset>0</wp:posOffset>
            </wp:positionH>
            <wp:positionV relativeFrom="paragraph">
              <wp:posOffset>172085</wp:posOffset>
            </wp:positionV>
            <wp:extent cx="5368290" cy="2368550"/>
            <wp:effectExtent l="0" t="0" r="3810" b="12700"/>
            <wp:wrapTopAndBottom/>
            <wp:docPr id="97" name="Chart 97">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4DF25C4F" w14:textId="0DC076B5" w:rsidR="00C614B0" w:rsidRPr="0071750D" w:rsidRDefault="00C614B0" w:rsidP="00C759BF">
      <w:pPr>
        <w:spacing w:after="0"/>
        <w:rPr>
          <w:rFonts w:ascii="Arial" w:hAnsi="Arial" w:cs="Arial"/>
        </w:rPr>
      </w:pPr>
    </w:p>
    <w:p w14:paraId="0D516860" w14:textId="613C5547" w:rsidR="0071750D" w:rsidRDefault="0071750D" w:rsidP="00C759BF">
      <w:pPr>
        <w:spacing w:after="0"/>
        <w:rPr>
          <w:rFonts w:ascii="Arial" w:hAnsi="Arial" w:cs="Arial"/>
        </w:rPr>
      </w:pPr>
      <w:r w:rsidRPr="0071750D">
        <w:rPr>
          <w:rFonts w:ascii="Arial" w:hAnsi="Arial" w:cs="Arial"/>
          <w:b/>
        </w:rPr>
        <w:t xml:space="preserve">New infections. </w:t>
      </w:r>
      <w:r w:rsidR="007A65AE">
        <w:rPr>
          <w:rFonts w:ascii="Arial" w:hAnsi="Arial" w:cs="Arial"/>
        </w:rPr>
        <w:t>Domestic resource mobilization would lead to new infections declining</w:t>
      </w:r>
      <w:r w:rsidR="00CF2E58">
        <w:rPr>
          <w:rFonts w:ascii="Arial" w:hAnsi="Arial" w:cs="Arial"/>
        </w:rPr>
        <w:t xml:space="preserve"> substantially</w:t>
      </w:r>
      <w:r w:rsidR="007A65AE">
        <w:rPr>
          <w:rFonts w:ascii="Arial" w:hAnsi="Arial" w:cs="Arial"/>
        </w:rPr>
        <w:t xml:space="preserve"> in line with national goals. New infections would decline by 66% from 2019-2030 compared to 70% in the </w:t>
      </w:r>
      <w:r w:rsidR="00CF2E58">
        <w:rPr>
          <w:rFonts w:ascii="Arial" w:hAnsi="Arial" w:cs="Arial"/>
        </w:rPr>
        <w:t>O-</w:t>
      </w:r>
      <w:r w:rsidR="007C4173">
        <w:rPr>
          <w:rFonts w:ascii="Arial" w:hAnsi="Arial" w:cs="Arial"/>
        </w:rPr>
        <w:t>CCF</w:t>
      </w:r>
      <w:r w:rsidR="007A65AE">
        <w:rPr>
          <w:rFonts w:ascii="Arial" w:hAnsi="Arial" w:cs="Arial"/>
        </w:rPr>
        <w:t xml:space="preserve"> and 72% in the </w:t>
      </w:r>
      <w:r w:rsidR="00CF2E58">
        <w:rPr>
          <w:rFonts w:ascii="Arial" w:hAnsi="Arial" w:cs="Arial"/>
        </w:rPr>
        <w:t>NS scenario</w:t>
      </w:r>
      <w:r w:rsidR="007A65AE">
        <w:rPr>
          <w:rFonts w:ascii="Arial" w:hAnsi="Arial" w:cs="Arial"/>
        </w:rPr>
        <w:t xml:space="preserve">. Over </w:t>
      </w:r>
      <w:r w:rsidR="005A535A">
        <w:rPr>
          <w:rFonts w:ascii="Arial" w:hAnsi="Arial" w:cs="Arial"/>
        </w:rPr>
        <w:t xml:space="preserve">180,000 new infections would be averted compared to the </w:t>
      </w:r>
      <w:r w:rsidR="00CF2E58">
        <w:rPr>
          <w:rFonts w:ascii="Arial" w:hAnsi="Arial" w:cs="Arial"/>
        </w:rPr>
        <w:t>O-DDF scenario</w:t>
      </w:r>
      <w:r w:rsidR="005A535A">
        <w:rPr>
          <w:rFonts w:ascii="Arial" w:hAnsi="Arial" w:cs="Arial"/>
        </w:rPr>
        <w:t xml:space="preserve">. </w:t>
      </w:r>
      <w:r w:rsidR="007A65AE">
        <w:rPr>
          <w:rFonts w:ascii="Arial" w:hAnsi="Arial" w:cs="Arial"/>
        </w:rPr>
        <w:t xml:space="preserve"> </w:t>
      </w:r>
      <w:r w:rsidR="005A535A">
        <w:rPr>
          <w:rFonts w:ascii="Arial" w:hAnsi="Arial" w:cs="Arial"/>
        </w:rPr>
        <w:t>From 2010-2030, a</w:t>
      </w:r>
      <w:r w:rsidR="00422204">
        <w:rPr>
          <w:rFonts w:ascii="Arial" w:hAnsi="Arial" w:cs="Arial"/>
        </w:rPr>
        <w:t xml:space="preserve"> decline of</w:t>
      </w:r>
      <w:r w:rsidR="005A535A">
        <w:rPr>
          <w:rFonts w:ascii="Arial" w:hAnsi="Arial" w:cs="Arial"/>
        </w:rPr>
        <w:t xml:space="preserve"> 82% from the </w:t>
      </w:r>
      <w:r w:rsidR="007C4173">
        <w:rPr>
          <w:rFonts w:ascii="Arial" w:hAnsi="Arial" w:cs="Arial"/>
        </w:rPr>
        <w:t>CC Scenario</w:t>
      </w:r>
      <w:r w:rsidR="005A535A">
        <w:rPr>
          <w:rFonts w:ascii="Arial" w:hAnsi="Arial" w:cs="Arial"/>
        </w:rPr>
        <w:t xml:space="preserve"> would be achieved, </w:t>
      </w:r>
      <w:r w:rsidR="00CF2E58">
        <w:rPr>
          <w:rFonts w:ascii="Arial" w:hAnsi="Arial" w:cs="Arial"/>
        </w:rPr>
        <w:t xml:space="preserve">coming close to </w:t>
      </w:r>
      <w:r w:rsidR="005A535A">
        <w:rPr>
          <w:rFonts w:ascii="Arial" w:hAnsi="Arial" w:cs="Arial"/>
        </w:rPr>
        <w:t xml:space="preserve">achieving the 90% Fast Track reduction. </w:t>
      </w:r>
    </w:p>
    <w:p w14:paraId="3C5DF6E3" w14:textId="7BD53F26" w:rsidR="00C86D0D" w:rsidRPr="00C86D0D" w:rsidRDefault="00C86D0D" w:rsidP="00C759BF">
      <w:pPr>
        <w:spacing w:after="0"/>
        <w:rPr>
          <w:rFonts w:ascii="Arial" w:hAnsi="Arial" w:cs="Arial"/>
          <w:i/>
          <w:sz w:val="18"/>
        </w:rPr>
      </w:pPr>
    </w:p>
    <w:p w14:paraId="019635E2" w14:textId="19FAE08C" w:rsidR="0071750D" w:rsidRPr="00685AC5" w:rsidRDefault="00032469" w:rsidP="00C759BF">
      <w:pPr>
        <w:spacing w:after="0"/>
        <w:rPr>
          <w:rFonts w:ascii="Arial" w:hAnsi="Arial" w:cs="Arial"/>
          <w:i/>
          <w:sz w:val="18"/>
        </w:rPr>
      </w:pPr>
      <w:r w:rsidRPr="0071750D">
        <w:rPr>
          <w:rFonts w:ascii="Arial" w:hAnsi="Arial" w:cs="Arial"/>
          <w:b/>
          <w:noProof/>
        </w:rPr>
        <w:drawing>
          <wp:anchor distT="0" distB="0" distL="114300" distR="114300" simplePos="0" relativeHeight="251719680" behindDoc="0" locked="0" layoutInCell="1" allowOverlap="1" wp14:anchorId="0C61536A" wp14:editId="5A8AF389">
            <wp:simplePos x="0" y="0"/>
            <wp:positionH relativeFrom="margin">
              <wp:posOffset>30480</wp:posOffset>
            </wp:positionH>
            <wp:positionV relativeFrom="paragraph">
              <wp:posOffset>170815</wp:posOffset>
            </wp:positionV>
            <wp:extent cx="5455920" cy="2301240"/>
            <wp:effectExtent l="0" t="0" r="11430" b="3810"/>
            <wp:wrapTopAndBottom/>
            <wp:docPr id="98" name="Chart 98">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C86D0D" w:rsidRPr="00C86D0D">
        <w:rPr>
          <w:rFonts w:ascii="Arial" w:hAnsi="Arial" w:cs="Arial"/>
          <w:i/>
          <w:sz w:val="18"/>
        </w:rPr>
        <w:t xml:space="preserve">Figure </w:t>
      </w:r>
      <w:r w:rsidR="0071346A">
        <w:rPr>
          <w:rFonts w:ascii="Arial" w:hAnsi="Arial" w:cs="Arial"/>
          <w:i/>
          <w:sz w:val="18"/>
        </w:rPr>
        <w:t>7-7</w:t>
      </w:r>
      <w:r w:rsidR="00C86D0D" w:rsidRPr="00C86D0D">
        <w:rPr>
          <w:rFonts w:ascii="Arial" w:hAnsi="Arial" w:cs="Arial"/>
          <w:i/>
          <w:sz w:val="18"/>
        </w:rPr>
        <w:t>. New infections 2019-2030</w:t>
      </w:r>
    </w:p>
    <w:p w14:paraId="10AC06F5" w14:textId="255714D4" w:rsidR="00C614B0" w:rsidRPr="0071750D" w:rsidRDefault="00C614B0" w:rsidP="00C759BF">
      <w:pPr>
        <w:spacing w:after="0"/>
        <w:rPr>
          <w:rFonts w:ascii="Arial" w:hAnsi="Arial" w:cs="Arial"/>
        </w:rPr>
      </w:pPr>
    </w:p>
    <w:p w14:paraId="18C6DB4A" w14:textId="5041A1E5" w:rsidR="00CC39D4" w:rsidRDefault="0071750D" w:rsidP="00C759BF">
      <w:pPr>
        <w:spacing w:after="0"/>
        <w:rPr>
          <w:rFonts w:ascii="Arial" w:hAnsi="Arial" w:cs="Arial"/>
        </w:rPr>
      </w:pPr>
      <w:r w:rsidRPr="0071750D">
        <w:rPr>
          <w:rFonts w:ascii="Arial" w:hAnsi="Arial" w:cs="Arial"/>
          <w:b/>
        </w:rPr>
        <w:t>AIDS-related mortality.</w:t>
      </w:r>
      <w:r w:rsidR="005A535A">
        <w:rPr>
          <w:rFonts w:ascii="Arial" w:hAnsi="Arial" w:cs="Arial"/>
        </w:rPr>
        <w:t xml:space="preserve"> </w:t>
      </w:r>
      <w:r w:rsidR="00CF2E58">
        <w:rPr>
          <w:rFonts w:ascii="Arial" w:hAnsi="Arial" w:cs="Arial"/>
        </w:rPr>
        <w:t>O-DRM</w:t>
      </w:r>
      <w:r w:rsidR="005A535A">
        <w:rPr>
          <w:rFonts w:ascii="Arial" w:hAnsi="Arial" w:cs="Arial"/>
        </w:rPr>
        <w:t xml:space="preserve"> would have similar positive impacts for AIDS deaths, achieving the same benefits of the </w:t>
      </w:r>
      <w:r w:rsidR="00CF2E58">
        <w:rPr>
          <w:rFonts w:ascii="Arial" w:hAnsi="Arial" w:cs="Arial"/>
        </w:rPr>
        <w:t>NS and O-</w:t>
      </w:r>
      <w:r w:rsidR="007C4173">
        <w:rPr>
          <w:rFonts w:ascii="Arial" w:hAnsi="Arial" w:cs="Arial"/>
        </w:rPr>
        <w:t>CC</w:t>
      </w:r>
      <w:r w:rsidR="00CF2E58">
        <w:rPr>
          <w:rFonts w:ascii="Arial" w:hAnsi="Arial" w:cs="Arial"/>
        </w:rPr>
        <w:t>F scenarios</w:t>
      </w:r>
      <w:r w:rsidR="005A535A">
        <w:rPr>
          <w:rFonts w:ascii="Arial" w:hAnsi="Arial" w:cs="Arial"/>
        </w:rPr>
        <w:t xml:space="preserve"> with</w:t>
      </w:r>
      <w:r w:rsidR="00CF2E58">
        <w:rPr>
          <w:rFonts w:ascii="Arial" w:hAnsi="Arial" w:cs="Arial"/>
        </w:rPr>
        <w:t xml:space="preserve"> a</w:t>
      </w:r>
      <w:r w:rsidR="005A535A">
        <w:rPr>
          <w:rFonts w:ascii="Arial" w:hAnsi="Arial" w:cs="Arial"/>
        </w:rPr>
        <w:t xml:space="preserve"> 56% decline in annual deaths from 2019-2030. </w:t>
      </w:r>
      <w:r w:rsidR="00CF2E58">
        <w:rPr>
          <w:rFonts w:ascii="Arial" w:hAnsi="Arial" w:cs="Arial"/>
        </w:rPr>
        <w:t>This similar impact is possible even</w:t>
      </w:r>
      <w:r w:rsidR="00F523A7">
        <w:rPr>
          <w:rFonts w:ascii="Arial" w:hAnsi="Arial" w:cs="Arial"/>
        </w:rPr>
        <w:t xml:space="preserve"> though</w:t>
      </w:r>
      <w:r w:rsidR="00CF2E58">
        <w:rPr>
          <w:rFonts w:ascii="Arial" w:hAnsi="Arial" w:cs="Arial"/>
        </w:rPr>
        <w:t xml:space="preserve"> O-DRM has 12% less funding since the </w:t>
      </w:r>
      <w:r w:rsidR="00F523A7">
        <w:rPr>
          <w:rFonts w:ascii="Arial" w:hAnsi="Arial" w:cs="Arial"/>
        </w:rPr>
        <w:t>o</w:t>
      </w:r>
      <w:r w:rsidR="00CF2E58">
        <w:rPr>
          <w:rFonts w:ascii="Arial" w:hAnsi="Arial" w:cs="Arial"/>
        </w:rPr>
        <w:t xml:space="preserve">ptimization approach prioritizes ART first. The </w:t>
      </w:r>
      <w:r w:rsidR="005A535A">
        <w:rPr>
          <w:rFonts w:ascii="Arial" w:hAnsi="Arial" w:cs="Arial"/>
        </w:rPr>
        <w:t>Fast Track targets would almost be met with a 83% reduction from 2010-2030.</w:t>
      </w:r>
      <w:r w:rsidR="00CF2E58">
        <w:rPr>
          <w:rFonts w:ascii="Arial" w:hAnsi="Arial" w:cs="Arial"/>
        </w:rPr>
        <w:t xml:space="preserve"> </w:t>
      </w:r>
    </w:p>
    <w:p w14:paraId="44661312" w14:textId="008FC7B0" w:rsidR="00CF2E58" w:rsidRDefault="00813E82" w:rsidP="00444084">
      <w:pPr>
        <w:spacing w:after="0"/>
      </w:pPr>
      <w:r w:rsidRPr="0071750D">
        <w:rPr>
          <w:rFonts w:ascii="Arial" w:hAnsi="Arial" w:cs="Arial"/>
          <w:b/>
          <w:noProof/>
        </w:rPr>
        <w:drawing>
          <wp:anchor distT="0" distB="0" distL="114300" distR="114300" simplePos="0" relativeHeight="251774976" behindDoc="0" locked="0" layoutInCell="1" allowOverlap="1" wp14:anchorId="7E0D189B" wp14:editId="6B46A8D6">
            <wp:simplePos x="0" y="0"/>
            <wp:positionH relativeFrom="column">
              <wp:posOffset>0</wp:posOffset>
            </wp:positionH>
            <wp:positionV relativeFrom="paragraph">
              <wp:posOffset>241935</wp:posOffset>
            </wp:positionV>
            <wp:extent cx="5631180" cy="2362200"/>
            <wp:effectExtent l="0" t="0" r="7620" b="0"/>
            <wp:wrapTopAndBottom/>
            <wp:docPr id="7" name="Chart 7">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C86D0D" w:rsidRPr="00C86D0D">
        <w:rPr>
          <w:rFonts w:ascii="Arial" w:hAnsi="Arial" w:cs="Arial"/>
          <w:i/>
          <w:sz w:val="18"/>
        </w:rPr>
        <w:t xml:space="preserve">Figure </w:t>
      </w:r>
      <w:r w:rsidR="0071346A">
        <w:rPr>
          <w:rFonts w:ascii="Arial" w:hAnsi="Arial" w:cs="Arial"/>
          <w:i/>
          <w:sz w:val="18"/>
        </w:rPr>
        <w:t>7-8</w:t>
      </w:r>
      <w:r w:rsidR="00C86D0D" w:rsidRPr="00C86D0D">
        <w:rPr>
          <w:rFonts w:ascii="Arial" w:hAnsi="Arial" w:cs="Arial"/>
          <w:i/>
          <w:sz w:val="18"/>
        </w:rPr>
        <w:t>. AIDS-related deaths 2019-2030</w:t>
      </w:r>
    </w:p>
    <w:p w14:paraId="5E500218" w14:textId="14622A36" w:rsidR="00032469" w:rsidRDefault="00032469" w:rsidP="008D04B1">
      <w:pPr>
        <w:pStyle w:val="Heading2"/>
        <w:spacing w:before="0"/>
        <w:rPr>
          <w:rFonts w:ascii="Arial" w:hAnsi="Arial" w:cs="Arial"/>
          <w:b/>
          <w:color w:val="000000" w:themeColor="text1"/>
        </w:rPr>
      </w:pPr>
    </w:p>
    <w:p w14:paraId="14FA089A" w14:textId="121B0DE8" w:rsidR="00F86844" w:rsidRPr="00A178D1" w:rsidRDefault="00F86844" w:rsidP="00A178D1">
      <w:pPr>
        <w:rPr>
          <w:rFonts w:ascii="Arial" w:hAnsi="Arial" w:cs="Arial"/>
        </w:rPr>
      </w:pPr>
      <w:r w:rsidRPr="00A178D1">
        <w:rPr>
          <w:rFonts w:ascii="Arial" w:hAnsi="Arial" w:cs="Arial"/>
          <w:b/>
          <w:bCs/>
        </w:rPr>
        <w:t xml:space="preserve">Life expectancy. </w:t>
      </w:r>
      <w:r>
        <w:rPr>
          <w:rFonts w:ascii="Arial" w:hAnsi="Arial" w:cs="Arial"/>
        </w:rPr>
        <w:t>Additional domestic resources would also restore the wider benefits HIV prevention and treatment have on society. Like the NS and O-</w:t>
      </w:r>
      <w:r w:rsidR="007C4173">
        <w:rPr>
          <w:rFonts w:ascii="Arial" w:hAnsi="Arial" w:cs="Arial"/>
        </w:rPr>
        <w:t>CC</w:t>
      </w:r>
      <w:r>
        <w:rPr>
          <w:rFonts w:ascii="Arial" w:hAnsi="Arial" w:cs="Arial"/>
        </w:rPr>
        <w:t>F, O-DRM would result in a life expectancy on average one year longer than i</w:t>
      </w:r>
      <w:r w:rsidR="00C527FE">
        <w:rPr>
          <w:rFonts w:ascii="Arial" w:hAnsi="Arial" w:cs="Arial"/>
        </w:rPr>
        <w:t>n the CC</w:t>
      </w:r>
      <w:r>
        <w:rPr>
          <w:rFonts w:ascii="Arial" w:hAnsi="Arial" w:cs="Arial"/>
        </w:rPr>
        <w:t xml:space="preserve"> or O-DDF scenarios. </w:t>
      </w:r>
      <w:r w:rsidR="00D531B9">
        <w:rPr>
          <w:rFonts w:ascii="Arial" w:hAnsi="Arial" w:cs="Arial"/>
        </w:rPr>
        <w:t>In 2025, life expectancy under O-DRM would be 68.52 years and 69.84 years in 2030.</w:t>
      </w:r>
    </w:p>
    <w:p w14:paraId="23BD369A" w14:textId="692C29E4" w:rsidR="00CF2E58" w:rsidRDefault="00CF2E58" w:rsidP="008D04B1">
      <w:pPr>
        <w:pStyle w:val="Heading2"/>
        <w:spacing w:before="0"/>
        <w:rPr>
          <w:rFonts w:ascii="Arial" w:hAnsi="Arial" w:cs="Arial"/>
          <w:b/>
          <w:color w:val="000000" w:themeColor="text1"/>
        </w:rPr>
      </w:pPr>
      <w:bookmarkStart w:id="115" w:name="_Toc57035209"/>
      <w:r w:rsidRPr="00E570C0">
        <w:rPr>
          <w:rFonts w:ascii="Arial" w:hAnsi="Arial" w:cs="Arial"/>
          <w:b/>
          <w:color w:val="000000" w:themeColor="text1"/>
        </w:rPr>
        <w:t>Key takeaways</w:t>
      </w:r>
      <w:r w:rsidR="003A4872">
        <w:rPr>
          <w:rFonts w:ascii="Arial" w:hAnsi="Arial" w:cs="Arial"/>
          <w:b/>
          <w:color w:val="000000" w:themeColor="text1"/>
        </w:rPr>
        <w:t xml:space="preserve"> on domestic resource mobilization</w:t>
      </w:r>
      <w:bookmarkEnd w:id="115"/>
    </w:p>
    <w:p w14:paraId="2CE46952" w14:textId="77777777" w:rsidR="00CF2E58" w:rsidRDefault="00CF2E58" w:rsidP="008D04B1">
      <w:pPr>
        <w:spacing w:after="0"/>
      </w:pPr>
    </w:p>
    <w:p w14:paraId="1C5107C1" w14:textId="4EC5856A" w:rsidR="002F43BE" w:rsidRDefault="00F523A7" w:rsidP="00F523A7">
      <w:pPr>
        <w:rPr>
          <w:rFonts w:ascii="Arial" w:hAnsi="Arial" w:cs="Arial"/>
        </w:rPr>
      </w:pPr>
      <w:r w:rsidRPr="00D136EF">
        <w:rPr>
          <w:rFonts w:ascii="Arial" w:hAnsi="Arial" w:cs="Arial"/>
        </w:rPr>
        <w:t>Domestic resource mobilization</w:t>
      </w:r>
      <w:r>
        <w:rPr>
          <w:rFonts w:ascii="Arial" w:hAnsi="Arial" w:cs="Arial"/>
        </w:rPr>
        <w:t xml:space="preserve"> could play a critical role in sustaining progress in a scenario in which donor funds continue to decline. Domestic resources could in substitute partially for the lost donor funds.  With the boosted impact of optimization, impacts nearly as great as those under NS and O-</w:t>
      </w:r>
      <w:r w:rsidR="007C4173">
        <w:rPr>
          <w:rFonts w:ascii="Arial" w:hAnsi="Arial" w:cs="Arial"/>
        </w:rPr>
        <w:t>CC</w:t>
      </w:r>
      <w:r>
        <w:rPr>
          <w:rFonts w:ascii="Arial" w:hAnsi="Arial" w:cs="Arial"/>
        </w:rPr>
        <w:t>F scenarios could potentially be achieved at a cost over the next decade around USD 2.5 B less than under NS and slightly less than under O-</w:t>
      </w:r>
      <w:r w:rsidR="007C4173">
        <w:rPr>
          <w:rFonts w:ascii="Arial" w:hAnsi="Arial" w:cs="Arial"/>
        </w:rPr>
        <w:t>CC</w:t>
      </w:r>
      <w:r>
        <w:rPr>
          <w:rFonts w:ascii="Arial" w:hAnsi="Arial" w:cs="Arial"/>
        </w:rPr>
        <w:t xml:space="preserve">F. </w:t>
      </w:r>
    </w:p>
    <w:p w14:paraId="41DEC2CD" w14:textId="77777777" w:rsidR="00CC2044" w:rsidRDefault="00CC2044">
      <w:pPr>
        <w:rPr>
          <w:rFonts w:ascii="Arial" w:hAnsi="Arial" w:cs="Arial"/>
          <w:i/>
          <w:sz w:val="18"/>
        </w:rPr>
      </w:pPr>
      <w:r>
        <w:rPr>
          <w:rFonts w:ascii="Arial" w:hAnsi="Arial" w:cs="Arial"/>
          <w:i/>
          <w:sz w:val="18"/>
        </w:rPr>
        <w:br w:type="page"/>
      </w:r>
    </w:p>
    <w:p w14:paraId="329AC344" w14:textId="3A53F4AF" w:rsidR="008D04B1" w:rsidRPr="008D04B1" w:rsidRDefault="008D04B1" w:rsidP="00CF2E58">
      <w:pPr>
        <w:rPr>
          <w:rFonts w:ascii="Arial" w:hAnsi="Arial" w:cs="Arial"/>
          <w:i/>
          <w:sz w:val="18"/>
        </w:rPr>
      </w:pPr>
      <w:r w:rsidRPr="008D04B1">
        <w:rPr>
          <w:rFonts w:ascii="Arial" w:hAnsi="Arial" w:cs="Arial"/>
          <w:i/>
          <w:sz w:val="18"/>
        </w:rPr>
        <w:t xml:space="preserve">Figure </w:t>
      </w:r>
      <w:r w:rsidR="0071346A">
        <w:rPr>
          <w:rFonts w:ascii="Arial" w:hAnsi="Arial" w:cs="Arial"/>
          <w:i/>
          <w:sz w:val="18"/>
        </w:rPr>
        <w:t>7-9</w:t>
      </w:r>
      <w:r w:rsidRPr="008D04B1">
        <w:rPr>
          <w:rFonts w:ascii="Arial" w:hAnsi="Arial" w:cs="Arial"/>
          <w:i/>
          <w:sz w:val="18"/>
        </w:rPr>
        <w:t xml:space="preserve">. Summary of </w:t>
      </w:r>
      <w:r w:rsidR="00F523A7">
        <w:rPr>
          <w:rFonts w:ascii="Arial" w:hAnsi="Arial" w:cs="Arial"/>
          <w:i/>
          <w:sz w:val="18"/>
        </w:rPr>
        <w:t>all scenarios</w:t>
      </w:r>
      <w:r w:rsidRPr="008D04B1">
        <w:rPr>
          <w:rFonts w:ascii="Arial" w:hAnsi="Arial" w:cs="Arial"/>
          <w:i/>
          <w:sz w:val="18"/>
        </w:rPr>
        <w:t xml:space="preserve"> impacts and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80"/>
        <w:gridCol w:w="1080"/>
        <w:gridCol w:w="1234"/>
        <w:gridCol w:w="1440"/>
        <w:gridCol w:w="1551"/>
      </w:tblGrid>
      <w:tr w:rsidR="00032469" w:rsidRPr="00444084" w14:paraId="3D8ABF5C" w14:textId="77777777" w:rsidTr="00731B0C">
        <w:trPr>
          <w:trHeight w:val="209"/>
        </w:trPr>
        <w:tc>
          <w:tcPr>
            <w:tcW w:w="2965" w:type="dxa"/>
          </w:tcPr>
          <w:p w14:paraId="07C54F10" w14:textId="77777777" w:rsidR="00CF2E58" w:rsidRPr="00444084" w:rsidRDefault="00CF2E58" w:rsidP="00060DBD">
            <w:pPr>
              <w:spacing w:after="0"/>
              <w:rPr>
                <w:rFonts w:ascii="Arial" w:hAnsi="Arial" w:cs="Arial"/>
                <w:sz w:val="18"/>
              </w:rPr>
            </w:pPr>
          </w:p>
        </w:tc>
        <w:tc>
          <w:tcPr>
            <w:tcW w:w="1080" w:type="dxa"/>
            <w:shd w:val="clear" w:color="auto" w:fill="C00000"/>
          </w:tcPr>
          <w:p w14:paraId="3776C133" w14:textId="2195CE97" w:rsidR="00CF2E58" w:rsidRPr="00444084" w:rsidRDefault="007C4173" w:rsidP="00060DBD">
            <w:pPr>
              <w:spacing w:after="0"/>
              <w:rPr>
                <w:rFonts w:ascii="Arial" w:hAnsi="Arial" w:cs="Arial"/>
                <w:b/>
                <w:sz w:val="18"/>
              </w:rPr>
            </w:pPr>
            <w:r>
              <w:rPr>
                <w:rFonts w:ascii="Arial" w:hAnsi="Arial" w:cs="Arial"/>
                <w:b/>
                <w:sz w:val="18"/>
              </w:rPr>
              <w:t>CC</w:t>
            </w:r>
          </w:p>
        </w:tc>
        <w:tc>
          <w:tcPr>
            <w:tcW w:w="1080" w:type="dxa"/>
            <w:shd w:val="clear" w:color="auto" w:fill="C00000"/>
          </w:tcPr>
          <w:p w14:paraId="61DE97B1" w14:textId="4D3BCD0D" w:rsidR="00CF2E58" w:rsidRPr="00444084" w:rsidRDefault="00D00B15" w:rsidP="00060DBD">
            <w:pPr>
              <w:spacing w:after="0"/>
              <w:rPr>
                <w:rFonts w:ascii="Arial" w:hAnsi="Arial" w:cs="Arial"/>
                <w:b/>
                <w:sz w:val="18"/>
              </w:rPr>
            </w:pPr>
            <w:r w:rsidRPr="00444084">
              <w:rPr>
                <w:rFonts w:ascii="Arial" w:hAnsi="Arial" w:cs="Arial"/>
                <w:b/>
                <w:sz w:val="18"/>
              </w:rPr>
              <w:t>NS</w:t>
            </w:r>
          </w:p>
        </w:tc>
        <w:tc>
          <w:tcPr>
            <w:tcW w:w="1234" w:type="dxa"/>
            <w:shd w:val="clear" w:color="auto" w:fill="C00000"/>
          </w:tcPr>
          <w:p w14:paraId="336E5D29" w14:textId="3D339BC7" w:rsidR="00CF2E58" w:rsidRPr="00444084" w:rsidRDefault="00D00B15" w:rsidP="00060DBD">
            <w:pPr>
              <w:spacing w:after="0"/>
              <w:rPr>
                <w:rFonts w:ascii="Arial" w:hAnsi="Arial" w:cs="Arial"/>
                <w:b/>
                <w:sz w:val="18"/>
              </w:rPr>
            </w:pPr>
            <w:r w:rsidRPr="00444084">
              <w:rPr>
                <w:rFonts w:ascii="Arial" w:hAnsi="Arial" w:cs="Arial"/>
                <w:b/>
                <w:sz w:val="18"/>
              </w:rPr>
              <w:t>O-</w:t>
            </w:r>
            <w:r w:rsidR="007C4173">
              <w:rPr>
                <w:rFonts w:ascii="Arial" w:hAnsi="Arial" w:cs="Arial"/>
                <w:b/>
                <w:sz w:val="18"/>
              </w:rPr>
              <w:t>CC</w:t>
            </w:r>
            <w:r w:rsidRPr="00444084">
              <w:rPr>
                <w:rFonts w:ascii="Arial" w:hAnsi="Arial" w:cs="Arial"/>
                <w:b/>
                <w:sz w:val="18"/>
              </w:rPr>
              <w:t>F</w:t>
            </w:r>
          </w:p>
        </w:tc>
        <w:tc>
          <w:tcPr>
            <w:tcW w:w="1440" w:type="dxa"/>
            <w:shd w:val="clear" w:color="auto" w:fill="C00000"/>
          </w:tcPr>
          <w:p w14:paraId="2BF8AB0A" w14:textId="7D9D9E60" w:rsidR="00CF2E58" w:rsidRPr="00444084" w:rsidRDefault="00D00B15" w:rsidP="00060DBD">
            <w:pPr>
              <w:spacing w:after="0"/>
              <w:rPr>
                <w:rFonts w:ascii="Arial" w:hAnsi="Arial" w:cs="Arial"/>
                <w:b/>
                <w:sz w:val="18"/>
              </w:rPr>
            </w:pPr>
            <w:r w:rsidRPr="00444084">
              <w:rPr>
                <w:rFonts w:ascii="Arial" w:hAnsi="Arial" w:cs="Arial"/>
                <w:b/>
                <w:sz w:val="18"/>
              </w:rPr>
              <w:t>O-DDF</w:t>
            </w:r>
          </w:p>
        </w:tc>
        <w:tc>
          <w:tcPr>
            <w:tcW w:w="1551" w:type="dxa"/>
            <w:shd w:val="clear" w:color="auto" w:fill="C00000"/>
          </w:tcPr>
          <w:p w14:paraId="7DC65A7F" w14:textId="578A0CFD" w:rsidR="00CF2E58" w:rsidRPr="00444084" w:rsidRDefault="00D00B15" w:rsidP="00060DBD">
            <w:pPr>
              <w:spacing w:after="0"/>
              <w:rPr>
                <w:rFonts w:ascii="Arial" w:hAnsi="Arial" w:cs="Arial"/>
                <w:b/>
                <w:sz w:val="18"/>
              </w:rPr>
            </w:pPr>
            <w:r w:rsidRPr="00444084">
              <w:rPr>
                <w:rFonts w:ascii="Arial" w:hAnsi="Arial" w:cs="Arial"/>
                <w:b/>
                <w:sz w:val="18"/>
              </w:rPr>
              <w:t>O-DRM</w:t>
            </w:r>
          </w:p>
        </w:tc>
      </w:tr>
      <w:tr w:rsidR="00032469" w:rsidRPr="00444084" w14:paraId="5033BAE7" w14:textId="77777777" w:rsidTr="00731B0C">
        <w:trPr>
          <w:trHeight w:val="209"/>
        </w:trPr>
        <w:tc>
          <w:tcPr>
            <w:tcW w:w="4045" w:type="dxa"/>
            <w:gridSpan w:val="2"/>
            <w:shd w:val="clear" w:color="auto" w:fill="D9D9D9" w:themeFill="background1" w:themeFillShade="D9"/>
          </w:tcPr>
          <w:p w14:paraId="0EDC04C4" w14:textId="77777777" w:rsidR="00CF2E58" w:rsidRPr="00444084" w:rsidRDefault="00CF2E58" w:rsidP="00060DBD">
            <w:pPr>
              <w:spacing w:after="0"/>
              <w:rPr>
                <w:rFonts w:ascii="Arial" w:hAnsi="Arial" w:cs="Arial"/>
                <w:sz w:val="18"/>
              </w:rPr>
            </w:pPr>
            <w:r w:rsidRPr="00444084">
              <w:rPr>
                <w:rFonts w:ascii="Arial" w:hAnsi="Arial" w:cs="Arial"/>
                <w:b/>
                <w:sz w:val="18"/>
              </w:rPr>
              <w:t>New infections (All adults)</w:t>
            </w:r>
          </w:p>
        </w:tc>
        <w:tc>
          <w:tcPr>
            <w:tcW w:w="1080" w:type="dxa"/>
            <w:shd w:val="clear" w:color="auto" w:fill="D9D9D9" w:themeFill="background1" w:themeFillShade="D9"/>
          </w:tcPr>
          <w:p w14:paraId="29AF8C9A" w14:textId="77777777" w:rsidR="00CF2E58" w:rsidRPr="00444084" w:rsidRDefault="00CF2E58" w:rsidP="00060DBD">
            <w:pPr>
              <w:spacing w:after="0"/>
              <w:rPr>
                <w:rFonts w:ascii="Arial" w:hAnsi="Arial" w:cs="Arial"/>
                <w:b/>
                <w:sz w:val="18"/>
              </w:rPr>
            </w:pPr>
          </w:p>
        </w:tc>
        <w:tc>
          <w:tcPr>
            <w:tcW w:w="1234" w:type="dxa"/>
            <w:shd w:val="clear" w:color="auto" w:fill="D9D9D9" w:themeFill="background1" w:themeFillShade="D9"/>
          </w:tcPr>
          <w:p w14:paraId="4EB1A8AA" w14:textId="77777777" w:rsidR="00CF2E58" w:rsidRPr="00444084" w:rsidRDefault="00CF2E58" w:rsidP="00060DBD">
            <w:pPr>
              <w:spacing w:after="0"/>
              <w:rPr>
                <w:rFonts w:ascii="Arial" w:hAnsi="Arial" w:cs="Arial"/>
                <w:b/>
                <w:sz w:val="18"/>
              </w:rPr>
            </w:pPr>
          </w:p>
        </w:tc>
        <w:tc>
          <w:tcPr>
            <w:tcW w:w="1440" w:type="dxa"/>
            <w:shd w:val="clear" w:color="auto" w:fill="D9D9D9" w:themeFill="background1" w:themeFillShade="D9"/>
          </w:tcPr>
          <w:p w14:paraId="10A06EDB" w14:textId="77777777" w:rsidR="00CF2E58" w:rsidRPr="00444084" w:rsidRDefault="00CF2E58" w:rsidP="00060DBD">
            <w:pPr>
              <w:spacing w:after="0"/>
              <w:rPr>
                <w:rFonts w:ascii="Arial" w:hAnsi="Arial" w:cs="Arial"/>
                <w:b/>
                <w:sz w:val="18"/>
              </w:rPr>
            </w:pPr>
          </w:p>
        </w:tc>
        <w:tc>
          <w:tcPr>
            <w:tcW w:w="1551" w:type="dxa"/>
            <w:shd w:val="clear" w:color="auto" w:fill="D9D9D9" w:themeFill="background1" w:themeFillShade="D9"/>
          </w:tcPr>
          <w:p w14:paraId="75C98D04" w14:textId="77777777" w:rsidR="00CF2E58" w:rsidRPr="00444084" w:rsidRDefault="00CF2E58" w:rsidP="00060DBD">
            <w:pPr>
              <w:spacing w:after="0"/>
              <w:rPr>
                <w:rFonts w:ascii="Arial" w:hAnsi="Arial" w:cs="Arial"/>
                <w:b/>
                <w:sz w:val="18"/>
              </w:rPr>
            </w:pPr>
          </w:p>
        </w:tc>
      </w:tr>
      <w:tr w:rsidR="00032469" w:rsidRPr="00444084" w14:paraId="3C80ABD0" w14:textId="77777777" w:rsidTr="00731B0C">
        <w:trPr>
          <w:trHeight w:val="209"/>
        </w:trPr>
        <w:tc>
          <w:tcPr>
            <w:tcW w:w="2965" w:type="dxa"/>
          </w:tcPr>
          <w:p w14:paraId="6B9611D9" w14:textId="6184A17F" w:rsidR="00CF2E58" w:rsidRPr="00444084" w:rsidRDefault="00CF2E58" w:rsidP="00060DBD">
            <w:pPr>
              <w:spacing w:after="0"/>
              <w:rPr>
                <w:rFonts w:ascii="Arial" w:hAnsi="Arial" w:cs="Arial"/>
                <w:sz w:val="18"/>
              </w:rPr>
            </w:pPr>
            <w:r w:rsidRPr="00444084">
              <w:rPr>
                <w:rFonts w:ascii="Arial" w:hAnsi="Arial" w:cs="Arial"/>
                <w:sz w:val="18"/>
              </w:rPr>
              <w:t xml:space="preserve">Cumulative </w:t>
            </w:r>
            <w:r w:rsidR="00B1089B">
              <w:rPr>
                <w:rFonts w:ascii="Arial" w:hAnsi="Arial" w:cs="Arial"/>
                <w:sz w:val="18"/>
              </w:rPr>
              <w:t xml:space="preserve">new infections </w:t>
            </w:r>
            <w:r w:rsidRPr="00444084">
              <w:rPr>
                <w:rFonts w:ascii="Arial" w:hAnsi="Arial" w:cs="Arial"/>
                <w:sz w:val="18"/>
              </w:rPr>
              <w:t>2019-2030</w:t>
            </w:r>
          </w:p>
        </w:tc>
        <w:tc>
          <w:tcPr>
            <w:tcW w:w="1080" w:type="dxa"/>
          </w:tcPr>
          <w:p w14:paraId="77379B2E" w14:textId="74C18345" w:rsidR="00CF2E58" w:rsidRPr="00444084" w:rsidRDefault="00CF2E58" w:rsidP="00060DBD">
            <w:pPr>
              <w:spacing w:after="0"/>
              <w:rPr>
                <w:rFonts w:ascii="Arial" w:hAnsi="Arial" w:cs="Arial"/>
                <w:sz w:val="18"/>
              </w:rPr>
            </w:pPr>
            <w:r w:rsidRPr="00444084">
              <w:rPr>
                <w:rFonts w:ascii="Arial" w:hAnsi="Arial" w:cs="Arial"/>
                <w:sz w:val="18"/>
              </w:rPr>
              <w:t>53</w:t>
            </w:r>
            <w:r w:rsidR="00032469" w:rsidRPr="00444084">
              <w:rPr>
                <w:rFonts w:ascii="Arial" w:hAnsi="Arial" w:cs="Arial"/>
                <w:sz w:val="18"/>
              </w:rPr>
              <w:t>3,000</w:t>
            </w:r>
          </w:p>
        </w:tc>
        <w:tc>
          <w:tcPr>
            <w:tcW w:w="1080" w:type="dxa"/>
          </w:tcPr>
          <w:p w14:paraId="2B491C8A" w14:textId="3ED5EF2B" w:rsidR="00CF2E58" w:rsidRPr="00444084" w:rsidRDefault="00CF2E58" w:rsidP="00060DBD">
            <w:pPr>
              <w:spacing w:after="0"/>
              <w:rPr>
                <w:rFonts w:ascii="Arial" w:hAnsi="Arial" w:cs="Arial"/>
                <w:sz w:val="18"/>
              </w:rPr>
            </w:pPr>
            <w:r w:rsidRPr="00444084">
              <w:rPr>
                <w:rFonts w:ascii="Arial" w:hAnsi="Arial" w:cs="Arial"/>
                <w:sz w:val="18"/>
              </w:rPr>
              <w:t>27</w:t>
            </w:r>
            <w:r w:rsidR="00032469" w:rsidRPr="00444084">
              <w:rPr>
                <w:rFonts w:ascii="Arial" w:hAnsi="Arial" w:cs="Arial"/>
                <w:sz w:val="18"/>
              </w:rPr>
              <w:t>8,000</w:t>
            </w:r>
          </w:p>
        </w:tc>
        <w:tc>
          <w:tcPr>
            <w:tcW w:w="1234" w:type="dxa"/>
          </w:tcPr>
          <w:p w14:paraId="2ED8921B" w14:textId="30451D43" w:rsidR="00CF2E58" w:rsidRPr="00444084" w:rsidRDefault="00CF2E58" w:rsidP="00060DBD">
            <w:pPr>
              <w:spacing w:after="0"/>
              <w:rPr>
                <w:rFonts w:ascii="Arial" w:hAnsi="Arial" w:cs="Arial"/>
                <w:sz w:val="18"/>
              </w:rPr>
            </w:pPr>
            <w:r w:rsidRPr="00444084">
              <w:rPr>
                <w:rFonts w:ascii="Arial" w:hAnsi="Arial" w:cs="Arial"/>
                <w:sz w:val="18"/>
              </w:rPr>
              <w:t>290,0</w:t>
            </w:r>
            <w:r w:rsidR="00032469" w:rsidRPr="00444084">
              <w:rPr>
                <w:rFonts w:ascii="Arial" w:hAnsi="Arial" w:cs="Arial"/>
                <w:sz w:val="18"/>
              </w:rPr>
              <w:t>00</w:t>
            </w:r>
          </w:p>
        </w:tc>
        <w:tc>
          <w:tcPr>
            <w:tcW w:w="1440" w:type="dxa"/>
          </w:tcPr>
          <w:p w14:paraId="4569E396" w14:textId="6680689B" w:rsidR="00CF2E58" w:rsidRPr="00444084" w:rsidRDefault="00CF2E58" w:rsidP="00060DBD">
            <w:pPr>
              <w:spacing w:after="0"/>
              <w:rPr>
                <w:rFonts w:ascii="Arial" w:hAnsi="Arial" w:cs="Arial"/>
                <w:sz w:val="18"/>
              </w:rPr>
            </w:pPr>
            <w:r w:rsidRPr="00444084">
              <w:rPr>
                <w:rFonts w:ascii="Arial" w:hAnsi="Arial" w:cs="Arial"/>
                <w:sz w:val="18"/>
              </w:rPr>
              <w:t>48</w:t>
            </w:r>
            <w:r w:rsidR="00032469" w:rsidRPr="00444084">
              <w:rPr>
                <w:rFonts w:ascii="Arial" w:hAnsi="Arial" w:cs="Arial"/>
                <w:sz w:val="18"/>
              </w:rPr>
              <w:t>9,000</w:t>
            </w:r>
          </w:p>
        </w:tc>
        <w:tc>
          <w:tcPr>
            <w:tcW w:w="1551" w:type="dxa"/>
          </w:tcPr>
          <w:p w14:paraId="0A4CB9CD" w14:textId="6739F745" w:rsidR="00CF2E58" w:rsidRPr="00444084" w:rsidRDefault="00CF2E58" w:rsidP="00060DBD">
            <w:pPr>
              <w:spacing w:after="0"/>
              <w:rPr>
                <w:rFonts w:ascii="Arial" w:hAnsi="Arial" w:cs="Arial"/>
                <w:sz w:val="18"/>
              </w:rPr>
            </w:pPr>
            <w:r w:rsidRPr="00444084">
              <w:rPr>
                <w:rFonts w:ascii="Arial" w:hAnsi="Arial" w:cs="Arial"/>
                <w:sz w:val="18"/>
              </w:rPr>
              <w:t>308,</w:t>
            </w:r>
            <w:r w:rsidR="00032469" w:rsidRPr="00444084">
              <w:rPr>
                <w:rFonts w:ascii="Arial" w:hAnsi="Arial" w:cs="Arial"/>
                <w:sz w:val="18"/>
              </w:rPr>
              <w:t>000</w:t>
            </w:r>
          </w:p>
        </w:tc>
      </w:tr>
      <w:tr w:rsidR="00032469" w:rsidRPr="00444084" w14:paraId="6A895056" w14:textId="77777777" w:rsidTr="00731B0C">
        <w:trPr>
          <w:trHeight w:val="209"/>
        </w:trPr>
        <w:tc>
          <w:tcPr>
            <w:tcW w:w="2965" w:type="dxa"/>
          </w:tcPr>
          <w:p w14:paraId="2F4C2933" w14:textId="7C00CAC2" w:rsidR="00CF2E58" w:rsidRPr="00444084" w:rsidRDefault="00731B0C" w:rsidP="00060DBD">
            <w:pPr>
              <w:spacing w:after="0"/>
              <w:rPr>
                <w:rFonts w:ascii="Arial" w:hAnsi="Arial" w:cs="Arial"/>
                <w:sz w:val="18"/>
              </w:rPr>
            </w:pPr>
            <w:r>
              <w:rPr>
                <w:rFonts w:ascii="Arial" w:hAnsi="Arial" w:cs="Arial"/>
                <w:sz w:val="18"/>
              </w:rPr>
              <w:t>Number of new infections</w:t>
            </w:r>
            <w:r w:rsidR="00CF2E58" w:rsidRPr="00444084">
              <w:rPr>
                <w:rFonts w:ascii="Arial" w:hAnsi="Arial" w:cs="Arial"/>
                <w:sz w:val="18"/>
              </w:rPr>
              <w:t xml:space="preserve"> in 2030</w:t>
            </w:r>
          </w:p>
        </w:tc>
        <w:tc>
          <w:tcPr>
            <w:tcW w:w="1080" w:type="dxa"/>
          </w:tcPr>
          <w:p w14:paraId="17D54CD1" w14:textId="35D000A9" w:rsidR="00CF2E58" w:rsidRPr="00444084" w:rsidRDefault="00CF2E58" w:rsidP="00060DBD">
            <w:pPr>
              <w:spacing w:after="0"/>
              <w:rPr>
                <w:rFonts w:ascii="Arial" w:hAnsi="Arial" w:cs="Arial"/>
                <w:sz w:val="18"/>
              </w:rPr>
            </w:pPr>
            <w:r w:rsidRPr="00444084">
              <w:rPr>
                <w:rFonts w:ascii="Arial" w:hAnsi="Arial" w:cs="Arial"/>
                <w:sz w:val="18"/>
              </w:rPr>
              <w:t>44,</w:t>
            </w:r>
            <w:r w:rsidR="00032469" w:rsidRPr="00444084">
              <w:rPr>
                <w:rFonts w:ascii="Arial" w:hAnsi="Arial" w:cs="Arial"/>
                <w:sz w:val="18"/>
              </w:rPr>
              <w:t>000</w:t>
            </w:r>
          </w:p>
        </w:tc>
        <w:tc>
          <w:tcPr>
            <w:tcW w:w="1080" w:type="dxa"/>
          </w:tcPr>
          <w:p w14:paraId="6CF0A5BF" w14:textId="07B63122" w:rsidR="00CF2E58" w:rsidRPr="00444084" w:rsidRDefault="00CF2E58" w:rsidP="00060DBD">
            <w:pPr>
              <w:spacing w:after="0"/>
              <w:rPr>
                <w:rFonts w:ascii="Arial" w:hAnsi="Arial" w:cs="Arial"/>
                <w:sz w:val="18"/>
              </w:rPr>
            </w:pPr>
            <w:r w:rsidRPr="00444084">
              <w:rPr>
                <w:rFonts w:ascii="Arial" w:hAnsi="Arial" w:cs="Arial"/>
                <w:sz w:val="18"/>
              </w:rPr>
              <w:t>14,</w:t>
            </w:r>
            <w:r w:rsidR="00032469" w:rsidRPr="00444084">
              <w:rPr>
                <w:rFonts w:ascii="Arial" w:hAnsi="Arial" w:cs="Arial"/>
                <w:sz w:val="18"/>
              </w:rPr>
              <w:t>000</w:t>
            </w:r>
          </w:p>
        </w:tc>
        <w:tc>
          <w:tcPr>
            <w:tcW w:w="1234" w:type="dxa"/>
          </w:tcPr>
          <w:p w14:paraId="67137696" w14:textId="7387A1BE" w:rsidR="00CF2E58" w:rsidRPr="00444084" w:rsidRDefault="00032469" w:rsidP="00060DBD">
            <w:pPr>
              <w:spacing w:after="0"/>
              <w:rPr>
                <w:rFonts w:ascii="Arial" w:hAnsi="Arial" w:cs="Arial"/>
                <w:sz w:val="18"/>
              </w:rPr>
            </w:pPr>
            <w:r w:rsidRPr="00444084">
              <w:rPr>
                <w:rFonts w:ascii="Arial" w:hAnsi="Arial" w:cs="Arial"/>
                <w:sz w:val="18"/>
              </w:rPr>
              <w:t>16,000</w:t>
            </w:r>
          </w:p>
        </w:tc>
        <w:tc>
          <w:tcPr>
            <w:tcW w:w="1440" w:type="dxa"/>
          </w:tcPr>
          <w:p w14:paraId="70B94F67" w14:textId="3554DF4C" w:rsidR="00CF2E58" w:rsidRPr="00444084" w:rsidRDefault="00CF2E58" w:rsidP="00060DBD">
            <w:pPr>
              <w:spacing w:after="0"/>
              <w:rPr>
                <w:rFonts w:ascii="Arial" w:hAnsi="Arial" w:cs="Arial"/>
                <w:sz w:val="18"/>
              </w:rPr>
            </w:pPr>
            <w:r w:rsidRPr="00444084">
              <w:rPr>
                <w:rFonts w:ascii="Arial" w:hAnsi="Arial" w:cs="Arial"/>
                <w:sz w:val="18"/>
              </w:rPr>
              <w:t>5</w:t>
            </w:r>
            <w:r w:rsidR="00032469" w:rsidRPr="00444084">
              <w:rPr>
                <w:rFonts w:ascii="Arial" w:hAnsi="Arial" w:cs="Arial"/>
                <w:sz w:val="18"/>
              </w:rPr>
              <w:t>5,000</w:t>
            </w:r>
          </w:p>
        </w:tc>
        <w:tc>
          <w:tcPr>
            <w:tcW w:w="1551" w:type="dxa"/>
          </w:tcPr>
          <w:p w14:paraId="10280660" w14:textId="14074865" w:rsidR="00CF2E58" w:rsidRPr="00444084" w:rsidRDefault="00CF2E58" w:rsidP="00060DBD">
            <w:pPr>
              <w:spacing w:after="0"/>
              <w:rPr>
                <w:rFonts w:ascii="Arial" w:hAnsi="Arial" w:cs="Arial"/>
                <w:sz w:val="18"/>
              </w:rPr>
            </w:pPr>
            <w:r w:rsidRPr="00444084">
              <w:rPr>
                <w:rFonts w:ascii="Arial" w:hAnsi="Arial" w:cs="Arial"/>
                <w:sz w:val="18"/>
              </w:rPr>
              <w:t>17,</w:t>
            </w:r>
            <w:r w:rsidR="00032469" w:rsidRPr="00444084">
              <w:rPr>
                <w:rFonts w:ascii="Arial" w:hAnsi="Arial" w:cs="Arial"/>
                <w:sz w:val="18"/>
              </w:rPr>
              <w:t>000</w:t>
            </w:r>
          </w:p>
        </w:tc>
      </w:tr>
      <w:tr w:rsidR="00032469" w:rsidRPr="00444084" w14:paraId="28E60D7F" w14:textId="77777777" w:rsidTr="00731B0C">
        <w:trPr>
          <w:trHeight w:val="209"/>
        </w:trPr>
        <w:tc>
          <w:tcPr>
            <w:tcW w:w="2965" w:type="dxa"/>
          </w:tcPr>
          <w:p w14:paraId="30DBEDAD" w14:textId="7A908544" w:rsidR="00CF2E58" w:rsidRPr="00444084" w:rsidRDefault="00731B0C" w:rsidP="00060DBD">
            <w:pPr>
              <w:spacing w:after="0"/>
              <w:rPr>
                <w:rFonts w:ascii="Arial" w:hAnsi="Arial" w:cs="Arial"/>
                <w:sz w:val="18"/>
              </w:rPr>
            </w:pPr>
            <w:r>
              <w:rPr>
                <w:rFonts w:ascii="Arial" w:hAnsi="Arial" w:cs="Arial"/>
                <w:sz w:val="18"/>
              </w:rPr>
              <w:t>Percent</w:t>
            </w:r>
            <w:r w:rsidR="00CF2E58" w:rsidRPr="00444084">
              <w:rPr>
                <w:rFonts w:ascii="Arial" w:hAnsi="Arial" w:cs="Arial"/>
                <w:sz w:val="18"/>
              </w:rPr>
              <w:t xml:space="preserve"> change 2019-2030</w:t>
            </w:r>
          </w:p>
        </w:tc>
        <w:tc>
          <w:tcPr>
            <w:tcW w:w="1080" w:type="dxa"/>
          </w:tcPr>
          <w:p w14:paraId="0039D80C" w14:textId="77777777" w:rsidR="00CF2E58" w:rsidRPr="00444084" w:rsidRDefault="00CF2E58" w:rsidP="00060DBD">
            <w:pPr>
              <w:spacing w:after="0"/>
              <w:rPr>
                <w:rFonts w:ascii="Arial" w:hAnsi="Arial" w:cs="Arial"/>
                <w:sz w:val="18"/>
              </w:rPr>
            </w:pPr>
            <w:r w:rsidRPr="00444084">
              <w:rPr>
                <w:rFonts w:ascii="Arial" w:hAnsi="Arial" w:cs="Arial"/>
                <w:sz w:val="18"/>
              </w:rPr>
              <w:t>-2%</w:t>
            </w:r>
          </w:p>
        </w:tc>
        <w:tc>
          <w:tcPr>
            <w:tcW w:w="1080" w:type="dxa"/>
          </w:tcPr>
          <w:p w14:paraId="462201CD" w14:textId="77777777" w:rsidR="00CF2E58" w:rsidRPr="00444084" w:rsidRDefault="00CF2E58" w:rsidP="00060DBD">
            <w:pPr>
              <w:spacing w:after="0"/>
              <w:rPr>
                <w:rFonts w:ascii="Arial" w:hAnsi="Arial" w:cs="Arial"/>
                <w:sz w:val="18"/>
              </w:rPr>
            </w:pPr>
            <w:r w:rsidRPr="00444084">
              <w:rPr>
                <w:rFonts w:ascii="Arial" w:hAnsi="Arial" w:cs="Arial"/>
                <w:sz w:val="18"/>
              </w:rPr>
              <w:t>-72%</w:t>
            </w:r>
          </w:p>
        </w:tc>
        <w:tc>
          <w:tcPr>
            <w:tcW w:w="1234" w:type="dxa"/>
          </w:tcPr>
          <w:p w14:paraId="21ABED38" w14:textId="77777777" w:rsidR="00CF2E58" w:rsidRPr="00444084" w:rsidRDefault="00CF2E58" w:rsidP="00060DBD">
            <w:pPr>
              <w:spacing w:after="0"/>
              <w:rPr>
                <w:rFonts w:ascii="Arial" w:hAnsi="Arial" w:cs="Arial"/>
                <w:sz w:val="18"/>
              </w:rPr>
            </w:pPr>
            <w:r w:rsidRPr="00444084">
              <w:rPr>
                <w:rFonts w:ascii="Arial" w:hAnsi="Arial" w:cs="Arial"/>
                <w:sz w:val="18"/>
              </w:rPr>
              <w:t>-70%</w:t>
            </w:r>
          </w:p>
        </w:tc>
        <w:tc>
          <w:tcPr>
            <w:tcW w:w="1440" w:type="dxa"/>
          </w:tcPr>
          <w:p w14:paraId="5BB833BE" w14:textId="77777777" w:rsidR="00CF2E58" w:rsidRPr="00444084" w:rsidRDefault="00CF2E58" w:rsidP="00060DBD">
            <w:pPr>
              <w:spacing w:after="0"/>
              <w:rPr>
                <w:rFonts w:ascii="Arial" w:hAnsi="Arial" w:cs="Arial"/>
                <w:sz w:val="18"/>
              </w:rPr>
            </w:pPr>
            <w:r w:rsidRPr="00444084">
              <w:rPr>
                <w:rFonts w:ascii="Arial" w:hAnsi="Arial" w:cs="Arial"/>
                <w:sz w:val="18"/>
              </w:rPr>
              <w:t>+7%</w:t>
            </w:r>
          </w:p>
        </w:tc>
        <w:tc>
          <w:tcPr>
            <w:tcW w:w="1551" w:type="dxa"/>
          </w:tcPr>
          <w:p w14:paraId="44A5D4EB" w14:textId="77777777" w:rsidR="00CF2E58" w:rsidRPr="00444084" w:rsidRDefault="00CF2E58" w:rsidP="00060DBD">
            <w:pPr>
              <w:spacing w:after="0"/>
              <w:rPr>
                <w:rFonts w:ascii="Arial" w:hAnsi="Arial" w:cs="Arial"/>
                <w:sz w:val="18"/>
              </w:rPr>
            </w:pPr>
            <w:r w:rsidRPr="00444084">
              <w:rPr>
                <w:rFonts w:ascii="Arial" w:hAnsi="Arial" w:cs="Arial"/>
                <w:sz w:val="18"/>
              </w:rPr>
              <w:t>-66%</w:t>
            </w:r>
          </w:p>
        </w:tc>
      </w:tr>
      <w:tr w:rsidR="00032469" w:rsidRPr="00444084" w14:paraId="65093635" w14:textId="77777777" w:rsidTr="00731B0C">
        <w:trPr>
          <w:trHeight w:val="224"/>
        </w:trPr>
        <w:tc>
          <w:tcPr>
            <w:tcW w:w="2965" w:type="dxa"/>
          </w:tcPr>
          <w:p w14:paraId="043B0E12" w14:textId="1BCCE502" w:rsidR="00813E82" w:rsidRPr="00444084" w:rsidRDefault="00CF2E58" w:rsidP="00060DBD">
            <w:pPr>
              <w:spacing w:after="0"/>
              <w:rPr>
                <w:rFonts w:ascii="Arial" w:hAnsi="Arial" w:cs="Arial"/>
                <w:sz w:val="18"/>
              </w:rPr>
            </w:pPr>
            <w:r w:rsidRPr="00444084">
              <w:rPr>
                <w:rFonts w:ascii="Arial" w:hAnsi="Arial" w:cs="Arial"/>
                <w:sz w:val="18"/>
              </w:rPr>
              <w:t xml:space="preserve">Fast Track target </w:t>
            </w:r>
          </w:p>
          <w:p w14:paraId="53197788" w14:textId="1E7A4E34" w:rsidR="00CF2E58" w:rsidRPr="00444084" w:rsidRDefault="00CF2E58" w:rsidP="00060DBD">
            <w:pPr>
              <w:spacing w:after="0"/>
              <w:rPr>
                <w:rFonts w:ascii="Arial" w:hAnsi="Arial" w:cs="Arial"/>
                <w:sz w:val="18"/>
              </w:rPr>
            </w:pPr>
            <w:r w:rsidRPr="00444084">
              <w:rPr>
                <w:rFonts w:ascii="Arial" w:hAnsi="Arial" w:cs="Arial"/>
                <w:sz w:val="18"/>
              </w:rPr>
              <w:t>(% Reduction 2010-</w:t>
            </w:r>
            <w:r w:rsidR="00813E82">
              <w:rPr>
                <w:rFonts w:ascii="Arial" w:hAnsi="Arial" w:cs="Arial"/>
                <w:sz w:val="18"/>
              </w:rPr>
              <w:t>20</w:t>
            </w:r>
            <w:r w:rsidRPr="00444084">
              <w:rPr>
                <w:rFonts w:ascii="Arial" w:hAnsi="Arial" w:cs="Arial"/>
                <w:sz w:val="18"/>
              </w:rPr>
              <w:t>30)</w:t>
            </w:r>
          </w:p>
        </w:tc>
        <w:tc>
          <w:tcPr>
            <w:tcW w:w="1080" w:type="dxa"/>
          </w:tcPr>
          <w:p w14:paraId="130B90C6" w14:textId="77777777" w:rsidR="00CF2E58" w:rsidRPr="00444084" w:rsidRDefault="00CF2E58" w:rsidP="00060DBD">
            <w:pPr>
              <w:spacing w:after="0"/>
              <w:rPr>
                <w:rFonts w:ascii="Arial" w:hAnsi="Arial" w:cs="Arial"/>
                <w:sz w:val="18"/>
              </w:rPr>
            </w:pPr>
            <w:r w:rsidRPr="00444084">
              <w:rPr>
                <w:rFonts w:ascii="Arial" w:hAnsi="Arial" w:cs="Arial"/>
                <w:sz w:val="18"/>
              </w:rPr>
              <w:t>-55%</w:t>
            </w:r>
          </w:p>
        </w:tc>
        <w:tc>
          <w:tcPr>
            <w:tcW w:w="1080" w:type="dxa"/>
          </w:tcPr>
          <w:p w14:paraId="3DBDB2C7" w14:textId="77777777" w:rsidR="00CF2E58" w:rsidRPr="00444084" w:rsidRDefault="00CF2E58" w:rsidP="00060DBD">
            <w:pPr>
              <w:spacing w:after="0"/>
              <w:rPr>
                <w:rFonts w:ascii="Arial" w:hAnsi="Arial" w:cs="Arial"/>
                <w:sz w:val="18"/>
              </w:rPr>
            </w:pPr>
            <w:r w:rsidRPr="00444084">
              <w:rPr>
                <w:rFonts w:ascii="Arial" w:hAnsi="Arial" w:cs="Arial"/>
                <w:sz w:val="18"/>
              </w:rPr>
              <w:t>-85%</w:t>
            </w:r>
          </w:p>
        </w:tc>
        <w:tc>
          <w:tcPr>
            <w:tcW w:w="1234" w:type="dxa"/>
          </w:tcPr>
          <w:p w14:paraId="318054A2" w14:textId="77777777" w:rsidR="00CF2E58" w:rsidRPr="00444084" w:rsidRDefault="00CF2E58" w:rsidP="00060DBD">
            <w:pPr>
              <w:spacing w:after="0"/>
              <w:rPr>
                <w:rFonts w:ascii="Arial" w:hAnsi="Arial" w:cs="Arial"/>
                <w:sz w:val="18"/>
              </w:rPr>
            </w:pPr>
            <w:r w:rsidRPr="00444084">
              <w:rPr>
                <w:rFonts w:ascii="Arial" w:hAnsi="Arial" w:cs="Arial"/>
                <w:sz w:val="18"/>
              </w:rPr>
              <w:t>-84%</w:t>
            </w:r>
          </w:p>
        </w:tc>
        <w:tc>
          <w:tcPr>
            <w:tcW w:w="1440" w:type="dxa"/>
          </w:tcPr>
          <w:p w14:paraId="233BAA9D" w14:textId="77777777" w:rsidR="00CF2E58" w:rsidRPr="00444084" w:rsidRDefault="00CF2E58" w:rsidP="00060DBD">
            <w:pPr>
              <w:spacing w:after="0"/>
              <w:rPr>
                <w:rFonts w:ascii="Arial" w:hAnsi="Arial" w:cs="Arial"/>
                <w:sz w:val="18"/>
              </w:rPr>
            </w:pPr>
            <w:r w:rsidRPr="00444084">
              <w:rPr>
                <w:rFonts w:ascii="Arial" w:hAnsi="Arial" w:cs="Arial"/>
                <w:sz w:val="18"/>
              </w:rPr>
              <w:t>-44%</w:t>
            </w:r>
          </w:p>
        </w:tc>
        <w:tc>
          <w:tcPr>
            <w:tcW w:w="1551" w:type="dxa"/>
          </w:tcPr>
          <w:p w14:paraId="430D01C2" w14:textId="77777777" w:rsidR="00CF2E58" w:rsidRPr="00444084" w:rsidRDefault="00CF2E58" w:rsidP="00060DBD">
            <w:pPr>
              <w:spacing w:after="0"/>
              <w:rPr>
                <w:rFonts w:ascii="Arial" w:hAnsi="Arial" w:cs="Arial"/>
                <w:sz w:val="18"/>
              </w:rPr>
            </w:pPr>
            <w:r w:rsidRPr="00444084">
              <w:rPr>
                <w:rFonts w:ascii="Arial" w:hAnsi="Arial" w:cs="Arial"/>
                <w:sz w:val="18"/>
              </w:rPr>
              <w:t>-82%</w:t>
            </w:r>
          </w:p>
        </w:tc>
      </w:tr>
      <w:tr w:rsidR="00CF2E58" w:rsidRPr="00444084" w14:paraId="758B7059" w14:textId="77777777" w:rsidTr="00060DBD">
        <w:trPr>
          <w:trHeight w:val="209"/>
        </w:trPr>
        <w:tc>
          <w:tcPr>
            <w:tcW w:w="9350" w:type="dxa"/>
            <w:gridSpan w:val="6"/>
            <w:shd w:val="clear" w:color="auto" w:fill="D0CECE" w:themeFill="background2" w:themeFillShade="E6"/>
          </w:tcPr>
          <w:p w14:paraId="2D717B14" w14:textId="77777777" w:rsidR="00CF2E58" w:rsidRPr="00444084" w:rsidRDefault="00CF2E58" w:rsidP="00060DBD">
            <w:pPr>
              <w:spacing w:after="0"/>
              <w:rPr>
                <w:rFonts w:ascii="Arial" w:hAnsi="Arial" w:cs="Arial"/>
                <w:b/>
                <w:sz w:val="18"/>
              </w:rPr>
            </w:pPr>
            <w:r w:rsidRPr="00444084">
              <w:rPr>
                <w:rFonts w:ascii="Arial" w:hAnsi="Arial" w:cs="Arial"/>
                <w:b/>
                <w:sz w:val="18"/>
              </w:rPr>
              <w:t>New infections (Adolescents)</w:t>
            </w:r>
          </w:p>
        </w:tc>
      </w:tr>
      <w:tr w:rsidR="00032469" w:rsidRPr="00444084" w14:paraId="7FDB222C" w14:textId="77777777" w:rsidTr="00731B0C">
        <w:trPr>
          <w:trHeight w:val="209"/>
        </w:trPr>
        <w:tc>
          <w:tcPr>
            <w:tcW w:w="2965" w:type="dxa"/>
          </w:tcPr>
          <w:p w14:paraId="01620E7B" w14:textId="7B863018" w:rsidR="00CF2E58" w:rsidRPr="00444084" w:rsidRDefault="00CF2E58" w:rsidP="00060DBD">
            <w:pPr>
              <w:spacing w:after="0"/>
              <w:rPr>
                <w:rFonts w:ascii="Arial" w:hAnsi="Arial" w:cs="Arial"/>
                <w:sz w:val="18"/>
              </w:rPr>
            </w:pPr>
            <w:r w:rsidRPr="00444084">
              <w:rPr>
                <w:rFonts w:ascii="Arial" w:hAnsi="Arial" w:cs="Arial"/>
                <w:sz w:val="18"/>
              </w:rPr>
              <w:t>Cumulative</w:t>
            </w:r>
            <w:r w:rsidR="00B1089B">
              <w:rPr>
                <w:rFonts w:ascii="Arial" w:hAnsi="Arial" w:cs="Arial"/>
                <w:sz w:val="18"/>
              </w:rPr>
              <w:t xml:space="preserve"> new infections</w:t>
            </w:r>
            <w:r w:rsidRPr="00444084">
              <w:rPr>
                <w:rFonts w:ascii="Arial" w:hAnsi="Arial" w:cs="Arial"/>
                <w:sz w:val="18"/>
              </w:rPr>
              <w:t xml:space="preserve"> 2019-2030</w:t>
            </w:r>
          </w:p>
        </w:tc>
        <w:tc>
          <w:tcPr>
            <w:tcW w:w="1080" w:type="dxa"/>
          </w:tcPr>
          <w:p w14:paraId="29D239CF" w14:textId="7670FFBD" w:rsidR="00CF2E58" w:rsidRPr="00444084" w:rsidRDefault="00CF2E58" w:rsidP="00060DBD">
            <w:pPr>
              <w:spacing w:after="0"/>
              <w:rPr>
                <w:rFonts w:ascii="Arial" w:hAnsi="Arial" w:cs="Arial"/>
                <w:sz w:val="18"/>
              </w:rPr>
            </w:pPr>
            <w:r w:rsidRPr="00444084">
              <w:rPr>
                <w:rFonts w:ascii="Arial" w:hAnsi="Arial" w:cs="Arial"/>
                <w:sz w:val="18"/>
              </w:rPr>
              <w:t>150,</w:t>
            </w:r>
            <w:r w:rsidR="00032469" w:rsidRPr="00444084">
              <w:rPr>
                <w:rFonts w:ascii="Arial" w:hAnsi="Arial" w:cs="Arial"/>
                <w:sz w:val="18"/>
              </w:rPr>
              <w:t>000</w:t>
            </w:r>
          </w:p>
        </w:tc>
        <w:tc>
          <w:tcPr>
            <w:tcW w:w="1080" w:type="dxa"/>
          </w:tcPr>
          <w:p w14:paraId="01008BBA" w14:textId="680FE693" w:rsidR="00CF2E58" w:rsidRPr="00444084" w:rsidRDefault="00CF2E58" w:rsidP="00060DBD">
            <w:pPr>
              <w:spacing w:after="0"/>
              <w:rPr>
                <w:rFonts w:ascii="Arial" w:hAnsi="Arial" w:cs="Arial"/>
                <w:sz w:val="18"/>
              </w:rPr>
            </w:pPr>
            <w:r w:rsidRPr="00444084">
              <w:rPr>
                <w:rFonts w:ascii="Arial" w:hAnsi="Arial" w:cs="Arial"/>
                <w:sz w:val="18"/>
              </w:rPr>
              <w:t>7</w:t>
            </w:r>
            <w:r w:rsidR="00032469" w:rsidRPr="00444084">
              <w:rPr>
                <w:rFonts w:ascii="Arial" w:hAnsi="Arial" w:cs="Arial"/>
                <w:sz w:val="18"/>
              </w:rPr>
              <w:t>5,000</w:t>
            </w:r>
          </w:p>
        </w:tc>
        <w:tc>
          <w:tcPr>
            <w:tcW w:w="1234" w:type="dxa"/>
          </w:tcPr>
          <w:p w14:paraId="0CFD0F2A" w14:textId="450D8B6A" w:rsidR="00CF2E58" w:rsidRPr="00444084" w:rsidRDefault="00CF2E58" w:rsidP="00060DBD">
            <w:pPr>
              <w:spacing w:after="0"/>
              <w:rPr>
                <w:rFonts w:ascii="Arial" w:hAnsi="Arial" w:cs="Arial"/>
                <w:sz w:val="18"/>
              </w:rPr>
            </w:pPr>
            <w:r w:rsidRPr="00444084">
              <w:rPr>
                <w:rFonts w:ascii="Arial" w:hAnsi="Arial" w:cs="Arial"/>
                <w:sz w:val="18"/>
              </w:rPr>
              <w:t>7</w:t>
            </w:r>
            <w:r w:rsidR="00032469" w:rsidRPr="00444084">
              <w:rPr>
                <w:rFonts w:ascii="Arial" w:hAnsi="Arial" w:cs="Arial"/>
                <w:sz w:val="18"/>
              </w:rPr>
              <w:t>9,000</w:t>
            </w:r>
          </w:p>
        </w:tc>
        <w:tc>
          <w:tcPr>
            <w:tcW w:w="1440" w:type="dxa"/>
          </w:tcPr>
          <w:p w14:paraId="633B7D02" w14:textId="33AA3E92" w:rsidR="00CF2E58" w:rsidRPr="00444084" w:rsidRDefault="00CF2E58" w:rsidP="00060DBD">
            <w:pPr>
              <w:spacing w:after="0"/>
              <w:rPr>
                <w:rFonts w:ascii="Arial" w:hAnsi="Arial" w:cs="Arial"/>
                <w:sz w:val="18"/>
              </w:rPr>
            </w:pPr>
            <w:r w:rsidRPr="00444084">
              <w:rPr>
                <w:rFonts w:ascii="Arial" w:hAnsi="Arial" w:cs="Arial"/>
                <w:sz w:val="18"/>
              </w:rPr>
              <w:t>149,</w:t>
            </w:r>
            <w:r w:rsidR="00032469" w:rsidRPr="00444084">
              <w:rPr>
                <w:rFonts w:ascii="Arial" w:hAnsi="Arial" w:cs="Arial"/>
                <w:sz w:val="18"/>
              </w:rPr>
              <w:t>000</w:t>
            </w:r>
          </w:p>
        </w:tc>
        <w:tc>
          <w:tcPr>
            <w:tcW w:w="1551" w:type="dxa"/>
          </w:tcPr>
          <w:p w14:paraId="7C37B301" w14:textId="252F3172" w:rsidR="00CF2E58" w:rsidRPr="00444084" w:rsidRDefault="00CF2E58" w:rsidP="00060DBD">
            <w:pPr>
              <w:spacing w:after="0"/>
              <w:rPr>
                <w:rFonts w:ascii="Arial" w:hAnsi="Arial" w:cs="Arial"/>
                <w:sz w:val="18"/>
              </w:rPr>
            </w:pPr>
            <w:r w:rsidRPr="00444084">
              <w:rPr>
                <w:rFonts w:ascii="Arial" w:hAnsi="Arial" w:cs="Arial"/>
                <w:sz w:val="18"/>
              </w:rPr>
              <w:t>8</w:t>
            </w:r>
            <w:r w:rsidR="00032469" w:rsidRPr="00444084">
              <w:rPr>
                <w:rFonts w:ascii="Arial" w:hAnsi="Arial" w:cs="Arial"/>
                <w:sz w:val="18"/>
              </w:rPr>
              <w:t>6,000</w:t>
            </w:r>
          </w:p>
        </w:tc>
      </w:tr>
      <w:tr w:rsidR="00032469" w:rsidRPr="00444084" w14:paraId="2DA7000D" w14:textId="77777777" w:rsidTr="00731B0C">
        <w:trPr>
          <w:trHeight w:val="209"/>
        </w:trPr>
        <w:tc>
          <w:tcPr>
            <w:tcW w:w="2965" w:type="dxa"/>
          </w:tcPr>
          <w:p w14:paraId="14BAF915" w14:textId="2DC2349B" w:rsidR="00CF2E58" w:rsidRPr="00444084" w:rsidRDefault="001264AF" w:rsidP="00060DBD">
            <w:pPr>
              <w:spacing w:after="0"/>
              <w:rPr>
                <w:rFonts w:ascii="Arial" w:hAnsi="Arial" w:cs="Arial"/>
                <w:sz w:val="18"/>
              </w:rPr>
            </w:pPr>
            <w:r>
              <w:rPr>
                <w:rFonts w:ascii="Arial" w:hAnsi="Arial" w:cs="Arial"/>
                <w:sz w:val="18"/>
              </w:rPr>
              <w:t xml:space="preserve">Number of </w:t>
            </w:r>
            <w:r w:rsidR="00731B0C">
              <w:rPr>
                <w:rFonts w:ascii="Arial" w:hAnsi="Arial" w:cs="Arial"/>
                <w:sz w:val="18"/>
              </w:rPr>
              <w:t xml:space="preserve">new </w:t>
            </w:r>
            <w:r>
              <w:rPr>
                <w:rFonts w:ascii="Arial" w:hAnsi="Arial" w:cs="Arial"/>
                <w:sz w:val="18"/>
              </w:rPr>
              <w:t xml:space="preserve">infections </w:t>
            </w:r>
            <w:r w:rsidR="00CF2E58" w:rsidRPr="00444084">
              <w:rPr>
                <w:rFonts w:ascii="Arial" w:hAnsi="Arial" w:cs="Arial"/>
                <w:sz w:val="18"/>
              </w:rPr>
              <w:t>in 2030</w:t>
            </w:r>
          </w:p>
        </w:tc>
        <w:tc>
          <w:tcPr>
            <w:tcW w:w="1080" w:type="dxa"/>
          </w:tcPr>
          <w:p w14:paraId="63F26149" w14:textId="53D8FEAF" w:rsidR="00CF2E58" w:rsidRPr="00444084" w:rsidRDefault="00CF2E58" w:rsidP="00060DBD">
            <w:pPr>
              <w:spacing w:after="0"/>
              <w:rPr>
                <w:rFonts w:ascii="Arial" w:hAnsi="Arial" w:cs="Arial"/>
                <w:sz w:val="18"/>
              </w:rPr>
            </w:pPr>
            <w:r w:rsidRPr="00444084">
              <w:rPr>
                <w:rFonts w:ascii="Arial" w:hAnsi="Arial" w:cs="Arial"/>
                <w:sz w:val="18"/>
              </w:rPr>
              <w:t>13,0</w:t>
            </w:r>
            <w:r w:rsidR="00405A83">
              <w:rPr>
                <w:rFonts w:ascii="Arial" w:hAnsi="Arial" w:cs="Arial"/>
                <w:sz w:val="18"/>
              </w:rPr>
              <w:t>00</w:t>
            </w:r>
          </w:p>
        </w:tc>
        <w:tc>
          <w:tcPr>
            <w:tcW w:w="1080" w:type="dxa"/>
          </w:tcPr>
          <w:p w14:paraId="648B125F" w14:textId="7E9B9664" w:rsidR="00CF2E58" w:rsidRPr="00444084" w:rsidRDefault="00405A83" w:rsidP="00060DBD">
            <w:pPr>
              <w:spacing w:after="0"/>
              <w:rPr>
                <w:rFonts w:ascii="Arial" w:hAnsi="Arial" w:cs="Arial"/>
                <w:sz w:val="18"/>
              </w:rPr>
            </w:pPr>
            <w:r>
              <w:rPr>
                <w:rFonts w:ascii="Arial" w:hAnsi="Arial" w:cs="Arial"/>
                <w:sz w:val="18"/>
              </w:rPr>
              <w:t>3,000</w:t>
            </w:r>
          </w:p>
        </w:tc>
        <w:tc>
          <w:tcPr>
            <w:tcW w:w="1234" w:type="dxa"/>
          </w:tcPr>
          <w:p w14:paraId="464CB315" w14:textId="1E997AC7" w:rsidR="00CF2E58" w:rsidRPr="00444084" w:rsidRDefault="00405A83" w:rsidP="00060DBD">
            <w:pPr>
              <w:spacing w:after="0"/>
              <w:rPr>
                <w:rFonts w:ascii="Arial" w:hAnsi="Arial" w:cs="Arial"/>
                <w:sz w:val="18"/>
              </w:rPr>
            </w:pPr>
            <w:r>
              <w:rPr>
                <w:rFonts w:ascii="Arial" w:hAnsi="Arial" w:cs="Arial"/>
                <w:sz w:val="18"/>
              </w:rPr>
              <w:t>4,100</w:t>
            </w:r>
          </w:p>
        </w:tc>
        <w:tc>
          <w:tcPr>
            <w:tcW w:w="1440" w:type="dxa"/>
          </w:tcPr>
          <w:p w14:paraId="077F0E0A" w14:textId="227E50B0" w:rsidR="00CF2E58" w:rsidRPr="00444084" w:rsidRDefault="00405A83" w:rsidP="00060DBD">
            <w:pPr>
              <w:spacing w:after="0"/>
              <w:rPr>
                <w:rFonts w:ascii="Arial" w:hAnsi="Arial" w:cs="Arial"/>
                <w:sz w:val="18"/>
              </w:rPr>
            </w:pPr>
            <w:r>
              <w:rPr>
                <w:rFonts w:ascii="Arial" w:hAnsi="Arial" w:cs="Arial"/>
                <w:sz w:val="18"/>
              </w:rPr>
              <w:t>18,000</w:t>
            </w:r>
          </w:p>
        </w:tc>
        <w:tc>
          <w:tcPr>
            <w:tcW w:w="1551" w:type="dxa"/>
          </w:tcPr>
          <w:p w14:paraId="304A4E34" w14:textId="6EC01C57" w:rsidR="00CF2E58" w:rsidRPr="00444084" w:rsidRDefault="00405A83" w:rsidP="00060DBD">
            <w:pPr>
              <w:spacing w:after="0"/>
              <w:rPr>
                <w:rFonts w:ascii="Arial" w:hAnsi="Arial" w:cs="Arial"/>
                <w:sz w:val="18"/>
              </w:rPr>
            </w:pPr>
            <w:r>
              <w:rPr>
                <w:rFonts w:ascii="Arial" w:hAnsi="Arial" w:cs="Arial"/>
                <w:sz w:val="18"/>
              </w:rPr>
              <w:t>5,000</w:t>
            </w:r>
          </w:p>
        </w:tc>
      </w:tr>
      <w:tr w:rsidR="00032469" w:rsidRPr="00444084" w14:paraId="41DB6949" w14:textId="77777777" w:rsidTr="00731B0C">
        <w:trPr>
          <w:trHeight w:val="209"/>
        </w:trPr>
        <w:tc>
          <w:tcPr>
            <w:tcW w:w="2965" w:type="dxa"/>
          </w:tcPr>
          <w:p w14:paraId="7AB9C06C" w14:textId="35F2CF76" w:rsidR="00CF2E58" w:rsidRPr="00444084" w:rsidRDefault="00731B0C" w:rsidP="00060DBD">
            <w:pPr>
              <w:spacing w:after="0"/>
              <w:rPr>
                <w:rFonts w:ascii="Arial" w:hAnsi="Arial" w:cs="Arial"/>
                <w:sz w:val="18"/>
              </w:rPr>
            </w:pPr>
            <w:r>
              <w:rPr>
                <w:rFonts w:ascii="Arial" w:hAnsi="Arial" w:cs="Arial"/>
                <w:sz w:val="18"/>
              </w:rPr>
              <w:t>Percent</w:t>
            </w:r>
            <w:r w:rsidR="00CF2E58" w:rsidRPr="00444084">
              <w:rPr>
                <w:rFonts w:ascii="Arial" w:hAnsi="Arial" w:cs="Arial"/>
                <w:sz w:val="18"/>
              </w:rPr>
              <w:t xml:space="preserve"> change 2019-2030</w:t>
            </w:r>
          </w:p>
        </w:tc>
        <w:tc>
          <w:tcPr>
            <w:tcW w:w="1080" w:type="dxa"/>
          </w:tcPr>
          <w:p w14:paraId="4317D6EF" w14:textId="77777777" w:rsidR="00CF2E58" w:rsidRPr="00444084" w:rsidRDefault="00CF2E58" w:rsidP="00060DBD">
            <w:pPr>
              <w:spacing w:after="0"/>
              <w:rPr>
                <w:rFonts w:ascii="Arial" w:hAnsi="Arial" w:cs="Arial"/>
                <w:sz w:val="18"/>
              </w:rPr>
            </w:pPr>
            <w:r w:rsidRPr="00444084">
              <w:rPr>
                <w:rFonts w:ascii="Arial" w:hAnsi="Arial" w:cs="Arial"/>
                <w:sz w:val="18"/>
              </w:rPr>
              <w:t>+9%</w:t>
            </w:r>
          </w:p>
        </w:tc>
        <w:tc>
          <w:tcPr>
            <w:tcW w:w="1080" w:type="dxa"/>
          </w:tcPr>
          <w:p w14:paraId="049D77A7" w14:textId="77777777" w:rsidR="00CF2E58" w:rsidRPr="00444084" w:rsidRDefault="00CF2E58" w:rsidP="00060DBD">
            <w:pPr>
              <w:spacing w:after="0"/>
              <w:rPr>
                <w:rFonts w:ascii="Arial" w:hAnsi="Arial" w:cs="Arial"/>
                <w:sz w:val="18"/>
              </w:rPr>
            </w:pPr>
            <w:r w:rsidRPr="00444084">
              <w:rPr>
                <w:rFonts w:ascii="Arial" w:hAnsi="Arial" w:cs="Arial"/>
                <w:sz w:val="18"/>
              </w:rPr>
              <w:t>-67%</w:t>
            </w:r>
          </w:p>
        </w:tc>
        <w:tc>
          <w:tcPr>
            <w:tcW w:w="1234" w:type="dxa"/>
          </w:tcPr>
          <w:p w14:paraId="2803F991" w14:textId="77777777" w:rsidR="00CF2E58" w:rsidRPr="00444084" w:rsidRDefault="00CF2E58" w:rsidP="00060DBD">
            <w:pPr>
              <w:spacing w:after="0"/>
              <w:rPr>
                <w:rFonts w:ascii="Arial" w:hAnsi="Arial" w:cs="Arial"/>
                <w:sz w:val="18"/>
              </w:rPr>
            </w:pPr>
            <w:r w:rsidRPr="00444084">
              <w:rPr>
                <w:rFonts w:ascii="Arial" w:hAnsi="Arial" w:cs="Arial"/>
                <w:sz w:val="18"/>
              </w:rPr>
              <w:t>-66%</w:t>
            </w:r>
          </w:p>
        </w:tc>
        <w:tc>
          <w:tcPr>
            <w:tcW w:w="1440" w:type="dxa"/>
          </w:tcPr>
          <w:p w14:paraId="3B89F67C" w14:textId="77777777" w:rsidR="00CF2E58" w:rsidRPr="00444084" w:rsidRDefault="00CF2E58" w:rsidP="00060DBD">
            <w:pPr>
              <w:spacing w:after="0"/>
              <w:rPr>
                <w:rFonts w:ascii="Arial" w:hAnsi="Arial" w:cs="Arial"/>
                <w:sz w:val="18"/>
              </w:rPr>
            </w:pPr>
            <w:r w:rsidRPr="00444084">
              <w:rPr>
                <w:rFonts w:ascii="Arial" w:hAnsi="Arial" w:cs="Arial"/>
                <w:sz w:val="18"/>
              </w:rPr>
              <w:t>+47%</w:t>
            </w:r>
          </w:p>
        </w:tc>
        <w:tc>
          <w:tcPr>
            <w:tcW w:w="1551" w:type="dxa"/>
          </w:tcPr>
          <w:p w14:paraId="36C1BF7A" w14:textId="77777777" w:rsidR="00CF2E58" w:rsidRPr="00444084" w:rsidRDefault="00CF2E58" w:rsidP="00060DBD">
            <w:pPr>
              <w:spacing w:after="0"/>
              <w:rPr>
                <w:rFonts w:ascii="Arial" w:hAnsi="Arial" w:cs="Arial"/>
                <w:sz w:val="18"/>
              </w:rPr>
            </w:pPr>
            <w:r w:rsidRPr="00444084">
              <w:rPr>
                <w:rFonts w:ascii="Arial" w:hAnsi="Arial" w:cs="Arial"/>
                <w:sz w:val="18"/>
              </w:rPr>
              <w:t>-60%</w:t>
            </w:r>
          </w:p>
        </w:tc>
      </w:tr>
      <w:tr w:rsidR="00032469" w:rsidRPr="00444084" w14:paraId="769A2B4A" w14:textId="77777777" w:rsidTr="00731B0C">
        <w:trPr>
          <w:trHeight w:val="209"/>
        </w:trPr>
        <w:tc>
          <w:tcPr>
            <w:tcW w:w="4045" w:type="dxa"/>
            <w:gridSpan w:val="2"/>
            <w:shd w:val="clear" w:color="auto" w:fill="D9D9D9" w:themeFill="background1" w:themeFillShade="D9"/>
          </w:tcPr>
          <w:p w14:paraId="1962F7AE" w14:textId="77777777" w:rsidR="00CF2E58" w:rsidRPr="00444084" w:rsidRDefault="00CF2E58" w:rsidP="00060DBD">
            <w:pPr>
              <w:spacing w:after="0"/>
              <w:rPr>
                <w:rFonts w:ascii="Arial" w:hAnsi="Arial" w:cs="Arial"/>
                <w:sz w:val="18"/>
              </w:rPr>
            </w:pPr>
            <w:r w:rsidRPr="00444084">
              <w:rPr>
                <w:rFonts w:ascii="Arial" w:hAnsi="Arial" w:cs="Arial"/>
                <w:b/>
                <w:sz w:val="18"/>
              </w:rPr>
              <w:t>AIDS-related deaths</w:t>
            </w:r>
          </w:p>
        </w:tc>
        <w:tc>
          <w:tcPr>
            <w:tcW w:w="1080" w:type="dxa"/>
            <w:shd w:val="clear" w:color="auto" w:fill="D9D9D9" w:themeFill="background1" w:themeFillShade="D9"/>
          </w:tcPr>
          <w:p w14:paraId="04C47FBE" w14:textId="77777777" w:rsidR="00CF2E58" w:rsidRPr="00444084" w:rsidRDefault="00CF2E58" w:rsidP="00060DBD">
            <w:pPr>
              <w:spacing w:after="0"/>
              <w:rPr>
                <w:rFonts w:ascii="Arial" w:hAnsi="Arial" w:cs="Arial"/>
                <w:b/>
                <w:sz w:val="18"/>
              </w:rPr>
            </w:pPr>
          </w:p>
        </w:tc>
        <w:tc>
          <w:tcPr>
            <w:tcW w:w="1234" w:type="dxa"/>
            <w:shd w:val="clear" w:color="auto" w:fill="D9D9D9" w:themeFill="background1" w:themeFillShade="D9"/>
          </w:tcPr>
          <w:p w14:paraId="016551FA" w14:textId="77777777" w:rsidR="00CF2E58" w:rsidRPr="00444084" w:rsidRDefault="00CF2E58" w:rsidP="00060DBD">
            <w:pPr>
              <w:spacing w:after="0"/>
              <w:rPr>
                <w:rFonts w:ascii="Arial" w:hAnsi="Arial" w:cs="Arial"/>
                <w:b/>
                <w:sz w:val="18"/>
              </w:rPr>
            </w:pPr>
          </w:p>
        </w:tc>
        <w:tc>
          <w:tcPr>
            <w:tcW w:w="1440" w:type="dxa"/>
            <w:shd w:val="clear" w:color="auto" w:fill="D9D9D9" w:themeFill="background1" w:themeFillShade="D9"/>
          </w:tcPr>
          <w:p w14:paraId="27068EE8" w14:textId="77777777" w:rsidR="00CF2E58" w:rsidRPr="00444084" w:rsidRDefault="00CF2E58" w:rsidP="00060DBD">
            <w:pPr>
              <w:spacing w:after="0"/>
              <w:rPr>
                <w:rFonts w:ascii="Arial" w:hAnsi="Arial" w:cs="Arial"/>
                <w:b/>
                <w:sz w:val="18"/>
              </w:rPr>
            </w:pPr>
          </w:p>
        </w:tc>
        <w:tc>
          <w:tcPr>
            <w:tcW w:w="1551" w:type="dxa"/>
            <w:shd w:val="clear" w:color="auto" w:fill="D9D9D9" w:themeFill="background1" w:themeFillShade="D9"/>
          </w:tcPr>
          <w:p w14:paraId="41A51EC4" w14:textId="77777777" w:rsidR="00CF2E58" w:rsidRPr="00444084" w:rsidRDefault="00CF2E58" w:rsidP="00060DBD">
            <w:pPr>
              <w:spacing w:after="0"/>
              <w:rPr>
                <w:rFonts w:ascii="Arial" w:hAnsi="Arial" w:cs="Arial"/>
                <w:b/>
                <w:sz w:val="18"/>
              </w:rPr>
            </w:pPr>
          </w:p>
        </w:tc>
      </w:tr>
      <w:tr w:rsidR="00032469" w:rsidRPr="00444084" w14:paraId="5AB66F63" w14:textId="77777777" w:rsidTr="00731B0C">
        <w:trPr>
          <w:trHeight w:val="209"/>
        </w:trPr>
        <w:tc>
          <w:tcPr>
            <w:tcW w:w="2965" w:type="dxa"/>
          </w:tcPr>
          <w:p w14:paraId="137BB590" w14:textId="67ECFC1D" w:rsidR="00CF2E58" w:rsidRPr="00444084" w:rsidRDefault="00CF2E58" w:rsidP="00060DBD">
            <w:pPr>
              <w:spacing w:after="0"/>
              <w:rPr>
                <w:rFonts w:ascii="Arial" w:hAnsi="Arial" w:cs="Arial"/>
                <w:sz w:val="18"/>
              </w:rPr>
            </w:pPr>
            <w:r w:rsidRPr="00444084">
              <w:rPr>
                <w:rFonts w:ascii="Arial" w:hAnsi="Arial" w:cs="Arial"/>
                <w:sz w:val="18"/>
              </w:rPr>
              <w:t xml:space="preserve">Cumulative </w:t>
            </w:r>
            <w:r w:rsidR="00B1089B">
              <w:rPr>
                <w:rFonts w:ascii="Arial" w:hAnsi="Arial" w:cs="Arial"/>
                <w:sz w:val="18"/>
              </w:rPr>
              <w:t xml:space="preserve">deaths </w:t>
            </w:r>
            <w:r w:rsidRPr="00444084">
              <w:rPr>
                <w:rFonts w:ascii="Arial" w:hAnsi="Arial" w:cs="Arial"/>
                <w:sz w:val="18"/>
              </w:rPr>
              <w:t>2019-2030</w:t>
            </w:r>
          </w:p>
        </w:tc>
        <w:tc>
          <w:tcPr>
            <w:tcW w:w="1080" w:type="dxa"/>
          </w:tcPr>
          <w:p w14:paraId="0BF11C93" w14:textId="1E88A40E" w:rsidR="00CF2E58" w:rsidRPr="00444084" w:rsidRDefault="00CF2E58" w:rsidP="00060DBD">
            <w:pPr>
              <w:spacing w:after="0"/>
              <w:rPr>
                <w:rFonts w:ascii="Arial" w:hAnsi="Arial" w:cs="Arial"/>
                <w:sz w:val="18"/>
              </w:rPr>
            </w:pPr>
            <w:r w:rsidRPr="00444084">
              <w:rPr>
                <w:rFonts w:ascii="Arial" w:hAnsi="Arial" w:cs="Arial"/>
                <w:sz w:val="18"/>
              </w:rPr>
              <w:t>40</w:t>
            </w:r>
            <w:r w:rsidR="00032469" w:rsidRPr="00444084">
              <w:rPr>
                <w:rFonts w:ascii="Arial" w:hAnsi="Arial" w:cs="Arial"/>
                <w:sz w:val="18"/>
              </w:rPr>
              <w:t>8,000</w:t>
            </w:r>
          </w:p>
        </w:tc>
        <w:tc>
          <w:tcPr>
            <w:tcW w:w="1080" w:type="dxa"/>
          </w:tcPr>
          <w:p w14:paraId="3BE1DCEA" w14:textId="7B0A650E" w:rsidR="00CF2E58" w:rsidRPr="00444084" w:rsidRDefault="00CF2E58" w:rsidP="00060DBD">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c>
          <w:tcPr>
            <w:tcW w:w="1234" w:type="dxa"/>
          </w:tcPr>
          <w:p w14:paraId="62E4C89C" w14:textId="4E357F87" w:rsidR="00CF2E58" w:rsidRPr="00444084" w:rsidRDefault="00CF2E58" w:rsidP="00060DBD">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c>
          <w:tcPr>
            <w:tcW w:w="1440" w:type="dxa"/>
          </w:tcPr>
          <w:p w14:paraId="7DF0ED13" w14:textId="756A2A51" w:rsidR="00CF2E58" w:rsidRPr="00444084" w:rsidRDefault="00CF2E58" w:rsidP="00060DBD">
            <w:pPr>
              <w:spacing w:after="0"/>
              <w:rPr>
                <w:rFonts w:ascii="Arial" w:hAnsi="Arial" w:cs="Arial"/>
                <w:sz w:val="18"/>
              </w:rPr>
            </w:pPr>
            <w:r w:rsidRPr="00444084">
              <w:rPr>
                <w:rFonts w:ascii="Arial" w:hAnsi="Arial" w:cs="Arial"/>
                <w:sz w:val="18"/>
              </w:rPr>
              <w:t>34</w:t>
            </w:r>
            <w:r w:rsidR="00032469" w:rsidRPr="00444084">
              <w:rPr>
                <w:rFonts w:ascii="Arial" w:hAnsi="Arial" w:cs="Arial"/>
                <w:sz w:val="18"/>
              </w:rPr>
              <w:t>4,000</w:t>
            </w:r>
          </w:p>
        </w:tc>
        <w:tc>
          <w:tcPr>
            <w:tcW w:w="1551" w:type="dxa"/>
          </w:tcPr>
          <w:p w14:paraId="1EC3DB07" w14:textId="04E6622F" w:rsidR="00CF2E58" w:rsidRPr="00444084" w:rsidRDefault="00CF2E58" w:rsidP="00060DBD">
            <w:pPr>
              <w:spacing w:after="0"/>
              <w:rPr>
                <w:rFonts w:ascii="Arial" w:hAnsi="Arial" w:cs="Arial"/>
                <w:sz w:val="18"/>
              </w:rPr>
            </w:pPr>
            <w:r w:rsidRPr="00444084">
              <w:rPr>
                <w:rFonts w:ascii="Arial" w:hAnsi="Arial" w:cs="Arial"/>
                <w:sz w:val="18"/>
              </w:rPr>
              <w:t>2</w:t>
            </w:r>
            <w:r w:rsidR="00032469" w:rsidRPr="00444084">
              <w:rPr>
                <w:rFonts w:ascii="Arial" w:hAnsi="Arial" w:cs="Arial"/>
                <w:sz w:val="18"/>
              </w:rPr>
              <w:t>20,000</w:t>
            </w:r>
          </w:p>
        </w:tc>
      </w:tr>
      <w:tr w:rsidR="00032469" w:rsidRPr="00444084" w14:paraId="75816C7C" w14:textId="77777777" w:rsidTr="00731B0C">
        <w:trPr>
          <w:trHeight w:val="209"/>
        </w:trPr>
        <w:tc>
          <w:tcPr>
            <w:tcW w:w="2965" w:type="dxa"/>
          </w:tcPr>
          <w:p w14:paraId="23DC0C9F" w14:textId="52752710" w:rsidR="00CF2E58" w:rsidRPr="00444084" w:rsidRDefault="001264AF" w:rsidP="00060DBD">
            <w:pPr>
              <w:spacing w:after="0"/>
              <w:rPr>
                <w:rFonts w:ascii="Arial" w:hAnsi="Arial" w:cs="Arial"/>
                <w:sz w:val="18"/>
              </w:rPr>
            </w:pPr>
            <w:r>
              <w:rPr>
                <w:rFonts w:ascii="Arial" w:hAnsi="Arial" w:cs="Arial"/>
                <w:sz w:val="18"/>
              </w:rPr>
              <w:t>Number of deaths</w:t>
            </w:r>
            <w:r w:rsidR="00CF2E58" w:rsidRPr="00444084">
              <w:rPr>
                <w:rFonts w:ascii="Arial" w:hAnsi="Arial" w:cs="Arial"/>
                <w:sz w:val="18"/>
              </w:rPr>
              <w:t xml:space="preserve"> in 2030</w:t>
            </w:r>
          </w:p>
        </w:tc>
        <w:tc>
          <w:tcPr>
            <w:tcW w:w="1080" w:type="dxa"/>
          </w:tcPr>
          <w:p w14:paraId="4BDCF991" w14:textId="321E025B" w:rsidR="00CF2E58" w:rsidRPr="00444084" w:rsidRDefault="00CF2E58" w:rsidP="00060DBD">
            <w:pPr>
              <w:spacing w:after="0"/>
              <w:rPr>
                <w:rFonts w:ascii="Arial" w:hAnsi="Arial" w:cs="Arial"/>
                <w:sz w:val="18"/>
              </w:rPr>
            </w:pPr>
            <w:r w:rsidRPr="00444084">
              <w:rPr>
                <w:rFonts w:ascii="Arial" w:hAnsi="Arial" w:cs="Arial"/>
                <w:sz w:val="18"/>
              </w:rPr>
              <w:t>3</w:t>
            </w:r>
            <w:r w:rsidR="00405A83">
              <w:rPr>
                <w:rFonts w:ascii="Arial" w:hAnsi="Arial" w:cs="Arial"/>
                <w:sz w:val="18"/>
              </w:rPr>
              <w:t>9,000</w:t>
            </w:r>
          </w:p>
        </w:tc>
        <w:tc>
          <w:tcPr>
            <w:tcW w:w="1080" w:type="dxa"/>
          </w:tcPr>
          <w:p w14:paraId="775F064A" w14:textId="12F94F36" w:rsidR="00CF2E58" w:rsidRPr="00444084" w:rsidRDefault="00405A83" w:rsidP="00060DBD">
            <w:pPr>
              <w:spacing w:after="0"/>
              <w:rPr>
                <w:rFonts w:ascii="Arial" w:hAnsi="Arial" w:cs="Arial"/>
                <w:sz w:val="18"/>
              </w:rPr>
            </w:pPr>
            <w:r>
              <w:rPr>
                <w:rFonts w:ascii="Arial" w:hAnsi="Arial" w:cs="Arial"/>
                <w:sz w:val="18"/>
              </w:rPr>
              <w:t>14,000</w:t>
            </w:r>
          </w:p>
        </w:tc>
        <w:tc>
          <w:tcPr>
            <w:tcW w:w="1234" w:type="dxa"/>
          </w:tcPr>
          <w:p w14:paraId="13814430" w14:textId="6D110B3F" w:rsidR="00CF2E58" w:rsidRPr="00444084" w:rsidRDefault="00405A83" w:rsidP="00060DBD">
            <w:pPr>
              <w:spacing w:after="0"/>
              <w:rPr>
                <w:rFonts w:ascii="Arial" w:hAnsi="Arial" w:cs="Arial"/>
                <w:sz w:val="18"/>
              </w:rPr>
            </w:pPr>
            <w:r>
              <w:rPr>
                <w:rFonts w:ascii="Arial" w:hAnsi="Arial" w:cs="Arial"/>
                <w:sz w:val="18"/>
              </w:rPr>
              <w:t>14,000</w:t>
            </w:r>
          </w:p>
        </w:tc>
        <w:tc>
          <w:tcPr>
            <w:tcW w:w="1440" w:type="dxa"/>
          </w:tcPr>
          <w:p w14:paraId="6121B04A" w14:textId="462DE421" w:rsidR="00CF2E58" w:rsidRPr="00444084" w:rsidRDefault="00405A83" w:rsidP="00060DBD">
            <w:pPr>
              <w:spacing w:after="0"/>
              <w:rPr>
                <w:rFonts w:ascii="Arial" w:hAnsi="Arial" w:cs="Arial"/>
                <w:sz w:val="18"/>
              </w:rPr>
            </w:pPr>
            <w:r>
              <w:rPr>
                <w:rFonts w:ascii="Arial" w:hAnsi="Arial" w:cs="Arial"/>
                <w:sz w:val="18"/>
              </w:rPr>
              <w:t>39,000</w:t>
            </w:r>
          </w:p>
        </w:tc>
        <w:tc>
          <w:tcPr>
            <w:tcW w:w="1551" w:type="dxa"/>
          </w:tcPr>
          <w:p w14:paraId="6474F254" w14:textId="1B176759" w:rsidR="00CF2E58" w:rsidRPr="00444084" w:rsidRDefault="00405A83" w:rsidP="00060DBD">
            <w:pPr>
              <w:spacing w:after="0"/>
              <w:rPr>
                <w:rFonts w:ascii="Arial" w:hAnsi="Arial" w:cs="Arial"/>
                <w:sz w:val="18"/>
              </w:rPr>
            </w:pPr>
            <w:r>
              <w:rPr>
                <w:rFonts w:ascii="Arial" w:hAnsi="Arial" w:cs="Arial"/>
                <w:sz w:val="18"/>
              </w:rPr>
              <w:t>14,000</w:t>
            </w:r>
          </w:p>
        </w:tc>
      </w:tr>
      <w:tr w:rsidR="00032469" w:rsidRPr="00444084" w14:paraId="5800CA73" w14:textId="77777777" w:rsidTr="00731B0C">
        <w:trPr>
          <w:trHeight w:val="209"/>
        </w:trPr>
        <w:tc>
          <w:tcPr>
            <w:tcW w:w="2965" w:type="dxa"/>
          </w:tcPr>
          <w:p w14:paraId="012BC770" w14:textId="77777777" w:rsidR="00CF2E58" w:rsidRPr="00444084" w:rsidRDefault="00CF2E58" w:rsidP="00060DBD">
            <w:pPr>
              <w:spacing w:after="0"/>
              <w:rPr>
                <w:rFonts w:ascii="Arial" w:hAnsi="Arial" w:cs="Arial"/>
                <w:sz w:val="18"/>
              </w:rPr>
            </w:pPr>
            <w:r w:rsidRPr="00444084">
              <w:rPr>
                <w:rFonts w:ascii="Arial" w:hAnsi="Arial" w:cs="Arial"/>
                <w:sz w:val="18"/>
              </w:rPr>
              <w:t>% change 2019-2030</w:t>
            </w:r>
          </w:p>
        </w:tc>
        <w:tc>
          <w:tcPr>
            <w:tcW w:w="1080" w:type="dxa"/>
          </w:tcPr>
          <w:p w14:paraId="078EC6DE" w14:textId="77777777" w:rsidR="00CF2E58" w:rsidRPr="00444084" w:rsidRDefault="00CF2E58" w:rsidP="00060DBD">
            <w:pPr>
              <w:spacing w:after="0"/>
              <w:rPr>
                <w:rFonts w:ascii="Arial" w:hAnsi="Arial" w:cs="Arial"/>
                <w:sz w:val="18"/>
              </w:rPr>
            </w:pPr>
            <w:r w:rsidRPr="00444084">
              <w:rPr>
                <w:rFonts w:ascii="Arial" w:hAnsi="Arial" w:cs="Arial"/>
                <w:sz w:val="18"/>
              </w:rPr>
              <w:t>+36%</w:t>
            </w:r>
          </w:p>
        </w:tc>
        <w:tc>
          <w:tcPr>
            <w:tcW w:w="1080" w:type="dxa"/>
          </w:tcPr>
          <w:p w14:paraId="0B6FE874" w14:textId="77777777" w:rsidR="00CF2E58" w:rsidRPr="00444084" w:rsidRDefault="00CF2E58" w:rsidP="00060DBD">
            <w:pPr>
              <w:spacing w:after="0"/>
              <w:rPr>
                <w:rFonts w:ascii="Arial" w:hAnsi="Arial" w:cs="Arial"/>
                <w:sz w:val="18"/>
              </w:rPr>
            </w:pPr>
            <w:r w:rsidRPr="00444084">
              <w:rPr>
                <w:rFonts w:ascii="Arial" w:hAnsi="Arial" w:cs="Arial"/>
                <w:sz w:val="18"/>
              </w:rPr>
              <w:t>-56%</w:t>
            </w:r>
          </w:p>
        </w:tc>
        <w:tc>
          <w:tcPr>
            <w:tcW w:w="1234" w:type="dxa"/>
          </w:tcPr>
          <w:p w14:paraId="5F3552CA" w14:textId="77777777" w:rsidR="00CF2E58" w:rsidRPr="00444084" w:rsidRDefault="00CF2E58" w:rsidP="00060DBD">
            <w:pPr>
              <w:spacing w:after="0"/>
              <w:rPr>
                <w:rFonts w:ascii="Arial" w:hAnsi="Arial" w:cs="Arial"/>
                <w:sz w:val="18"/>
              </w:rPr>
            </w:pPr>
            <w:r w:rsidRPr="00444084">
              <w:rPr>
                <w:rFonts w:ascii="Arial" w:hAnsi="Arial" w:cs="Arial"/>
                <w:sz w:val="18"/>
              </w:rPr>
              <w:t>-56%</w:t>
            </w:r>
          </w:p>
        </w:tc>
        <w:tc>
          <w:tcPr>
            <w:tcW w:w="1440" w:type="dxa"/>
          </w:tcPr>
          <w:p w14:paraId="1BB5EAC3" w14:textId="77777777" w:rsidR="00CF2E58" w:rsidRPr="00444084" w:rsidRDefault="00CF2E58" w:rsidP="00060DBD">
            <w:pPr>
              <w:spacing w:after="0"/>
              <w:rPr>
                <w:rFonts w:ascii="Arial" w:hAnsi="Arial" w:cs="Arial"/>
                <w:sz w:val="18"/>
              </w:rPr>
            </w:pPr>
            <w:r w:rsidRPr="00444084">
              <w:rPr>
                <w:rFonts w:ascii="Arial" w:hAnsi="Arial" w:cs="Arial"/>
                <w:sz w:val="18"/>
              </w:rPr>
              <w:t>+24%</w:t>
            </w:r>
          </w:p>
        </w:tc>
        <w:tc>
          <w:tcPr>
            <w:tcW w:w="1551" w:type="dxa"/>
          </w:tcPr>
          <w:p w14:paraId="2CFBEEB1" w14:textId="77777777" w:rsidR="00CF2E58" w:rsidRPr="00444084" w:rsidRDefault="00CF2E58" w:rsidP="00060DBD">
            <w:pPr>
              <w:spacing w:after="0"/>
              <w:rPr>
                <w:rFonts w:ascii="Arial" w:hAnsi="Arial" w:cs="Arial"/>
                <w:sz w:val="18"/>
              </w:rPr>
            </w:pPr>
            <w:r w:rsidRPr="00444084">
              <w:rPr>
                <w:rFonts w:ascii="Arial" w:hAnsi="Arial" w:cs="Arial"/>
                <w:sz w:val="18"/>
              </w:rPr>
              <w:t>-56%</w:t>
            </w:r>
          </w:p>
        </w:tc>
      </w:tr>
      <w:tr w:rsidR="00032469" w:rsidRPr="00444084" w14:paraId="4DB49C62" w14:textId="77777777" w:rsidTr="00731B0C">
        <w:trPr>
          <w:trHeight w:val="209"/>
        </w:trPr>
        <w:tc>
          <w:tcPr>
            <w:tcW w:w="2965" w:type="dxa"/>
          </w:tcPr>
          <w:p w14:paraId="316388ED" w14:textId="77777777" w:rsidR="00CF2E58" w:rsidRPr="00444084" w:rsidRDefault="00CF2E58" w:rsidP="00060DBD">
            <w:pPr>
              <w:spacing w:after="0"/>
              <w:rPr>
                <w:rFonts w:ascii="Arial" w:hAnsi="Arial" w:cs="Arial"/>
                <w:sz w:val="18"/>
              </w:rPr>
            </w:pPr>
            <w:r w:rsidRPr="00444084">
              <w:rPr>
                <w:rFonts w:ascii="Arial" w:hAnsi="Arial" w:cs="Arial"/>
                <w:sz w:val="18"/>
              </w:rPr>
              <w:t xml:space="preserve">Fast Track target </w:t>
            </w:r>
          </w:p>
          <w:p w14:paraId="5288BC32" w14:textId="5845045E" w:rsidR="00CF2E58" w:rsidRPr="00444084" w:rsidRDefault="00CF2E58" w:rsidP="00060DBD">
            <w:pPr>
              <w:spacing w:after="0"/>
              <w:rPr>
                <w:rFonts w:ascii="Arial" w:hAnsi="Arial" w:cs="Arial"/>
                <w:sz w:val="18"/>
              </w:rPr>
            </w:pPr>
            <w:r w:rsidRPr="00444084">
              <w:rPr>
                <w:rFonts w:ascii="Arial" w:hAnsi="Arial" w:cs="Arial"/>
                <w:sz w:val="18"/>
              </w:rPr>
              <w:t>(</w:t>
            </w:r>
            <w:r w:rsidR="00731B0C">
              <w:rPr>
                <w:rFonts w:ascii="Arial" w:hAnsi="Arial" w:cs="Arial"/>
                <w:sz w:val="18"/>
              </w:rPr>
              <w:t xml:space="preserve">Percent reduction </w:t>
            </w:r>
            <w:r w:rsidRPr="00444084">
              <w:rPr>
                <w:rFonts w:ascii="Arial" w:hAnsi="Arial" w:cs="Arial"/>
                <w:sz w:val="18"/>
              </w:rPr>
              <w:t>2010-</w:t>
            </w:r>
            <w:r w:rsidR="00813E82">
              <w:rPr>
                <w:rFonts w:ascii="Arial" w:hAnsi="Arial" w:cs="Arial"/>
                <w:sz w:val="18"/>
              </w:rPr>
              <w:t>20</w:t>
            </w:r>
            <w:r w:rsidRPr="00444084">
              <w:rPr>
                <w:rFonts w:ascii="Arial" w:hAnsi="Arial" w:cs="Arial"/>
                <w:sz w:val="18"/>
              </w:rPr>
              <w:t>30)</w:t>
            </w:r>
          </w:p>
        </w:tc>
        <w:tc>
          <w:tcPr>
            <w:tcW w:w="1080" w:type="dxa"/>
          </w:tcPr>
          <w:p w14:paraId="62A8AAAB" w14:textId="77777777" w:rsidR="00CF2E58" w:rsidRPr="00444084" w:rsidRDefault="00CF2E58" w:rsidP="00060DBD">
            <w:pPr>
              <w:spacing w:after="0"/>
              <w:rPr>
                <w:rFonts w:ascii="Arial" w:hAnsi="Arial" w:cs="Arial"/>
                <w:sz w:val="18"/>
              </w:rPr>
            </w:pPr>
            <w:r w:rsidRPr="00444084">
              <w:rPr>
                <w:rFonts w:ascii="Arial" w:hAnsi="Arial" w:cs="Arial"/>
                <w:sz w:val="18"/>
              </w:rPr>
              <w:t>-53%</w:t>
            </w:r>
          </w:p>
        </w:tc>
        <w:tc>
          <w:tcPr>
            <w:tcW w:w="1080" w:type="dxa"/>
          </w:tcPr>
          <w:p w14:paraId="7BA86086" w14:textId="77777777" w:rsidR="00CF2E58" w:rsidRPr="00444084" w:rsidRDefault="00CF2E58" w:rsidP="00060DBD">
            <w:pPr>
              <w:spacing w:after="0"/>
              <w:rPr>
                <w:rFonts w:ascii="Arial" w:hAnsi="Arial" w:cs="Arial"/>
                <w:sz w:val="18"/>
              </w:rPr>
            </w:pPr>
            <w:r w:rsidRPr="00444084">
              <w:rPr>
                <w:rFonts w:ascii="Arial" w:hAnsi="Arial" w:cs="Arial"/>
                <w:sz w:val="18"/>
              </w:rPr>
              <w:t>-83%</w:t>
            </w:r>
          </w:p>
        </w:tc>
        <w:tc>
          <w:tcPr>
            <w:tcW w:w="1234" w:type="dxa"/>
          </w:tcPr>
          <w:p w14:paraId="058BDEEF" w14:textId="77777777" w:rsidR="00CF2E58" w:rsidRPr="00444084" w:rsidRDefault="00CF2E58" w:rsidP="00060DBD">
            <w:pPr>
              <w:spacing w:after="0"/>
              <w:rPr>
                <w:rFonts w:ascii="Arial" w:hAnsi="Arial" w:cs="Arial"/>
                <w:sz w:val="18"/>
              </w:rPr>
            </w:pPr>
            <w:r w:rsidRPr="00444084">
              <w:rPr>
                <w:rFonts w:ascii="Arial" w:hAnsi="Arial" w:cs="Arial"/>
                <w:sz w:val="18"/>
              </w:rPr>
              <w:t>-83%</w:t>
            </w:r>
          </w:p>
        </w:tc>
        <w:tc>
          <w:tcPr>
            <w:tcW w:w="1440" w:type="dxa"/>
          </w:tcPr>
          <w:p w14:paraId="61F419D0" w14:textId="77777777" w:rsidR="00CF2E58" w:rsidRPr="00444084" w:rsidRDefault="00CF2E58" w:rsidP="00060DBD">
            <w:pPr>
              <w:spacing w:after="0"/>
              <w:rPr>
                <w:rFonts w:ascii="Arial" w:hAnsi="Arial" w:cs="Arial"/>
                <w:sz w:val="18"/>
              </w:rPr>
            </w:pPr>
            <w:r w:rsidRPr="00444084">
              <w:rPr>
                <w:rFonts w:ascii="Arial" w:hAnsi="Arial" w:cs="Arial"/>
                <w:sz w:val="18"/>
              </w:rPr>
              <w:t>-52%</w:t>
            </w:r>
          </w:p>
        </w:tc>
        <w:tc>
          <w:tcPr>
            <w:tcW w:w="1551" w:type="dxa"/>
          </w:tcPr>
          <w:p w14:paraId="6C8F3A18" w14:textId="77777777" w:rsidR="00CF2E58" w:rsidRPr="00444084" w:rsidRDefault="00CF2E58" w:rsidP="00060DBD">
            <w:pPr>
              <w:spacing w:after="0"/>
              <w:rPr>
                <w:rFonts w:ascii="Arial" w:hAnsi="Arial" w:cs="Arial"/>
                <w:sz w:val="18"/>
              </w:rPr>
            </w:pPr>
            <w:r w:rsidRPr="00444084">
              <w:rPr>
                <w:rFonts w:ascii="Arial" w:hAnsi="Arial" w:cs="Arial"/>
                <w:sz w:val="18"/>
              </w:rPr>
              <w:t>-83%</w:t>
            </w:r>
          </w:p>
        </w:tc>
      </w:tr>
      <w:tr w:rsidR="00032469" w:rsidRPr="00444084" w14:paraId="6CA01E3B" w14:textId="77777777" w:rsidTr="00731B0C">
        <w:trPr>
          <w:trHeight w:val="209"/>
        </w:trPr>
        <w:tc>
          <w:tcPr>
            <w:tcW w:w="4045" w:type="dxa"/>
            <w:gridSpan w:val="2"/>
            <w:shd w:val="clear" w:color="auto" w:fill="D9D9D9" w:themeFill="background1" w:themeFillShade="D9"/>
          </w:tcPr>
          <w:p w14:paraId="24E04A93" w14:textId="77777777" w:rsidR="00CF2E58" w:rsidRPr="00444084" w:rsidRDefault="00CF2E58" w:rsidP="00060DBD">
            <w:pPr>
              <w:spacing w:after="0"/>
              <w:rPr>
                <w:rFonts w:ascii="Arial" w:hAnsi="Arial" w:cs="Arial"/>
                <w:sz w:val="18"/>
              </w:rPr>
            </w:pPr>
            <w:r w:rsidRPr="00444084">
              <w:rPr>
                <w:rFonts w:ascii="Arial" w:hAnsi="Arial" w:cs="Arial"/>
                <w:b/>
                <w:sz w:val="18"/>
              </w:rPr>
              <w:t>Number on ART</w:t>
            </w:r>
          </w:p>
        </w:tc>
        <w:tc>
          <w:tcPr>
            <w:tcW w:w="1080" w:type="dxa"/>
            <w:shd w:val="clear" w:color="auto" w:fill="D9D9D9" w:themeFill="background1" w:themeFillShade="D9"/>
          </w:tcPr>
          <w:p w14:paraId="4B999D41" w14:textId="77777777" w:rsidR="00CF2E58" w:rsidRPr="00444084" w:rsidRDefault="00CF2E58" w:rsidP="00060DBD">
            <w:pPr>
              <w:spacing w:after="0"/>
              <w:rPr>
                <w:rFonts w:ascii="Arial" w:hAnsi="Arial" w:cs="Arial"/>
                <w:b/>
                <w:sz w:val="18"/>
              </w:rPr>
            </w:pPr>
          </w:p>
        </w:tc>
        <w:tc>
          <w:tcPr>
            <w:tcW w:w="1234" w:type="dxa"/>
            <w:shd w:val="clear" w:color="auto" w:fill="D9D9D9" w:themeFill="background1" w:themeFillShade="D9"/>
          </w:tcPr>
          <w:p w14:paraId="5F3294C3" w14:textId="77777777" w:rsidR="00CF2E58" w:rsidRPr="00444084" w:rsidRDefault="00CF2E58" w:rsidP="00060DBD">
            <w:pPr>
              <w:spacing w:after="0"/>
              <w:rPr>
                <w:rFonts w:ascii="Arial" w:hAnsi="Arial" w:cs="Arial"/>
                <w:b/>
                <w:sz w:val="18"/>
              </w:rPr>
            </w:pPr>
          </w:p>
        </w:tc>
        <w:tc>
          <w:tcPr>
            <w:tcW w:w="1440" w:type="dxa"/>
            <w:shd w:val="clear" w:color="auto" w:fill="D9D9D9" w:themeFill="background1" w:themeFillShade="D9"/>
          </w:tcPr>
          <w:p w14:paraId="3281E7FD" w14:textId="77777777" w:rsidR="00CF2E58" w:rsidRPr="00444084" w:rsidRDefault="00CF2E58" w:rsidP="00060DBD">
            <w:pPr>
              <w:spacing w:after="0"/>
              <w:rPr>
                <w:rFonts w:ascii="Arial" w:hAnsi="Arial" w:cs="Arial"/>
                <w:b/>
                <w:sz w:val="18"/>
              </w:rPr>
            </w:pPr>
          </w:p>
        </w:tc>
        <w:tc>
          <w:tcPr>
            <w:tcW w:w="1551" w:type="dxa"/>
            <w:shd w:val="clear" w:color="auto" w:fill="D9D9D9" w:themeFill="background1" w:themeFillShade="D9"/>
          </w:tcPr>
          <w:p w14:paraId="3CADA502" w14:textId="77777777" w:rsidR="00CF2E58" w:rsidRPr="00444084" w:rsidRDefault="00CF2E58" w:rsidP="00060DBD">
            <w:pPr>
              <w:spacing w:after="0"/>
              <w:rPr>
                <w:rFonts w:ascii="Arial" w:hAnsi="Arial" w:cs="Arial"/>
                <w:b/>
                <w:sz w:val="18"/>
              </w:rPr>
            </w:pPr>
          </w:p>
        </w:tc>
      </w:tr>
      <w:tr w:rsidR="00032469" w:rsidRPr="00444084" w14:paraId="206ABE79" w14:textId="77777777" w:rsidTr="00731B0C">
        <w:trPr>
          <w:trHeight w:val="209"/>
        </w:trPr>
        <w:tc>
          <w:tcPr>
            <w:tcW w:w="2965" w:type="dxa"/>
          </w:tcPr>
          <w:p w14:paraId="55B4BBD6" w14:textId="0A267378" w:rsidR="00CF2E58" w:rsidRPr="00444084" w:rsidRDefault="001264AF" w:rsidP="00060DBD">
            <w:pPr>
              <w:spacing w:after="0"/>
              <w:rPr>
                <w:rFonts w:ascii="Arial" w:hAnsi="Arial" w:cs="Arial"/>
                <w:sz w:val="18"/>
              </w:rPr>
            </w:pPr>
            <w:r>
              <w:rPr>
                <w:rFonts w:ascii="Arial" w:hAnsi="Arial" w:cs="Arial"/>
                <w:sz w:val="18"/>
              </w:rPr>
              <w:t>Number on ART in</w:t>
            </w:r>
            <w:r w:rsidR="00CF2E58" w:rsidRPr="00444084">
              <w:rPr>
                <w:rFonts w:ascii="Arial" w:hAnsi="Arial" w:cs="Arial"/>
                <w:sz w:val="18"/>
              </w:rPr>
              <w:t xml:space="preserve"> 2030</w:t>
            </w:r>
          </w:p>
        </w:tc>
        <w:tc>
          <w:tcPr>
            <w:tcW w:w="1080" w:type="dxa"/>
          </w:tcPr>
          <w:p w14:paraId="1196EB12" w14:textId="77777777" w:rsidR="00CF2E58" w:rsidRPr="00444084" w:rsidRDefault="00CF2E58" w:rsidP="00060DBD">
            <w:pPr>
              <w:spacing w:after="0"/>
              <w:rPr>
                <w:rFonts w:ascii="Arial" w:hAnsi="Arial" w:cs="Arial"/>
                <w:sz w:val="18"/>
              </w:rPr>
            </w:pPr>
            <w:r w:rsidRPr="00444084">
              <w:rPr>
                <w:rFonts w:ascii="Arial" w:hAnsi="Arial" w:cs="Arial"/>
                <w:sz w:val="18"/>
              </w:rPr>
              <w:t>1.10 Million</w:t>
            </w:r>
          </w:p>
          <w:p w14:paraId="65C4BB59" w14:textId="77777777" w:rsidR="00CF2E58" w:rsidRPr="00444084" w:rsidRDefault="00CF2E58" w:rsidP="00060DBD">
            <w:pPr>
              <w:spacing w:after="0"/>
              <w:rPr>
                <w:rFonts w:ascii="Arial" w:hAnsi="Arial" w:cs="Arial"/>
                <w:sz w:val="18"/>
              </w:rPr>
            </w:pPr>
            <w:r w:rsidRPr="00444084">
              <w:rPr>
                <w:rFonts w:ascii="Arial" w:hAnsi="Arial" w:cs="Arial"/>
                <w:sz w:val="18"/>
              </w:rPr>
              <w:t>(68% of PLHIV)</w:t>
            </w:r>
          </w:p>
        </w:tc>
        <w:tc>
          <w:tcPr>
            <w:tcW w:w="1080" w:type="dxa"/>
          </w:tcPr>
          <w:p w14:paraId="47542CCF" w14:textId="77777777" w:rsidR="00CF2E58" w:rsidRPr="00444084" w:rsidRDefault="00CF2E58" w:rsidP="00060DBD">
            <w:pPr>
              <w:spacing w:after="0"/>
              <w:rPr>
                <w:rFonts w:ascii="Arial" w:hAnsi="Arial" w:cs="Arial"/>
                <w:sz w:val="18"/>
              </w:rPr>
            </w:pPr>
            <w:r w:rsidRPr="00444084">
              <w:rPr>
                <w:rFonts w:ascii="Arial" w:hAnsi="Arial" w:cs="Arial"/>
                <w:sz w:val="18"/>
              </w:rPr>
              <w:t xml:space="preserve">1.34 Million </w:t>
            </w:r>
          </w:p>
          <w:p w14:paraId="0347D51F" w14:textId="77777777" w:rsidR="00CF2E58" w:rsidRPr="00444084" w:rsidRDefault="00CF2E58" w:rsidP="00060DBD">
            <w:pPr>
              <w:spacing w:after="0"/>
              <w:rPr>
                <w:rFonts w:ascii="Arial" w:hAnsi="Arial" w:cs="Arial"/>
                <w:sz w:val="18"/>
              </w:rPr>
            </w:pPr>
            <w:r w:rsidRPr="00444084">
              <w:rPr>
                <w:rFonts w:ascii="Arial" w:hAnsi="Arial" w:cs="Arial"/>
                <w:sz w:val="18"/>
              </w:rPr>
              <w:t>(87% of PLHIV)</w:t>
            </w:r>
          </w:p>
        </w:tc>
        <w:tc>
          <w:tcPr>
            <w:tcW w:w="1234" w:type="dxa"/>
          </w:tcPr>
          <w:p w14:paraId="75C7CA85" w14:textId="77777777" w:rsidR="00CF2E58" w:rsidRPr="00444084" w:rsidRDefault="00CF2E58" w:rsidP="00060DBD">
            <w:pPr>
              <w:spacing w:after="0"/>
              <w:rPr>
                <w:rFonts w:ascii="Arial" w:hAnsi="Arial" w:cs="Arial"/>
                <w:sz w:val="18"/>
              </w:rPr>
            </w:pPr>
            <w:r w:rsidRPr="00444084">
              <w:rPr>
                <w:rFonts w:ascii="Arial" w:hAnsi="Arial" w:cs="Arial"/>
                <w:sz w:val="18"/>
              </w:rPr>
              <w:t>1.35 Million (87% of PLHIV)</w:t>
            </w:r>
          </w:p>
        </w:tc>
        <w:tc>
          <w:tcPr>
            <w:tcW w:w="1440" w:type="dxa"/>
          </w:tcPr>
          <w:p w14:paraId="0CB13C5E" w14:textId="77777777" w:rsidR="00CF2E58" w:rsidRPr="00444084" w:rsidRDefault="00CF2E58" w:rsidP="00060DBD">
            <w:pPr>
              <w:spacing w:after="0"/>
              <w:rPr>
                <w:rFonts w:ascii="Arial" w:hAnsi="Arial" w:cs="Arial"/>
                <w:sz w:val="18"/>
              </w:rPr>
            </w:pPr>
            <w:r w:rsidRPr="00444084">
              <w:rPr>
                <w:rFonts w:ascii="Arial" w:hAnsi="Arial" w:cs="Arial"/>
                <w:sz w:val="18"/>
              </w:rPr>
              <w:t>1.07 Million</w:t>
            </w:r>
          </w:p>
          <w:p w14:paraId="0665A9DC" w14:textId="77777777" w:rsidR="00CF2E58" w:rsidRPr="00444084" w:rsidRDefault="00CF2E58" w:rsidP="00060DBD">
            <w:pPr>
              <w:spacing w:after="0"/>
              <w:rPr>
                <w:rFonts w:ascii="Arial" w:hAnsi="Arial" w:cs="Arial"/>
                <w:sz w:val="18"/>
              </w:rPr>
            </w:pPr>
            <w:r w:rsidRPr="00444084">
              <w:rPr>
                <w:rFonts w:ascii="Arial" w:hAnsi="Arial" w:cs="Arial"/>
                <w:sz w:val="18"/>
              </w:rPr>
              <w:t>(65% of PLHIV)</w:t>
            </w:r>
          </w:p>
        </w:tc>
        <w:tc>
          <w:tcPr>
            <w:tcW w:w="1551" w:type="dxa"/>
          </w:tcPr>
          <w:p w14:paraId="053209E2" w14:textId="77777777" w:rsidR="00CF2E58" w:rsidRPr="00444084" w:rsidRDefault="00CF2E58" w:rsidP="00060DBD">
            <w:pPr>
              <w:spacing w:after="0"/>
              <w:rPr>
                <w:rFonts w:ascii="Arial" w:hAnsi="Arial" w:cs="Arial"/>
                <w:sz w:val="18"/>
              </w:rPr>
            </w:pPr>
            <w:r w:rsidRPr="00444084">
              <w:rPr>
                <w:rFonts w:ascii="Arial" w:hAnsi="Arial" w:cs="Arial"/>
                <w:sz w:val="18"/>
              </w:rPr>
              <w:t>1.37 Million</w:t>
            </w:r>
          </w:p>
          <w:p w14:paraId="6BB1D5FA" w14:textId="77777777" w:rsidR="00CF2E58" w:rsidRPr="00444084" w:rsidRDefault="00CF2E58" w:rsidP="00060DBD">
            <w:pPr>
              <w:spacing w:after="0"/>
              <w:rPr>
                <w:rFonts w:ascii="Arial" w:hAnsi="Arial" w:cs="Arial"/>
                <w:sz w:val="18"/>
              </w:rPr>
            </w:pPr>
            <w:r w:rsidRPr="00444084">
              <w:rPr>
                <w:rFonts w:ascii="Arial" w:hAnsi="Arial" w:cs="Arial"/>
                <w:sz w:val="18"/>
              </w:rPr>
              <w:t>(87% of PLHIV)</w:t>
            </w:r>
          </w:p>
        </w:tc>
      </w:tr>
      <w:tr w:rsidR="00CF2E58" w:rsidRPr="00444084" w14:paraId="11E94A9D" w14:textId="77777777" w:rsidTr="00060DBD">
        <w:trPr>
          <w:trHeight w:val="209"/>
        </w:trPr>
        <w:tc>
          <w:tcPr>
            <w:tcW w:w="9350" w:type="dxa"/>
            <w:gridSpan w:val="6"/>
            <w:shd w:val="clear" w:color="auto" w:fill="DBDBDB" w:themeFill="accent3" w:themeFillTint="66"/>
          </w:tcPr>
          <w:p w14:paraId="3A19FC1A" w14:textId="77777777" w:rsidR="00CF2E58" w:rsidRPr="00444084" w:rsidRDefault="00CF2E58" w:rsidP="00060DBD">
            <w:pPr>
              <w:spacing w:after="0"/>
              <w:rPr>
                <w:rFonts w:ascii="Arial" w:hAnsi="Arial" w:cs="Arial"/>
                <w:b/>
                <w:sz w:val="18"/>
              </w:rPr>
            </w:pPr>
            <w:r w:rsidRPr="00444084">
              <w:rPr>
                <w:rFonts w:ascii="Arial" w:hAnsi="Arial" w:cs="Arial"/>
                <w:b/>
                <w:sz w:val="18"/>
              </w:rPr>
              <w:t>Resources (USD M)</w:t>
            </w:r>
          </w:p>
        </w:tc>
      </w:tr>
      <w:tr w:rsidR="00032469" w:rsidRPr="00444084" w14:paraId="0241CD17" w14:textId="77777777" w:rsidTr="00731B0C">
        <w:trPr>
          <w:trHeight w:val="209"/>
        </w:trPr>
        <w:tc>
          <w:tcPr>
            <w:tcW w:w="2965" w:type="dxa"/>
            <w:shd w:val="clear" w:color="auto" w:fill="FFFFFF" w:themeFill="background1"/>
          </w:tcPr>
          <w:p w14:paraId="3DE0225B" w14:textId="5790DD29" w:rsidR="00CF2E58" w:rsidRPr="00444084" w:rsidRDefault="00CF2E58" w:rsidP="00060DBD">
            <w:pPr>
              <w:spacing w:after="0"/>
              <w:rPr>
                <w:rFonts w:ascii="Arial" w:hAnsi="Arial" w:cs="Arial"/>
                <w:sz w:val="18"/>
              </w:rPr>
            </w:pPr>
            <w:r w:rsidRPr="00444084">
              <w:rPr>
                <w:rFonts w:ascii="Arial" w:hAnsi="Arial" w:cs="Arial"/>
                <w:sz w:val="18"/>
              </w:rPr>
              <w:t>Cumulative</w:t>
            </w:r>
            <w:r w:rsidR="00B1089B">
              <w:rPr>
                <w:rFonts w:ascii="Arial" w:hAnsi="Arial" w:cs="Arial"/>
                <w:sz w:val="18"/>
              </w:rPr>
              <w:t xml:space="preserve"> resources</w:t>
            </w:r>
            <w:r w:rsidRPr="00444084">
              <w:rPr>
                <w:rFonts w:ascii="Arial" w:hAnsi="Arial" w:cs="Arial"/>
                <w:sz w:val="18"/>
              </w:rPr>
              <w:t xml:space="preserve"> 2019-2030</w:t>
            </w:r>
          </w:p>
        </w:tc>
        <w:tc>
          <w:tcPr>
            <w:tcW w:w="1080" w:type="dxa"/>
            <w:shd w:val="clear" w:color="auto" w:fill="FFFFFF" w:themeFill="background1"/>
          </w:tcPr>
          <w:p w14:paraId="5A92D52C" w14:textId="77777777" w:rsidR="00CF2E58" w:rsidRPr="00444084" w:rsidRDefault="00CF2E58" w:rsidP="00060DBD">
            <w:pPr>
              <w:spacing w:after="0"/>
              <w:rPr>
                <w:rFonts w:ascii="Arial" w:hAnsi="Arial" w:cs="Arial"/>
                <w:sz w:val="18"/>
              </w:rPr>
            </w:pPr>
            <w:r w:rsidRPr="00444084">
              <w:rPr>
                <w:rFonts w:ascii="Arial" w:hAnsi="Arial" w:cs="Arial"/>
                <w:sz w:val="18"/>
              </w:rPr>
              <w:t>5,783</w:t>
            </w:r>
          </w:p>
        </w:tc>
        <w:tc>
          <w:tcPr>
            <w:tcW w:w="1080" w:type="dxa"/>
            <w:shd w:val="clear" w:color="auto" w:fill="FFFFFF" w:themeFill="background1"/>
          </w:tcPr>
          <w:p w14:paraId="4E08EA33" w14:textId="77777777" w:rsidR="00CF2E58" w:rsidRPr="00444084" w:rsidRDefault="00CF2E58" w:rsidP="00060DBD">
            <w:pPr>
              <w:spacing w:after="0"/>
              <w:rPr>
                <w:rFonts w:ascii="Arial" w:hAnsi="Arial" w:cs="Arial"/>
                <w:sz w:val="18"/>
              </w:rPr>
            </w:pPr>
            <w:r w:rsidRPr="00444084">
              <w:rPr>
                <w:rFonts w:ascii="Arial" w:hAnsi="Arial" w:cs="Arial"/>
                <w:sz w:val="18"/>
              </w:rPr>
              <w:t>8,097</w:t>
            </w:r>
          </w:p>
        </w:tc>
        <w:tc>
          <w:tcPr>
            <w:tcW w:w="1234" w:type="dxa"/>
            <w:shd w:val="clear" w:color="auto" w:fill="FFFFFF" w:themeFill="background1"/>
          </w:tcPr>
          <w:p w14:paraId="470D91F9" w14:textId="7CFD0929" w:rsidR="00CF2E58" w:rsidRPr="00444084" w:rsidRDefault="00731B0C" w:rsidP="00060DBD">
            <w:pPr>
              <w:spacing w:after="0"/>
              <w:rPr>
                <w:rFonts w:ascii="Arial" w:hAnsi="Arial" w:cs="Arial"/>
                <w:sz w:val="18"/>
              </w:rPr>
            </w:pPr>
            <w:r>
              <w:rPr>
                <w:rFonts w:ascii="Arial" w:hAnsi="Arial" w:cs="Arial"/>
                <w:sz w:val="18"/>
              </w:rPr>
              <w:t>5,461</w:t>
            </w:r>
          </w:p>
        </w:tc>
        <w:tc>
          <w:tcPr>
            <w:tcW w:w="1440" w:type="dxa"/>
            <w:shd w:val="clear" w:color="auto" w:fill="FFFFFF" w:themeFill="background1"/>
          </w:tcPr>
          <w:p w14:paraId="6EA5E96D" w14:textId="444A0053" w:rsidR="00CF2E58" w:rsidRPr="00444084" w:rsidRDefault="00CF2E58" w:rsidP="00060DBD">
            <w:pPr>
              <w:spacing w:after="0"/>
              <w:rPr>
                <w:rFonts w:ascii="Arial" w:hAnsi="Arial" w:cs="Arial"/>
                <w:sz w:val="18"/>
              </w:rPr>
            </w:pPr>
            <w:r w:rsidRPr="00444084">
              <w:rPr>
                <w:rFonts w:ascii="Arial" w:hAnsi="Arial" w:cs="Arial"/>
                <w:sz w:val="18"/>
              </w:rPr>
              <w:t>4,</w:t>
            </w:r>
            <w:r w:rsidR="00731B0C">
              <w:rPr>
                <w:rFonts w:ascii="Arial" w:hAnsi="Arial" w:cs="Arial"/>
                <w:sz w:val="18"/>
              </w:rPr>
              <w:t>544</w:t>
            </w:r>
          </w:p>
        </w:tc>
        <w:tc>
          <w:tcPr>
            <w:tcW w:w="1551" w:type="dxa"/>
            <w:shd w:val="clear" w:color="auto" w:fill="FFFFFF" w:themeFill="background1"/>
          </w:tcPr>
          <w:p w14:paraId="6DF8F0FB" w14:textId="02273C0A" w:rsidR="00CF2E58" w:rsidRPr="00444084" w:rsidRDefault="00CF2E58" w:rsidP="00060DBD">
            <w:pPr>
              <w:spacing w:after="0"/>
              <w:rPr>
                <w:rFonts w:ascii="Arial" w:hAnsi="Arial" w:cs="Arial"/>
                <w:sz w:val="18"/>
              </w:rPr>
            </w:pPr>
            <w:r w:rsidRPr="00444084">
              <w:rPr>
                <w:rFonts w:ascii="Arial" w:hAnsi="Arial" w:cs="Arial"/>
                <w:sz w:val="18"/>
              </w:rPr>
              <w:t>5,</w:t>
            </w:r>
            <w:r w:rsidR="001264AF">
              <w:rPr>
                <w:rFonts w:ascii="Arial" w:hAnsi="Arial" w:cs="Arial"/>
                <w:sz w:val="18"/>
              </w:rPr>
              <w:t>182</w:t>
            </w:r>
          </w:p>
        </w:tc>
      </w:tr>
      <w:tr w:rsidR="00032469" w:rsidRPr="00444084" w14:paraId="25EFE646" w14:textId="77777777" w:rsidTr="00731B0C">
        <w:trPr>
          <w:trHeight w:val="209"/>
        </w:trPr>
        <w:tc>
          <w:tcPr>
            <w:tcW w:w="2965" w:type="dxa"/>
            <w:shd w:val="clear" w:color="auto" w:fill="FFFFFF" w:themeFill="background1"/>
          </w:tcPr>
          <w:p w14:paraId="3165A13B" w14:textId="4D9F2A35" w:rsidR="00CF2E58" w:rsidRPr="00444084" w:rsidRDefault="001264AF" w:rsidP="00060DBD">
            <w:pPr>
              <w:spacing w:after="0"/>
              <w:rPr>
                <w:rFonts w:ascii="Arial" w:hAnsi="Arial" w:cs="Arial"/>
                <w:sz w:val="18"/>
              </w:rPr>
            </w:pPr>
            <w:r>
              <w:rPr>
                <w:rFonts w:ascii="Arial" w:hAnsi="Arial" w:cs="Arial"/>
                <w:sz w:val="18"/>
              </w:rPr>
              <w:t>Resources required</w:t>
            </w:r>
            <w:r w:rsidR="00CF2E58" w:rsidRPr="00444084">
              <w:rPr>
                <w:rFonts w:ascii="Arial" w:hAnsi="Arial" w:cs="Arial"/>
                <w:sz w:val="18"/>
              </w:rPr>
              <w:t xml:space="preserve"> in 2030</w:t>
            </w:r>
          </w:p>
        </w:tc>
        <w:tc>
          <w:tcPr>
            <w:tcW w:w="1080" w:type="dxa"/>
            <w:shd w:val="clear" w:color="auto" w:fill="FFFFFF" w:themeFill="background1"/>
          </w:tcPr>
          <w:p w14:paraId="22E71EEB" w14:textId="77777777" w:rsidR="00CF2E58" w:rsidRPr="00444084" w:rsidRDefault="00CF2E58" w:rsidP="00060DBD">
            <w:pPr>
              <w:spacing w:after="0"/>
              <w:rPr>
                <w:rFonts w:ascii="Arial" w:hAnsi="Arial" w:cs="Arial"/>
                <w:sz w:val="18"/>
              </w:rPr>
            </w:pPr>
            <w:r w:rsidRPr="00444084">
              <w:rPr>
                <w:rFonts w:ascii="Arial" w:hAnsi="Arial" w:cs="Arial"/>
                <w:sz w:val="18"/>
              </w:rPr>
              <w:t>500</w:t>
            </w:r>
          </w:p>
        </w:tc>
        <w:tc>
          <w:tcPr>
            <w:tcW w:w="1080" w:type="dxa"/>
            <w:shd w:val="clear" w:color="auto" w:fill="FFFFFF" w:themeFill="background1"/>
          </w:tcPr>
          <w:p w14:paraId="1799D69E" w14:textId="77777777" w:rsidR="00CF2E58" w:rsidRPr="00444084" w:rsidRDefault="00CF2E58" w:rsidP="00060DBD">
            <w:pPr>
              <w:spacing w:after="0"/>
              <w:rPr>
                <w:rFonts w:ascii="Arial" w:hAnsi="Arial" w:cs="Arial"/>
                <w:sz w:val="18"/>
              </w:rPr>
            </w:pPr>
            <w:r w:rsidRPr="00444084">
              <w:rPr>
                <w:rFonts w:ascii="Arial" w:hAnsi="Arial" w:cs="Arial"/>
                <w:sz w:val="18"/>
              </w:rPr>
              <w:t>839</w:t>
            </w:r>
          </w:p>
        </w:tc>
        <w:tc>
          <w:tcPr>
            <w:tcW w:w="1234" w:type="dxa"/>
            <w:shd w:val="clear" w:color="auto" w:fill="FFFFFF" w:themeFill="background1"/>
          </w:tcPr>
          <w:p w14:paraId="03CB3C8D" w14:textId="6E3C3C36" w:rsidR="00CF2E58" w:rsidRPr="00444084" w:rsidRDefault="00CF2E58" w:rsidP="00060DBD">
            <w:pPr>
              <w:spacing w:after="0"/>
              <w:rPr>
                <w:rFonts w:ascii="Arial" w:hAnsi="Arial" w:cs="Arial"/>
                <w:sz w:val="18"/>
              </w:rPr>
            </w:pPr>
            <w:r w:rsidRPr="00444084">
              <w:rPr>
                <w:rFonts w:ascii="Arial" w:hAnsi="Arial" w:cs="Arial"/>
                <w:sz w:val="18"/>
              </w:rPr>
              <w:t>46</w:t>
            </w:r>
            <w:r w:rsidR="00731B0C">
              <w:rPr>
                <w:rFonts w:ascii="Arial" w:hAnsi="Arial" w:cs="Arial"/>
                <w:sz w:val="18"/>
              </w:rPr>
              <w:t>3</w:t>
            </w:r>
          </w:p>
        </w:tc>
        <w:tc>
          <w:tcPr>
            <w:tcW w:w="1440" w:type="dxa"/>
            <w:shd w:val="clear" w:color="auto" w:fill="FFFFFF" w:themeFill="background1"/>
          </w:tcPr>
          <w:p w14:paraId="26DE95D6" w14:textId="6309793C" w:rsidR="00CF2E58" w:rsidRPr="00444084" w:rsidRDefault="00CF2E58" w:rsidP="00060DBD">
            <w:pPr>
              <w:spacing w:after="0"/>
              <w:rPr>
                <w:rFonts w:ascii="Arial" w:hAnsi="Arial" w:cs="Arial"/>
                <w:sz w:val="18"/>
              </w:rPr>
            </w:pPr>
            <w:r w:rsidRPr="00444084">
              <w:rPr>
                <w:rFonts w:ascii="Arial" w:hAnsi="Arial" w:cs="Arial"/>
                <w:sz w:val="18"/>
              </w:rPr>
              <w:t>3</w:t>
            </w:r>
            <w:r w:rsidR="00731B0C">
              <w:rPr>
                <w:rFonts w:ascii="Arial" w:hAnsi="Arial" w:cs="Arial"/>
                <w:sz w:val="18"/>
              </w:rPr>
              <w:t>24</w:t>
            </w:r>
          </w:p>
        </w:tc>
        <w:tc>
          <w:tcPr>
            <w:tcW w:w="1551" w:type="dxa"/>
            <w:shd w:val="clear" w:color="auto" w:fill="FFFFFF" w:themeFill="background1"/>
          </w:tcPr>
          <w:p w14:paraId="4426F774" w14:textId="3FB2175F" w:rsidR="00CF2E58" w:rsidRPr="00444084" w:rsidRDefault="00CF2E58" w:rsidP="00060DBD">
            <w:pPr>
              <w:spacing w:after="0"/>
              <w:rPr>
                <w:rFonts w:ascii="Arial" w:hAnsi="Arial" w:cs="Arial"/>
                <w:sz w:val="18"/>
              </w:rPr>
            </w:pPr>
            <w:r w:rsidRPr="00444084">
              <w:rPr>
                <w:rFonts w:ascii="Arial" w:hAnsi="Arial" w:cs="Arial"/>
                <w:sz w:val="18"/>
              </w:rPr>
              <w:t>4</w:t>
            </w:r>
            <w:r w:rsidR="00731B0C">
              <w:rPr>
                <w:rFonts w:ascii="Arial" w:hAnsi="Arial" w:cs="Arial"/>
                <w:sz w:val="18"/>
              </w:rPr>
              <w:t>19</w:t>
            </w:r>
          </w:p>
        </w:tc>
      </w:tr>
    </w:tbl>
    <w:p w14:paraId="1F563858" w14:textId="77777777" w:rsidR="002E4A0E" w:rsidRDefault="002E4A0E">
      <w:pPr>
        <w:pStyle w:val="Heading2"/>
        <w:rPr>
          <w:rFonts w:ascii="Arial" w:hAnsi="Arial" w:cs="Arial"/>
          <w:b/>
          <w:color w:val="000000" w:themeColor="text1"/>
        </w:rPr>
      </w:pPr>
    </w:p>
    <w:p w14:paraId="64D8654D" w14:textId="4AF475C1" w:rsidR="00E01918" w:rsidRPr="00505F88" w:rsidRDefault="00E01918">
      <w:pPr>
        <w:pStyle w:val="Heading2"/>
        <w:rPr>
          <w:rFonts w:ascii="Arial" w:hAnsi="Arial" w:cs="Arial"/>
          <w:b/>
          <w:color w:val="000000" w:themeColor="text1"/>
        </w:rPr>
      </w:pPr>
      <w:bookmarkStart w:id="116" w:name="_Toc57035210"/>
      <w:r w:rsidRPr="00505F88">
        <w:rPr>
          <w:rFonts w:ascii="Arial" w:hAnsi="Arial" w:cs="Arial"/>
          <w:b/>
          <w:color w:val="000000" w:themeColor="text1"/>
        </w:rPr>
        <w:t>Macro-economic</w:t>
      </w:r>
      <w:r w:rsidR="00CF2E58">
        <w:rPr>
          <w:rFonts w:ascii="Arial" w:hAnsi="Arial" w:cs="Arial"/>
          <w:b/>
          <w:color w:val="000000" w:themeColor="text1"/>
        </w:rPr>
        <w:t xml:space="preserve"> and financial</w:t>
      </w:r>
      <w:r w:rsidRPr="00505F88">
        <w:rPr>
          <w:rFonts w:ascii="Arial" w:hAnsi="Arial" w:cs="Arial"/>
          <w:b/>
          <w:color w:val="000000" w:themeColor="text1"/>
        </w:rPr>
        <w:t xml:space="preserve"> benefits of increased investment in the HIV response</w:t>
      </w:r>
      <w:bookmarkEnd w:id="116"/>
    </w:p>
    <w:p w14:paraId="131F4B6E" w14:textId="4B2E01B2" w:rsidR="00E01918" w:rsidRDefault="00E01918" w:rsidP="008D04B1">
      <w:pPr>
        <w:spacing w:after="0"/>
      </w:pPr>
    </w:p>
    <w:p w14:paraId="13DF762B" w14:textId="58326218" w:rsidR="00F523A7" w:rsidRDefault="00F523A7" w:rsidP="00F523A7">
      <w:pPr>
        <w:spacing w:after="0"/>
        <w:rPr>
          <w:rFonts w:ascii="Arial" w:hAnsi="Arial" w:cs="Arial"/>
        </w:rPr>
      </w:pPr>
      <w:r w:rsidRPr="00505F88">
        <w:rPr>
          <w:rFonts w:ascii="Arial" w:hAnsi="Arial" w:cs="Arial"/>
        </w:rPr>
        <w:t>In 2018</w:t>
      </w:r>
      <w:r>
        <w:rPr>
          <w:rFonts w:ascii="Arial" w:hAnsi="Arial" w:cs="Arial"/>
        </w:rPr>
        <w:t>,</w:t>
      </w:r>
      <w:r w:rsidRPr="00505F88">
        <w:rPr>
          <w:rFonts w:ascii="Arial" w:hAnsi="Arial" w:cs="Arial"/>
        </w:rPr>
        <w:t xml:space="preserve"> a team of experts examined the broader economic returns of ending the AIDS epidemic as a public health threat and published the result in early 2019</w:t>
      </w:r>
      <w:r>
        <w:rPr>
          <w:rFonts w:ascii="Arial" w:hAnsi="Arial" w:cs="Arial"/>
        </w:rPr>
        <w:t xml:space="preserve"> (Lamontagne et al 2019). </w:t>
      </w:r>
      <w:r w:rsidRPr="00505F88">
        <w:rPr>
          <w:rFonts w:ascii="Arial" w:hAnsi="Arial" w:cs="Arial"/>
        </w:rPr>
        <w:t>The team used two different approaches to estimate the incremental economic returns of investing in and achieving the UNAIDS Fast Track scenario when compared to a constant coverage scenario. The study included 28 low- and middle-income countries. The benefits were calculate</w:t>
      </w:r>
      <w:r>
        <w:rPr>
          <w:rFonts w:ascii="Arial" w:hAnsi="Arial" w:cs="Arial"/>
        </w:rPr>
        <w:t>d</w:t>
      </w:r>
      <w:r w:rsidRPr="00505F88">
        <w:rPr>
          <w:rFonts w:ascii="Arial" w:hAnsi="Arial" w:cs="Arial"/>
        </w:rPr>
        <w:t xml:space="preserve"> using the full income approach and the productivity approach.   Although results for Tanzania are not </w:t>
      </w:r>
      <w:r>
        <w:rPr>
          <w:rFonts w:ascii="Arial" w:hAnsi="Arial" w:cs="Arial"/>
        </w:rPr>
        <w:t xml:space="preserve">separated, </w:t>
      </w:r>
      <w:r w:rsidRPr="00505F88">
        <w:rPr>
          <w:rFonts w:ascii="Arial" w:hAnsi="Arial" w:cs="Arial"/>
        </w:rPr>
        <w:t>East and Southern African region show</w:t>
      </w:r>
      <w:r>
        <w:rPr>
          <w:rFonts w:ascii="Arial" w:hAnsi="Arial" w:cs="Arial"/>
        </w:rPr>
        <w:t>s</w:t>
      </w:r>
      <w:r w:rsidRPr="00505F88">
        <w:rPr>
          <w:rFonts w:ascii="Arial" w:hAnsi="Arial" w:cs="Arial"/>
        </w:rPr>
        <w:t xml:space="preserve"> the second highest return on investment</w:t>
      </w:r>
      <w:r>
        <w:rPr>
          <w:rFonts w:ascii="Arial" w:hAnsi="Arial" w:cs="Arial"/>
        </w:rPr>
        <w:t xml:space="preserve">: an </w:t>
      </w:r>
      <w:r w:rsidRPr="00505F88">
        <w:rPr>
          <w:rFonts w:ascii="Arial" w:hAnsi="Arial" w:cs="Arial"/>
        </w:rPr>
        <w:t>incremental cost benefit ratio</w:t>
      </w:r>
      <w:r>
        <w:rPr>
          <w:rFonts w:ascii="Arial" w:hAnsi="Arial" w:cs="Arial"/>
        </w:rPr>
        <w:t xml:space="preserve"> of</w:t>
      </w:r>
      <w:r w:rsidRPr="00505F88">
        <w:rPr>
          <w:rFonts w:ascii="Arial" w:hAnsi="Arial" w:cs="Arial"/>
        </w:rPr>
        <w:t xml:space="preserve"> 6.46</w:t>
      </w:r>
      <w:r>
        <w:rPr>
          <w:rFonts w:ascii="Arial" w:hAnsi="Arial" w:cs="Arial"/>
        </w:rPr>
        <w:t>,</w:t>
      </w:r>
      <w:r w:rsidRPr="00505F88">
        <w:rPr>
          <w:rFonts w:ascii="Arial" w:hAnsi="Arial" w:cs="Arial"/>
        </w:rPr>
        <w:t xml:space="preserve"> implying that every additional dollar invested to achieve Fast Track targets </w:t>
      </w:r>
      <w:r>
        <w:rPr>
          <w:rFonts w:ascii="Arial" w:hAnsi="Arial" w:cs="Arial"/>
        </w:rPr>
        <w:t xml:space="preserve">would </w:t>
      </w:r>
      <w:r w:rsidRPr="00505F88">
        <w:rPr>
          <w:rFonts w:ascii="Arial" w:hAnsi="Arial" w:cs="Arial"/>
        </w:rPr>
        <w:t xml:space="preserve">yield economic benefit of over six dollars. </w:t>
      </w:r>
      <w:r>
        <w:rPr>
          <w:rFonts w:ascii="Arial" w:hAnsi="Arial" w:cs="Arial"/>
        </w:rPr>
        <w:t xml:space="preserve">Using the O-DRM </w:t>
      </w:r>
      <w:r w:rsidRPr="00505F88">
        <w:rPr>
          <w:rFonts w:ascii="Arial" w:hAnsi="Arial" w:cs="Arial"/>
        </w:rPr>
        <w:t>scenario above, additional domestic investment to reach F</w:t>
      </w:r>
      <w:r>
        <w:rPr>
          <w:rFonts w:ascii="Arial" w:hAnsi="Arial" w:cs="Arial"/>
        </w:rPr>
        <w:t>ast Track</w:t>
      </w:r>
      <w:r w:rsidRPr="00505F88">
        <w:rPr>
          <w:rFonts w:ascii="Arial" w:hAnsi="Arial" w:cs="Arial"/>
        </w:rPr>
        <w:t xml:space="preserve"> targets amounts to USD 660 M over the period to 2030 and would yield economic benefit of USD 4.3 </w:t>
      </w:r>
      <w:r>
        <w:rPr>
          <w:rFonts w:ascii="Arial" w:hAnsi="Arial" w:cs="Arial"/>
        </w:rPr>
        <w:t>B for Tanzania</w:t>
      </w:r>
      <w:r w:rsidRPr="00505F88">
        <w:rPr>
          <w:rFonts w:ascii="Arial" w:hAnsi="Arial" w:cs="Arial"/>
        </w:rPr>
        <w:t xml:space="preserve">. </w:t>
      </w:r>
    </w:p>
    <w:p w14:paraId="3F03E7C6" w14:textId="77777777" w:rsidR="00F523A7" w:rsidRDefault="00F523A7" w:rsidP="008D04B1">
      <w:pPr>
        <w:spacing w:after="0"/>
      </w:pPr>
    </w:p>
    <w:p w14:paraId="37160139" w14:textId="15516930" w:rsidR="000221D2" w:rsidRPr="000221D2" w:rsidRDefault="000221D2" w:rsidP="00444084">
      <w:pPr>
        <w:pStyle w:val="Heading2"/>
        <w:spacing w:before="0"/>
      </w:pPr>
      <w:bookmarkStart w:id="117" w:name="_Toc57035211"/>
      <w:r w:rsidRPr="005A535A">
        <w:rPr>
          <w:rFonts w:ascii="Arial" w:hAnsi="Arial" w:cs="Arial"/>
          <w:b/>
          <w:color w:val="000000" w:themeColor="text1"/>
        </w:rPr>
        <w:t xml:space="preserve">Potential mechanisms for </w:t>
      </w:r>
      <w:r w:rsidR="00CF2E58">
        <w:rPr>
          <w:rFonts w:ascii="Arial" w:hAnsi="Arial" w:cs="Arial"/>
          <w:b/>
          <w:color w:val="000000" w:themeColor="text1"/>
        </w:rPr>
        <w:t>implementing</w:t>
      </w:r>
      <w:r w:rsidR="005A535A">
        <w:rPr>
          <w:rFonts w:ascii="Arial" w:hAnsi="Arial" w:cs="Arial"/>
          <w:b/>
          <w:color w:val="000000" w:themeColor="text1"/>
        </w:rPr>
        <w:t xml:space="preserve"> </w:t>
      </w:r>
      <w:r w:rsidRPr="005A535A">
        <w:rPr>
          <w:rFonts w:ascii="Arial" w:hAnsi="Arial" w:cs="Arial"/>
          <w:b/>
          <w:color w:val="000000" w:themeColor="text1"/>
        </w:rPr>
        <w:t>increased domestic funding for the HIV response</w:t>
      </w:r>
      <w:bookmarkEnd w:id="117"/>
    </w:p>
    <w:p w14:paraId="7E95C9C0" w14:textId="77777777" w:rsidR="002F43BE" w:rsidRDefault="002F43BE" w:rsidP="00CF2E58">
      <w:pPr>
        <w:spacing w:after="0"/>
        <w:rPr>
          <w:rFonts w:ascii="Arial" w:hAnsi="Arial" w:cs="Arial"/>
        </w:rPr>
      </w:pPr>
    </w:p>
    <w:p w14:paraId="1FD888D7" w14:textId="7743C97D" w:rsidR="008D7D4E" w:rsidRDefault="00CF2E58" w:rsidP="00CF2E58">
      <w:pPr>
        <w:spacing w:after="0"/>
        <w:rPr>
          <w:rFonts w:ascii="Arial" w:hAnsi="Arial" w:cs="Arial"/>
        </w:rPr>
      </w:pPr>
      <w:r w:rsidRPr="005A535A">
        <w:rPr>
          <w:rFonts w:ascii="Arial" w:hAnsi="Arial" w:cs="Arial"/>
        </w:rPr>
        <w:t xml:space="preserve">Given how important additional domestic resources will be in preventing new infections, saving lives, and ensuring the continued progress of the HIV response, especially in a declining donor scenario, identifying mechanisms for </w:t>
      </w:r>
      <w:r>
        <w:rPr>
          <w:rFonts w:ascii="Arial" w:hAnsi="Arial" w:cs="Arial"/>
        </w:rPr>
        <w:t xml:space="preserve">realizing </w:t>
      </w:r>
      <w:r w:rsidRPr="005A535A">
        <w:rPr>
          <w:rFonts w:ascii="Arial" w:hAnsi="Arial" w:cs="Arial"/>
        </w:rPr>
        <w:t xml:space="preserve">domestic resource mobilization </w:t>
      </w:r>
      <w:r>
        <w:rPr>
          <w:rFonts w:ascii="Arial" w:hAnsi="Arial" w:cs="Arial"/>
        </w:rPr>
        <w:t xml:space="preserve">in Tanzania </w:t>
      </w:r>
      <w:r w:rsidRPr="005A535A">
        <w:rPr>
          <w:rFonts w:ascii="Arial" w:hAnsi="Arial" w:cs="Arial"/>
        </w:rPr>
        <w:t>is critical. Below is an overview of the most important domestic initiatives currently under way to mobilize additional resources for the HIV response and the health sector in general</w:t>
      </w:r>
      <w:r>
        <w:rPr>
          <w:rFonts w:ascii="Arial" w:hAnsi="Arial" w:cs="Arial"/>
        </w:rPr>
        <w:t>, on top of the more traditional approach to increasing the health ministry budget</w:t>
      </w:r>
      <w:r w:rsidRPr="005A535A">
        <w:rPr>
          <w:rFonts w:ascii="Arial" w:hAnsi="Arial" w:cs="Arial"/>
        </w:rPr>
        <w:t xml:space="preserve">. </w:t>
      </w:r>
    </w:p>
    <w:p w14:paraId="405CA42E" w14:textId="77777777" w:rsidR="005A3BB7" w:rsidRDefault="005A3BB7" w:rsidP="00CF2E58">
      <w:pPr>
        <w:spacing w:after="0"/>
        <w:rPr>
          <w:rFonts w:ascii="Arial" w:hAnsi="Arial" w:cs="Arial"/>
        </w:rPr>
      </w:pPr>
    </w:p>
    <w:p w14:paraId="7A20710D" w14:textId="162552BF" w:rsidR="008D7D4E" w:rsidRDefault="008D7D4E" w:rsidP="008D7D4E">
      <w:pPr>
        <w:spacing w:after="0" w:line="276" w:lineRule="auto"/>
        <w:rPr>
          <w:rFonts w:ascii="Arial" w:hAnsi="Arial" w:cs="Arial"/>
        </w:rPr>
      </w:pPr>
      <w:r w:rsidRPr="005A535A">
        <w:rPr>
          <w:rFonts w:ascii="Arial" w:hAnsi="Arial" w:cs="Arial"/>
        </w:rPr>
        <w:t xml:space="preserve">Many of these </w:t>
      </w:r>
      <w:r>
        <w:rPr>
          <w:rFonts w:ascii="Arial" w:hAnsi="Arial" w:cs="Arial"/>
        </w:rPr>
        <w:t xml:space="preserve">mechanisms emerge from </w:t>
      </w:r>
      <w:r w:rsidRPr="005A535A">
        <w:rPr>
          <w:rFonts w:ascii="Arial" w:hAnsi="Arial" w:cs="Arial"/>
        </w:rPr>
        <w:t xml:space="preserve">broader health financing reforms which were first introduced in </w:t>
      </w:r>
      <w:r>
        <w:rPr>
          <w:rFonts w:ascii="Arial" w:hAnsi="Arial" w:cs="Arial"/>
        </w:rPr>
        <w:t xml:space="preserve">Tanzania in </w:t>
      </w:r>
      <w:r w:rsidRPr="005A535A">
        <w:rPr>
          <w:rFonts w:ascii="Arial" w:hAnsi="Arial" w:cs="Arial"/>
        </w:rPr>
        <w:t xml:space="preserve">the late </w:t>
      </w:r>
      <w:r>
        <w:rPr>
          <w:rFonts w:ascii="Arial" w:hAnsi="Arial" w:cs="Arial"/>
        </w:rPr>
        <w:t>1990a</w:t>
      </w:r>
      <w:r w:rsidRPr="005A535A">
        <w:rPr>
          <w:rFonts w:ascii="Arial" w:hAnsi="Arial" w:cs="Arial"/>
        </w:rPr>
        <w:t xml:space="preserve"> and include the establishment of the National Health Insurance Fund (NHIF) and the Community Health Fund (CHF).  </w:t>
      </w:r>
      <w:r>
        <w:rPr>
          <w:rFonts w:ascii="Arial" w:hAnsi="Arial" w:cs="Arial"/>
        </w:rPr>
        <w:t>T</w:t>
      </w:r>
      <w:r w:rsidRPr="005A535A">
        <w:rPr>
          <w:rFonts w:ascii="Arial" w:hAnsi="Arial" w:cs="Arial"/>
        </w:rPr>
        <w:t>he concept of Universal Health Coverage (UHC) was introduced by the WHO in 2010</w:t>
      </w:r>
      <w:r w:rsidR="005A3BB7">
        <w:rPr>
          <w:rFonts w:ascii="Arial" w:hAnsi="Arial" w:cs="Arial"/>
        </w:rPr>
        <w:t xml:space="preserve"> (Wang et al 2018)</w:t>
      </w:r>
      <w:r w:rsidR="005A3BB7" w:rsidRPr="005A535A">
        <w:rPr>
          <w:rFonts w:ascii="Arial" w:hAnsi="Arial" w:cs="Arial"/>
        </w:rPr>
        <w:t xml:space="preserve"> </w:t>
      </w:r>
      <w:r w:rsidRPr="005A535A">
        <w:rPr>
          <w:rFonts w:ascii="Arial" w:hAnsi="Arial" w:cs="Arial"/>
        </w:rPr>
        <w:t>and in Tanzania provides an opportunity to improve equi</w:t>
      </w:r>
      <w:r>
        <w:rPr>
          <w:rFonts w:ascii="Arial" w:hAnsi="Arial" w:cs="Arial"/>
        </w:rPr>
        <w:t>table</w:t>
      </w:r>
      <w:r w:rsidRPr="005A535A">
        <w:rPr>
          <w:rFonts w:ascii="Arial" w:hAnsi="Arial" w:cs="Arial"/>
        </w:rPr>
        <w:t xml:space="preserve"> access to health services for all. U</w:t>
      </w:r>
      <w:r>
        <w:rPr>
          <w:rFonts w:ascii="Arial" w:hAnsi="Arial" w:cs="Arial"/>
        </w:rPr>
        <w:t>HC</w:t>
      </w:r>
      <w:r w:rsidRPr="005A535A">
        <w:rPr>
          <w:rFonts w:ascii="Arial" w:hAnsi="Arial" w:cs="Arial"/>
        </w:rPr>
        <w:t xml:space="preserve"> has provided further impetus to expand and increase the coverage of the NHIF and the CHF. </w:t>
      </w:r>
    </w:p>
    <w:p w14:paraId="4E78D14B" w14:textId="5DC5867D" w:rsidR="000221D2" w:rsidRDefault="000221D2" w:rsidP="005A535A">
      <w:pPr>
        <w:spacing w:after="0" w:line="240" w:lineRule="auto"/>
      </w:pPr>
    </w:p>
    <w:p w14:paraId="16412270" w14:textId="77777777" w:rsidR="008D7D4E" w:rsidRDefault="008D7D4E" w:rsidP="008D7D4E">
      <w:pPr>
        <w:spacing w:after="0" w:line="276" w:lineRule="auto"/>
      </w:pPr>
      <w:r w:rsidRPr="005A535A">
        <w:rPr>
          <w:rFonts w:ascii="Arial" w:hAnsi="Arial" w:cs="Arial"/>
        </w:rPr>
        <w:t xml:space="preserve">Although many innovative funding mechanisms have been proposed in national </w:t>
      </w:r>
      <w:r>
        <w:rPr>
          <w:rFonts w:ascii="Arial" w:hAnsi="Arial" w:cs="Arial"/>
        </w:rPr>
        <w:t xml:space="preserve">HIV and health financing </w:t>
      </w:r>
      <w:r w:rsidRPr="005A535A">
        <w:rPr>
          <w:rFonts w:ascii="Arial" w:hAnsi="Arial" w:cs="Arial"/>
        </w:rPr>
        <w:t>strategies and related documents, this section will focus on those most likel</w:t>
      </w:r>
      <w:r w:rsidRPr="00191A38">
        <w:rPr>
          <w:rFonts w:ascii="Arial" w:hAnsi="Arial" w:cs="Arial"/>
        </w:rPr>
        <w:t xml:space="preserve">y to result in significantly increased HIV funding while </w:t>
      </w:r>
      <w:r>
        <w:rPr>
          <w:rFonts w:ascii="Arial" w:hAnsi="Arial" w:cs="Arial"/>
        </w:rPr>
        <w:t xml:space="preserve">arguing that </w:t>
      </w:r>
      <w:r w:rsidRPr="00191A38">
        <w:rPr>
          <w:rFonts w:ascii="Arial" w:hAnsi="Arial" w:cs="Arial"/>
        </w:rPr>
        <w:t xml:space="preserve">many innovative financing mechanisms </w:t>
      </w:r>
      <w:r>
        <w:rPr>
          <w:rFonts w:ascii="Arial" w:hAnsi="Arial" w:cs="Arial"/>
        </w:rPr>
        <w:t>proposed in recent years have not borne fruit and may not help</w:t>
      </w:r>
      <w:r w:rsidRPr="00191A38">
        <w:rPr>
          <w:rFonts w:ascii="Arial" w:hAnsi="Arial" w:cs="Arial"/>
        </w:rPr>
        <w:t xml:space="preserve"> to mobilize the funds required to fill </w:t>
      </w:r>
      <w:r>
        <w:rPr>
          <w:rFonts w:ascii="Arial" w:hAnsi="Arial" w:cs="Arial"/>
        </w:rPr>
        <w:t>HIV financing</w:t>
      </w:r>
      <w:r w:rsidRPr="00191A38">
        <w:rPr>
          <w:rFonts w:ascii="Arial" w:hAnsi="Arial" w:cs="Arial"/>
        </w:rPr>
        <w:t xml:space="preserve"> gap</w:t>
      </w:r>
      <w:r>
        <w:rPr>
          <w:rFonts w:ascii="Arial" w:hAnsi="Arial" w:cs="Arial"/>
        </w:rPr>
        <w:t>s</w:t>
      </w:r>
      <w:r w:rsidRPr="00191A38">
        <w:rPr>
          <w:rFonts w:ascii="Arial" w:hAnsi="Arial" w:cs="Arial"/>
        </w:rPr>
        <w:t>.</w:t>
      </w:r>
    </w:p>
    <w:p w14:paraId="2EC53B44" w14:textId="0F47D172" w:rsidR="00CC2044" w:rsidRDefault="00CC2044" w:rsidP="002E0189">
      <w:pPr>
        <w:spacing w:after="0"/>
        <w:rPr>
          <w:rFonts w:ascii="Arial" w:eastAsiaTheme="majorEastAsia" w:hAnsi="Arial" w:cs="Arial"/>
          <w:i/>
          <w:color w:val="000000" w:themeColor="text1"/>
          <w:sz w:val="24"/>
          <w:szCs w:val="24"/>
        </w:rPr>
      </w:pPr>
    </w:p>
    <w:p w14:paraId="0C02122D" w14:textId="2103EDC4" w:rsidR="000221D2" w:rsidRDefault="000221D2" w:rsidP="005A535A">
      <w:pPr>
        <w:pStyle w:val="Heading3"/>
        <w:rPr>
          <w:rFonts w:ascii="Arial" w:hAnsi="Arial" w:cs="Arial"/>
          <w:i/>
          <w:color w:val="000000" w:themeColor="text1"/>
        </w:rPr>
      </w:pPr>
      <w:bookmarkStart w:id="118" w:name="_Toc57035212"/>
      <w:r w:rsidRPr="005A535A">
        <w:rPr>
          <w:rFonts w:ascii="Arial" w:hAnsi="Arial" w:cs="Arial"/>
          <w:i/>
          <w:color w:val="000000" w:themeColor="text1"/>
        </w:rPr>
        <w:t>National Health Insurance Fund</w:t>
      </w:r>
      <w:bookmarkEnd w:id="118"/>
      <w:r w:rsidRPr="005A535A">
        <w:rPr>
          <w:rFonts w:ascii="Arial" w:hAnsi="Arial" w:cs="Arial"/>
          <w:i/>
          <w:color w:val="000000" w:themeColor="text1"/>
        </w:rPr>
        <w:t xml:space="preserve"> </w:t>
      </w:r>
    </w:p>
    <w:p w14:paraId="7F4CD50D" w14:textId="77777777" w:rsidR="005A535A" w:rsidRPr="005A535A" w:rsidRDefault="005A535A" w:rsidP="005A535A">
      <w:pPr>
        <w:spacing w:after="0"/>
      </w:pPr>
    </w:p>
    <w:p w14:paraId="3EA5CDD1" w14:textId="71F76845" w:rsidR="005A535A" w:rsidRDefault="000221D2" w:rsidP="00CF2E58">
      <w:pPr>
        <w:pStyle w:val="Default"/>
        <w:rPr>
          <w:rFonts w:ascii="Arial" w:hAnsi="Arial" w:cs="Arial"/>
          <w:color w:val="auto"/>
          <w:sz w:val="20"/>
          <w:szCs w:val="20"/>
          <w:lang w:val="en-US"/>
        </w:rPr>
      </w:pPr>
      <w:r w:rsidRPr="00505F88">
        <w:rPr>
          <w:rFonts w:ascii="Arial" w:hAnsi="Arial" w:cs="Arial"/>
          <w:color w:val="auto"/>
          <w:sz w:val="20"/>
          <w:szCs w:val="20"/>
          <w:lang w:val="en-US"/>
        </w:rPr>
        <w:t>The National Health Insurance Fund (NHIF) was established by an Act of Parliament (No 8) in 1999 as part of the broader suite of health reforms</w:t>
      </w:r>
      <w:r w:rsidR="00CF2E58">
        <w:rPr>
          <w:rFonts w:ascii="Arial" w:hAnsi="Arial" w:cs="Arial"/>
          <w:color w:val="auto"/>
          <w:sz w:val="20"/>
          <w:szCs w:val="20"/>
          <w:lang w:val="en-US"/>
        </w:rPr>
        <w:t xml:space="preserve"> to provide health insurance coverage for families in formal employment</w:t>
      </w:r>
      <w:r w:rsidRPr="00505F88">
        <w:rPr>
          <w:rFonts w:ascii="Arial" w:hAnsi="Arial" w:cs="Arial"/>
          <w:color w:val="auto"/>
          <w:sz w:val="20"/>
          <w:szCs w:val="20"/>
          <w:lang w:val="en-US"/>
        </w:rPr>
        <w:t xml:space="preserve">. </w:t>
      </w:r>
    </w:p>
    <w:p w14:paraId="03FAFA00" w14:textId="4E557E5B" w:rsidR="008D7D4E" w:rsidRDefault="008D7D4E" w:rsidP="008D7D4E">
      <w:pPr>
        <w:spacing w:after="0"/>
        <w:rPr>
          <w:rFonts w:ascii="Arial" w:hAnsi="Arial" w:cs="Arial"/>
        </w:rPr>
      </w:pPr>
    </w:p>
    <w:p w14:paraId="40DD5747" w14:textId="55C50CD3" w:rsidR="008D7D4E" w:rsidRPr="005A535A" w:rsidRDefault="008D7D4E" w:rsidP="000221D2">
      <w:pPr>
        <w:rPr>
          <w:rFonts w:ascii="Arial" w:hAnsi="Arial" w:cs="Arial"/>
          <w:sz w:val="22"/>
          <w:szCs w:val="22"/>
        </w:rPr>
      </w:pPr>
      <w:r w:rsidRPr="005A535A">
        <w:rPr>
          <w:rFonts w:ascii="Arial" w:hAnsi="Arial" w:cs="Arial"/>
        </w:rPr>
        <w:t>Contributions comprise 6% of the employee’s gross salary and are evenly split between the employer and the employee.  Membership has increased over the years from 248</w:t>
      </w:r>
      <w:r>
        <w:rPr>
          <w:rFonts w:ascii="Arial" w:hAnsi="Arial" w:cs="Arial"/>
        </w:rPr>
        <w:t>,</w:t>
      </w:r>
      <w:r w:rsidRPr="005A535A">
        <w:rPr>
          <w:rFonts w:ascii="Arial" w:hAnsi="Arial" w:cs="Arial"/>
        </w:rPr>
        <w:t>343 in 2005 to 850</w:t>
      </w:r>
      <w:r>
        <w:rPr>
          <w:rFonts w:ascii="Arial" w:hAnsi="Arial" w:cs="Arial"/>
        </w:rPr>
        <w:t>,</w:t>
      </w:r>
      <w:r w:rsidRPr="005A535A">
        <w:rPr>
          <w:rFonts w:ascii="Arial" w:hAnsi="Arial" w:cs="Arial"/>
        </w:rPr>
        <w:t>268 in the 2017 fiscal year</w:t>
      </w:r>
      <w:r>
        <w:rPr>
          <w:rFonts w:ascii="Arial" w:hAnsi="Arial" w:cs="Arial"/>
        </w:rPr>
        <w:t xml:space="preserve"> (MoHCDGEC 201</w:t>
      </w:r>
      <w:r w:rsidR="00607E5F">
        <w:rPr>
          <w:rFonts w:ascii="Arial" w:hAnsi="Arial" w:cs="Arial"/>
        </w:rPr>
        <w:t>8</w:t>
      </w:r>
      <w:r>
        <w:rPr>
          <w:rFonts w:ascii="Arial" w:hAnsi="Arial" w:cs="Arial"/>
        </w:rPr>
        <w:t>)</w:t>
      </w:r>
      <w:r w:rsidRPr="005A535A">
        <w:rPr>
          <w:rFonts w:ascii="Arial" w:hAnsi="Arial" w:cs="Arial"/>
        </w:rPr>
        <w:t xml:space="preserve">. The number of beneficiaries stands at 3.7 </w:t>
      </w:r>
      <w:r>
        <w:rPr>
          <w:rFonts w:ascii="Arial" w:hAnsi="Arial" w:cs="Arial"/>
        </w:rPr>
        <w:t>M, or about 6.5% of the population</w:t>
      </w:r>
      <w:r w:rsidRPr="005A535A">
        <w:rPr>
          <w:rFonts w:ascii="Arial" w:hAnsi="Arial" w:cs="Arial"/>
        </w:rPr>
        <w:t xml:space="preserve">. </w:t>
      </w:r>
      <w:r>
        <w:rPr>
          <w:rFonts w:ascii="Arial" w:hAnsi="Arial" w:cs="Arial"/>
        </w:rPr>
        <w:t>N</w:t>
      </w:r>
      <w:r w:rsidRPr="005A535A">
        <w:rPr>
          <w:rFonts w:ascii="Arial" w:hAnsi="Arial" w:cs="Arial"/>
        </w:rPr>
        <w:t xml:space="preserve">ote from the </w:t>
      </w:r>
      <w:r>
        <w:rPr>
          <w:rFonts w:ascii="Arial" w:hAnsi="Arial" w:cs="Arial"/>
        </w:rPr>
        <w:t xml:space="preserve">table </w:t>
      </w:r>
      <w:r w:rsidRPr="005A535A">
        <w:rPr>
          <w:rFonts w:ascii="Arial" w:hAnsi="Arial" w:cs="Arial"/>
        </w:rPr>
        <w:t>below</w:t>
      </w:r>
      <w:r>
        <w:rPr>
          <w:rFonts w:ascii="Arial" w:hAnsi="Arial" w:cs="Arial"/>
        </w:rPr>
        <w:t xml:space="preserve"> (</w:t>
      </w:r>
      <w:r w:rsidRPr="00585A95">
        <w:rPr>
          <w:rFonts w:ascii="Arial" w:hAnsi="Arial" w:cs="Arial"/>
          <w:i/>
        </w:rPr>
        <w:t>Figure 7-10</w:t>
      </w:r>
      <w:r>
        <w:rPr>
          <w:rFonts w:ascii="Arial" w:hAnsi="Arial" w:cs="Arial"/>
        </w:rPr>
        <w:t>)</w:t>
      </w:r>
      <w:r w:rsidRPr="005A535A">
        <w:rPr>
          <w:rFonts w:ascii="Arial" w:hAnsi="Arial" w:cs="Arial"/>
        </w:rPr>
        <w:t xml:space="preserve"> that the revenue received by the fund continues to exceed the total expenditure</w:t>
      </w:r>
      <w:r>
        <w:rPr>
          <w:rFonts w:ascii="Arial" w:hAnsi="Arial" w:cs="Arial"/>
        </w:rPr>
        <w:t xml:space="preserve">s, generating surpluses that could potentially be used for HIV. However, the </w:t>
      </w:r>
      <w:r w:rsidRPr="005A535A">
        <w:rPr>
          <w:rFonts w:ascii="Arial" w:hAnsi="Arial" w:cs="Arial"/>
        </w:rPr>
        <w:t xml:space="preserve">current </w:t>
      </w:r>
      <w:r>
        <w:rPr>
          <w:rFonts w:ascii="Arial" w:hAnsi="Arial" w:cs="Arial"/>
        </w:rPr>
        <w:t xml:space="preserve">NHIF </w:t>
      </w:r>
      <w:r w:rsidRPr="005A535A">
        <w:rPr>
          <w:rFonts w:ascii="Arial" w:hAnsi="Arial" w:cs="Arial"/>
        </w:rPr>
        <w:t xml:space="preserve">benefits package does not include direct HIV services.     </w:t>
      </w:r>
    </w:p>
    <w:p w14:paraId="731C1A53" w14:textId="22A67916" w:rsidR="000221D2" w:rsidRPr="00191A38" w:rsidRDefault="00191A38" w:rsidP="00191A38">
      <w:pPr>
        <w:rPr>
          <w:rFonts w:ascii="Arial" w:hAnsi="Arial" w:cs="Arial"/>
          <w:i/>
          <w:sz w:val="18"/>
        </w:rPr>
      </w:pPr>
      <w:r w:rsidRPr="00191A38">
        <w:rPr>
          <w:rFonts w:ascii="Arial" w:hAnsi="Arial" w:cs="Arial"/>
          <w:i/>
          <w:sz w:val="18"/>
        </w:rPr>
        <w:t xml:space="preserve">Figure </w:t>
      </w:r>
      <w:r w:rsidR="00B61AA0">
        <w:rPr>
          <w:rFonts w:ascii="Arial" w:hAnsi="Arial" w:cs="Arial"/>
          <w:i/>
          <w:sz w:val="18"/>
        </w:rPr>
        <w:t>7-10.</w:t>
      </w:r>
      <w:r w:rsidRPr="00191A38">
        <w:rPr>
          <w:rFonts w:ascii="Arial" w:hAnsi="Arial" w:cs="Arial"/>
          <w:i/>
          <w:sz w:val="18"/>
        </w:rPr>
        <w:t xml:space="preserve"> Summary of NHIF revenue and expenditure </w:t>
      </w:r>
    </w:p>
    <w:tbl>
      <w:tblPr>
        <w:tblStyle w:val="GridTable3-Accent1"/>
        <w:tblW w:w="87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4"/>
        <w:gridCol w:w="1475"/>
        <w:gridCol w:w="1476"/>
        <w:gridCol w:w="1475"/>
        <w:gridCol w:w="1476"/>
      </w:tblGrid>
      <w:tr w:rsidR="000221D2" w:rsidRPr="002A36BE" w14:paraId="0547DDB6" w14:textId="77777777" w:rsidTr="008D04B1">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2894" w:type="dxa"/>
            <w:tcBorders>
              <w:top w:val="single" w:sz="4" w:space="0" w:color="auto"/>
              <w:left w:val="single" w:sz="4" w:space="0" w:color="auto"/>
            </w:tcBorders>
            <w:noWrap/>
          </w:tcPr>
          <w:p w14:paraId="182AD312" w14:textId="77777777" w:rsidR="000221D2" w:rsidRPr="002A36BE" w:rsidRDefault="000221D2">
            <w:pPr>
              <w:rPr>
                <w:rFonts w:ascii="Arial" w:eastAsia="Times New Roman" w:hAnsi="Arial" w:cs="Arial"/>
                <w:sz w:val="18"/>
                <w:szCs w:val="24"/>
                <w:lang w:val="en-ZA" w:eastAsia="en-ZA"/>
              </w:rPr>
            </w:pPr>
          </w:p>
        </w:tc>
        <w:tc>
          <w:tcPr>
            <w:tcW w:w="1475" w:type="dxa"/>
            <w:tcBorders>
              <w:top w:val="single" w:sz="4" w:space="0" w:color="auto"/>
              <w:bottom w:val="single" w:sz="4" w:space="0" w:color="auto"/>
            </w:tcBorders>
            <w:noWrap/>
            <w:hideMark/>
          </w:tcPr>
          <w:p w14:paraId="3DF02930" w14:textId="77777777" w:rsidR="000221D2" w:rsidRPr="002A36BE" w:rsidRDefault="000221D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2A36BE">
              <w:rPr>
                <w:rFonts w:ascii="Arial" w:hAnsi="Arial" w:cs="Arial"/>
                <w:b w:val="0"/>
                <w:bCs w:val="0"/>
                <w:sz w:val="18"/>
              </w:rPr>
              <w:t>2013/14</w:t>
            </w:r>
          </w:p>
        </w:tc>
        <w:tc>
          <w:tcPr>
            <w:tcW w:w="1476" w:type="dxa"/>
            <w:tcBorders>
              <w:top w:val="single" w:sz="4" w:space="0" w:color="auto"/>
              <w:bottom w:val="single" w:sz="4" w:space="0" w:color="auto"/>
            </w:tcBorders>
            <w:noWrap/>
            <w:hideMark/>
          </w:tcPr>
          <w:p w14:paraId="4168F380" w14:textId="77777777" w:rsidR="000221D2" w:rsidRPr="002A36BE" w:rsidRDefault="000221D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2A36BE">
              <w:rPr>
                <w:rFonts w:ascii="Arial" w:hAnsi="Arial" w:cs="Arial"/>
                <w:b w:val="0"/>
                <w:bCs w:val="0"/>
                <w:sz w:val="18"/>
              </w:rPr>
              <w:t>2014/15</w:t>
            </w:r>
          </w:p>
        </w:tc>
        <w:tc>
          <w:tcPr>
            <w:tcW w:w="1475" w:type="dxa"/>
            <w:tcBorders>
              <w:top w:val="single" w:sz="4" w:space="0" w:color="auto"/>
              <w:bottom w:val="single" w:sz="4" w:space="0" w:color="auto"/>
            </w:tcBorders>
            <w:noWrap/>
            <w:hideMark/>
          </w:tcPr>
          <w:p w14:paraId="72523FE7" w14:textId="77777777" w:rsidR="000221D2" w:rsidRPr="002A36BE" w:rsidRDefault="000221D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2A36BE">
              <w:rPr>
                <w:rFonts w:ascii="Arial" w:hAnsi="Arial" w:cs="Arial"/>
                <w:b w:val="0"/>
                <w:bCs w:val="0"/>
                <w:sz w:val="18"/>
              </w:rPr>
              <w:t>2015/16</w:t>
            </w:r>
          </w:p>
        </w:tc>
        <w:tc>
          <w:tcPr>
            <w:tcW w:w="1476" w:type="dxa"/>
            <w:tcBorders>
              <w:top w:val="single" w:sz="4" w:space="0" w:color="auto"/>
              <w:bottom w:val="single" w:sz="4" w:space="0" w:color="auto"/>
              <w:right w:val="single" w:sz="4" w:space="0" w:color="auto"/>
            </w:tcBorders>
            <w:noWrap/>
            <w:hideMark/>
          </w:tcPr>
          <w:p w14:paraId="586A68EB" w14:textId="77777777" w:rsidR="000221D2" w:rsidRPr="002A36BE" w:rsidRDefault="000221D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2A36BE">
              <w:rPr>
                <w:rFonts w:ascii="Arial" w:hAnsi="Arial" w:cs="Arial"/>
                <w:b w:val="0"/>
                <w:bCs w:val="0"/>
                <w:sz w:val="18"/>
              </w:rPr>
              <w:t>2016/17</w:t>
            </w:r>
          </w:p>
        </w:tc>
      </w:tr>
      <w:tr w:rsidR="000221D2" w:rsidRPr="002A36BE" w14:paraId="4A3E27C9" w14:textId="77777777" w:rsidTr="008D04B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94" w:type="dxa"/>
            <w:tcBorders>
              <w:left w:val="single" w:sz="4" w:space="0" w:color="auto"/>
              <w:right w:val="single" w:sz="4" w:space="0" w:color="auto"/>
            </w:tcBorders>
            <w:noWrap/>
            <w:hideMark/>
          </w:tcPr>
          <w:p w14:paraId="31113688" w14:textId="5CC7BE4C" w:rsidR="000221D2" w:rsidRPr="002A36BE" w:rsidRDefault="000221D2">
            <w:pPr>
              <w:rPr>
                <w:rFonts w:ascii="Arial" w:eastAsia="Times New Roman" w:hAnsi="Arial" w:cs="Arial"/>
                <w:i w:val="0"/>
                <w:sz w:val="18"/>
                <w:szCs w:val="24"/>
                <w:lang w:val="en-ZA" w:eastAsia="en-ZA"/>
              </w:rPr>
            </w:pPr>
          </w:p>
        </w:tc>
        <w:tc>
          <w:tcPr>
            <w:tcW w:w="1475" w:type="dxa"/>
            <w:tcBorders>
              <w:top w:val="single" w:sz="4" w:space="0" w:color="auto"/>
              <w:left w:val="single" w:sz="4" w:space="0" w:color="auto"/>
              <w:bottom w:val="single" w:sz="4" w:space="0" w:color="auto"/>
              <w:right w:val="single" w:sz="4" w:space="0" w:color="auto"/>
            </w:tcBorders>
            <w:noWrap/>
            <w:hideMark/>
          </w:tcPr>
          <w:p w14:paraId="7C65C7B5"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USD mil</w:t>
            </w:r>
          </w:p>
        </w:tc>
        <w:tc>
          <w:tcPr>
            <w:tcW w:w="1476" w:type="dxa"/>
            <w:tcBorders>
              <w:top w:val="single" w:sz="4" w:space="0" w:color="auto"/>
              <w:left w:val="single" w:sz="4" w:space="0" w:color="auto"/>
              <w:bottom w:val="single" w:sz="4" w:space="0" w:color="auto"/>
              <w:right w:val="single" w:sz="4" w:space="0" w:color="auto"/>
            </w:tcBorders>
            <w:noWrap/>
            <w:hideMark/>
          </w:tcPr>
          <w:p w14:paraId="67AB75D2"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USD mil</w:t>
            </w:r>
          </w:p>
        </w:tc>
        <w:tc>
          <w:tcPr>
            <w:tcW w:w="1475" w:type="dxa"/>
            <w:tcBorders>
              <w:top w:val="single" w:sz="4" w:space="0" w:color="auto"/>
              <w:left w:val="single" w:sz="4" w:space="0" w:color="auto"/>
              <w:bottom w:val="single" w:sz="4" w:space="0" w:color="auto"/>
              <w:right w:val="single" w:sz="4" w:space="0" w:color="auto"/>
            </w:tcBorders>
            <w:noWrap/>
            <w:hideMark/>
          </w:tcPr>
          <w:p w14:paraId="37D3D7ED"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USD mil</w:t>
            </w:r>
          </w:p>
        </w:tc>
        <w:tc>
          <w:tcPr>
            <w:tcW w:w="1476" w:type="dxa"/>
            <w:tcBorders>
              <w:top w:val="single" w:sz="4" w:space="0" w:color="auto"/>
              <w:left w:val="single" w:sz="4" w:space="0" w:color="auto"/>
              <w:bottom w:val="single" w:sz="4" w:space="0" w:color="auto"/>
              <w:right w:val="single" w:sz="4" w:space="0" w:color="auto"/>
            </w:tcBorders>
            <w:noWrap/>
            <w:hideMark/>
          </w:tcPr>
          <w:p w14:paraId="550F6262"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USD mil</w:t>
            </w:r>
          </w:p>
        </w:tc>
      </w:tr>
      <w:tr w:rsidR="000221D2" w:rsidRPr="002A36BE" w14:paraId="4118D73D" w14:textId="77777777" w:rsidTr="008D04B1">
        <w:trPr>
          <w:trHeight w:val="218"/>
        </w:trPr>
        <w:tc>
          <w:tcPr>
            <w:cnfStyle w:val="001000000000" w:firstRow="0" w:lastRow="0" w:firstColumn="1" w:lastColumn="0" w:oddVBand="0" w:evenVBand="0" w:oddHBand="0" w:evenHBand="0" w:firstRowFirstColumn="0" w:firstRowLastColumn="0" w:lastRowFirstColumn="0" w:lastRowLastColumn="0"/>
            <w:tcW w:w="2894" w:type="dxa"/>
            <w:tcBorders>
              <w:left w:val="single" w:sz="4" w:space="0" w:color="auto"/>
              <w:right w:val="single" w:sz="4" w:space="0" w:color="auto"/>
            </w:tcBorders>
            <w:noWrap/>
            <w:hideMark/>
          </w:tcPr>
          <w:p w14:paraId="4D893039" w14:textId="77777777" w:rsidR="000221D2" w:rsidRPr="002A36BE" w:rsidRDefault="000221D2">
            <w:pPr>
              <w:rPr>
                <w:rFonts w:ascii="Arial" w:eastAsia="Times New Roman" w:hAnsi="Arial" w:cs="Arial"/>
                <w:i w:val="0"/>
                <w:sz w:val="18"/>
                <w:lang w:val="en-ZA" w:eastAsia="en-ZA"/>
              </w:rPr>
            </w:pPr>
            <w:r w:rsidRPr="002A36BE">
              <w:rPr>
                <w:rFonts w:ascii="Arial" w:eastAsia="Times New Roman" w:hAnsi="Arial" w:cs="Arial"/>
                <w:i w:val="0"/>
                <w:sz w:val="18"/>
                <w:lang w:val="en-ZA" w:eastAsia="en-ZA"/>
              </w:rPr>
              <w:t>Total revenue (USD 'millions)</w:t>
            </w:r>
          </w:p>
        </w:tc>
        <w:tc>
          <w:tcPr>
            <w:tcW w:w="1475" w:type="dxa"/>
            <w:tcBorders>
              <w:top w:val="single" w:sz="4" w:space="0" w:color="auto"/>
              <w:left w:val="single" w:sz="4" w:space="0" w:color="auto"/>
              <w:bottom w:val="single" w:sz="4" w:space="0" w:color="auto"/>
              <w:right w:val="single" w:sz="4" w:space="0" w:color="auto"/>
            </w:tcBorders>
            <w:noWrap/>
            <w:hideMark/>
          </w:tcPr>
          <w:p w14:paraId="230BCB42"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161.24</w:t>
            </w:r>
          </w:p>
        </w:tc>
        <w:tc>
          <w:tcPr>
            <w:tcW w:w="1476" w:type="dxa"/>
            <w:tcBorders>
              <w:top w:val="single" w:sz="4" w:space="0" w:color="auto"/>
              <w:left w:val="single" w:sz="4" w:space="0" w:color="auto"/>
              <w:bottom w:val="single" w:sz="4" w:space="0" w:color="auto"/>
              <w:right w:val="single" w:sz="4" w:space="0" w:color="auto"/>
            </w:tcBorders>
            <w:noWrap/>
            <w:hideMark/>
          </w:tcPr>
          <w:p w14:paraId="16816092"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190.36</w:t>
            </w:r>
          </w:p>
        </w:tc>
        <w:tc>
          <w:tcPr>
            <w:tcW w:w="1475" w:type="dxa"/>
            <w:tcBorders>
              <w:top w:val="single" w:sz="4" w:space="0" w:color="auto"/>
              <w:left w:val="single" w:sz="4" w:space="0" w:color="auto"/>
              <w:bottom w:val="single" w:sz="4" w:space="0" w:color="auto"/>
              <w:right w:val="single" w:sz="4" w:space="0" w:color="auto"/>
            </w:tcBorders>
            <w:noWrap/>
            <w:hideMark/>
          </w:tcPr>
          <w:p w14:paraId="7C62805A"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206.67</w:t>
            </w:r>
          </w:p>
        </w:tc>
        <w:tc>
          <w:tcPr>
            <w:tcW w:w="1476" w:type="dxa"/>
            <w:tcBorders>
              <w:top w:val="single" w:sz="4" w:space="0" w:color="auto"/>
              <w:left w:val="single" w:sz="4" w:space="0" w:color="auto"/>
              <w:bottom w:val="single" w:sz="4" w:space="0" w:color="auto"/>
              <w:right w:val="single" w:sz="4" w:space="0" w:color="auto"/>
            </w:tcBorders>
            <w:noWrap/>
            <w:hideMark/>
          </w:tcPr>
          <w:p w14:paraId="69E2E930"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219.46</w:t>
            </w:r>
          </w:p>
        </w:tc>
      </w:tr>
      <w:tr w:rsidR="000221D2" w:rsidRPr="002A36BE" w14:paraId="44CB8FC6" w14:textId="77777777" w:rsidTr="008D04B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94" w:type="dxa"/>
            <w:tcBorders>
              <w:top w:val="single" w:sz="4" w:space="0" w:color="auto"/>
              <w:left w:val="single" w:sz="4" w:space="0" w:color="auto"/>
              <w:bottom w:val="single" w:sz="4" w:space="0" w:color="auto"/>
              <w:right w:val="single" w:sz="4" w:space="0" w:color="auto"/>
            </w:tcBorders>
            <w:noWrap/>
            <w:hideMark/>
          </w:tcPr>
          <w:p w14:paraId="71062236" w14:textId="77777777" w:rsidR="000221D2" w:rsidRPr="002A36BE" w:rsidRDefault="000221D2">
            <w:pPr>
              <w:rPr>
                <w:rFonts w:ascii="Arial" w:eastAsia="Times New Roman" w:hAnsi="Arial" w:cs="Arial"/>
                <w:i w:val="0"/>
                <w:sz w:val="18"/>
                <w:lang w:val="en-ZA" w:eastAsia="en-ZA"/>
              </w:rPr>
            </w:pPr>
            <w:r w:rsidRPr="002A36BE">
              <w:rPr>
                <w:rFonts w:ascii="Arial" w:eastAsia="Times New Roman" w:hAnsi="Arial" w:cs="Arial"/>
                <w:i w:val="0"/>
                <w:sz w:val="18"/>
                <w:lang w:val="en-ZA" w:eastAsia="en-ZA"/>
              </w:rPr>
              <w:t>Total expenditure</w:t>
            </w:r>
          </w:p>
        </w:tc>
        <w:tc>
          <w:tcPr>
            <w:tcW w:w="1475" w:type="dxa"/>
            <w:tcBorders>
              <w:top w:val="single" w:sz="4" w:space="0" w:color="auto"/>
              <w:left w:val="single" w:sz="4" w:space="0" w:color="auto"/>
              <w:bottom w:val="single" w:sz="4" w:space="0" w:color="auto"/>
              <w:right w:val="single" w:sz="4" w:space="0" w:color="auto"/>
            </w:tcBorders>
            <w:noWrap/>
            <w:hideMark/>
          </w:tcPr>
          <w:p w14:paraId="135B76C5"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80.25</w:t>
            </w:r>
          </w:p>
        </w:tc>
        <w:tc>
          <w:tcPr>
            <w:tcW w:w="1476" w:type="dxa"/>
            <w:tcBorders>
              <w:top w:val="single" w:sz="4" w:space="0" w:color="auto"/>
              <w:left w:val="single" w:sz="4" w:space="0" w:color="auto"/>
              <w:bottom w:val="single" w:sz="4" w:space="0" w:color="auto"/>
              <w:right w:val="single" w:sz="4" w:space="0" w:color="auto"/>
            </w:tcBorders>
            <w:noWrap/>
            <w:hideMark/>
          </w:tcPr>
          <w:p w14:paraId="36E80E80"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114.69</w:t>
            </w:r>
          </w:p>
        </w:tc>
        <w:tc>
          <w:tcPr>
            <w:tcW w:w="1475" w:type="dxa"/>
            <w:tcBorders>
              <w:top w:val="single" w:sz="4" w:space="0" w:color="auto"/>
              <w:left w:val="single" w:sz="4" w:space="0" w:color="auto"/>
              <w:bottom w:val="single" w:sz="4" w:space="0" w:color="auto"/>
              <w:right w:val="single" w:sz="4" w:space="0" w:color="auto"/>
            </w:tcBorders>
            <w:noWrap/>
            <w:hideMark/>
          </w:tcPr>
          <w:p w14:paraId="7F812168"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132.23</w:t>
            </w:r>
          </w:p>
        </w:tc>
        <w:tc>
          <w:tcPr>
            <w:tcW w:w="1476" w:type="dxa"/>
            <w:tcBorders>
              <w:top w:val="single" w:sz="4" w:space="0" w:color="auto"/>
              <w:left w:val="single" w:sz="4" w:space="0" w:color="auto"/>
              <w:bottom w:val="single" w:sz="4" w:space="0" w:color="auto"/>
              <w:right w:val="single" w:sz="4" w:space="0" w:color="auto"/>
            </w:tcBorders>
            <w:noWrap/>
            <w:hideMark/>
          </w:tcPr>
          <w:p w14:paraId="17EB9BFA"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170.63</w:t>
            </w:r>
          </w:p>
        </w:tc>
      </w:tr>
      <w:tr w:rsidR="000221D2" w:rsidRPr="002A36BE" w14:paraId="070CCF02" w14:textId="77777777" w:rsidTr="008D04B1">
        <w:trPr>
          <w:trHeight w:val="218"/>
        </w:trPr>
        <w:tc>
          <w:tcPr>
            <w:cnfStyle w:val="001000000000" w:firstRow="0" w:lastRow="0" w:firstColumn="1" w:lastColumn="0" w:oddVBand="0" w:evenVBand="0" w:oddHBand="0" w:evenHBand="0" w:firstRowFirstColumn="0" w:firstRowLastColumn="0" w:lastRowFirstColumn="0" w:lastRowLastColumn="0"/>
            <w:tcW w:w="2894" w:type="dxa"/>
            <w:tcBorders>
              <w:left w:val="single" w:sz="4" w:space="0" w:color="auto"/>
              <w:right w:val="single" w:sz="4" w:space="0" w:color="auto"/>
            </w:tcBorders>
            <w:noWrap/>
            <w:hideMark/>
          </w:tcPr>
          <w:p w14:paraId="5057837C" w14:textId="77777777" w:rsidR="000221D2" w:rsidRPr="002A36BE" w:rsidRDefault="000221D2">
            <w:pPr>
              <w:rPr>
                <w:rFonts w:ascii="Arial" w:eastAsia="Times New Roman" w:hAnsi="Arial" w:cs="Arial"/>
                <w:i w:val="0"/>
                <w:sz w:val="18"/>
                <w:lang w:val="en-ZA" w:eastAsia="en-ZA"/>
              </w:rPr>
            </w:pPr>
            <w:r w:rsidRPr="002A36BE">
              <w:rPr>
                <w:rFonts w:ascii="Arial" w:eastAsia="Times New Roman" w:hAnsi="Arial" w:cs="Arial"/>
                <w:i w:val="0"/>
                <w:sz w:val="18"/>
                <w:lang w:val="en-ZA" w:eastAsia="en-ZA"/>
              </w:rPr>
              <w:t>Under expenditure</w:t>
            </w:r>
          </w:p>
        </w:tc>
        <w:tc>
          <w:tcPr>
            <w:tcW w:w="1475" w:type="dxa"/>
            <w:tcBorders>
              <w:top w:val="single" w:sz="4" w:space="0" w:color="auto"/>
              <w:left w:val="single" w:sz="4" w:space="0" w:color="auto"/>
              <w:bottom w:val="single" w:sz="4" w:space="0" w:color="auto"/>
              <w:right w:val="single" w:sz="4" w:space="0" w:color="auto"/>
            </w:tcBorders>
            <w:noWrap/>
            <w:hideMark/>
          </w:tcPr>
          <w:p w14:paraId="485BFCBF"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80.99</w:t>
            </w:r>
          </w:p>
        </w:tc>
        <w:tc>
          <w:tcPr>
            <w:tcW w:w="1476" w:type="dxa"/>
            <w:tcBorders>
              <w:top w:val="single" w:sz="4" w:space="0" w:color="auto"/>
              <w:left w:val="single" w:sz="4" w:space="0" w:color="auto"/>
              <w:bottom w:val="single" w:sz="4" w:space="0" w:color="auto"/>
              <w:right w:val="single" w:sz="4" w:space="0" w:color="auto"/>
            </w:tcBorders>
            <w:noWrap/>
            <w:hideMark/>
          </w:tcPr>
          <w:p w14:paraId="0BFBF6EB"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75.67</w:t>
            </w:r>
          </w:p>
        </w:tc>
        <w:tc>
          <w:tcPr>
            <w:tcW w:w="1475" w:type="dxa"/>
            <w:tcBorders>
              <w:top w:val="single" w:sz="4" w:space="0" w:color="auto"/>
              <w:left w:val="single" w:sz="4" w:space="0" w:color="auto"/>
              <w:bottom w:val="single" w:sz="4" w:space="0" w:color="auto"/>
              <w:right w:val="single" w:sz="4" w:space="0" w:color="auto"/>
            </w:tcBorders>
            <w:noWrap/>
            <w:hideMark/>
          </w:tcPr>
          <w:p w14:paraId="5C3C4C71"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74.44</w:t>
            </w:r>
          </w:p>
        </w:tc>
        <w:tc>
          <w:tcPr>
            <w:tcW w:w="1476" w:type="dxa"/>
            <w:tcBorders>
              <w:top w:val="single" w:sz="4" w:space="0" w:color="auto"/>
              <w:left w:val="single" w:sz="4" w:space="0" w:color="auto"/>
              <w:bottom w:val="single" w:sz="4" w:space="0" w:color="auto"/>
              <w:right w:val="single" w:sz="4" w:space="0" w:color="auto"/>
            </w:tcBorders>
            <w:noWrap/>
            <w:hideMark/>
          </w:tcPr>
          <w:p w14:paraId="104D784D" w14:textId="77777777" w:rsidR="000221D2" w:rsidRPr="002A36BE" w:rsidRDefault="000221D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48.83</w:t>
            </w:r>
          </w:p>
        </w:tc>
      </w:tr>
      <w:tr w:rsidR="000221D2" w:rsidRPr="002A36BE" w14:paraId="7947C331" w14:textId="77777777" w:rsidTr="008D04B1">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94" w:type="dxa"/>
            <w:tcBorders>
              <w:top w:val="single" w:sz="4" w:space="0" w:color="auto"/>
              <w:left w:val="single" w:sz="4" w:space="0" w:color="auto"/>
              <w:bottom w:val="single" w:sz="4" w:space="0" w:color="auto"/>
              <w:right w:val="single" w:sz="4" w:space="0" w:color="auto"/>
            </w:tcBorders>
            <w:noWrap/>
            <w:hideMark/>
          </w:tcPr>
          <w:p w14:paraId="116E3993" w14:textId="77777777" w:rsidR="000221D2" w:rsidRPr="002A36BE" w:rsidRDefault="000221D2">
            <w:pPr>
              <w:rPr>
                <w:rFonts w:ascii="Arial" w:eastAsia="Times New Roman" w:hAnsi="Arial" w:cs="Arial"/>
                <w:i w:val="0"/>
                <w:sz w:val="18"/>
                <w:lang w:val="en-ZA" w:eastAsia="en-ZA"/>
              </w:rPr>
            </w:pPr>
            <w:r w:rsidRPr="002A36BE">
              <w:rPr>
                <w:rFonts w:ascii="Arial" w:eastAsia="Times New Roman" w:hAnsi="Arial" w:cs="Arial"/>
                <w:i w:val="0"/>
                <w:sz w:val="18"/>
                <w:lang w:val="en-ZA" w:eastAsia="en-ZA"/>
              </w:rPr>
              <w:t>Execution rate</w:t>
            </w:r>
          </w:p>
        </w:tc>
        <w:tc>
          <w:tcPr>
            <w:tcW w:w="1475" w:type="dxa"/>
            <w:tcBorders>
              <w:top w:val="single" w:sz="4" w:space="0" w:color="auto"/>
              <w:left w:val="single" w:sz="4" w:space="0" w:color="auto"/>
              <w:bottom w:val="single" w:sz="4" w:space="0" w:color="auto"/>
              <w:right w:val="single" w:sz="4" w:space="0" w:color="auto"/>
            </w:tcBorders>
            <w:noWrap/>
            <w:hideMark/>
          </w:tcPr>
          <w:p w14:paraId="4CA37892"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49.8%</w:t>
            </w:r>
          </w:p>
        </w:tc>
        <w:tc>
          <w:tcPr>
            <w:tcW w:w="1476" w:type="dxa"/>
            <w:tcBorders>
              <w:top w:val="single" w:sz="4" w:space="0" w:color="auto"/>
              <w:left w:val="single" w:sz="4" w:space="0" w:color="auto"/>
              <w:bottom w:val="single" w:sz="4" w:space="0" w:color="auto"/>
              <w:right w:val="single" w:sz="4" w:space="0" w:color="auto"/>
            </w:tcBorders>
            <w:noWrap/>
            <w:hideMark/>
          </w:tcPr>
          <w:p w14:paraId="36554D69"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60.2%</w:t>
            </w:r>
          </w:p>
        </w:tc>
        <w:tc>
          <w:tcPr>
            <w:tcW w:w="1475" w:type="dxa"/>
            <w:tcBorders>
              <w:top w:val="single" w:sz="4" w:space="0" w:color="auto"/>
              <w:left w:val="single" w:sz="4" w:space="0" w:color="auto"/>
              <w:bottom w:val="single" w:sz="4" w:space="0" w:color="auto"/>
              <w:right w:val="single" w:sz="4" w:space="0" w:color="auto"/>
            </w:tcBorders>
            <w:noWrap/>
            <w:hideMark/>
          </w:tcPr>
          <w:p w14:paraId="01877CDB"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64.0%</w:t>
            </w:r>
          </w:p>
        </w:tc>
        <w:tc>
          <w:tcPr>
            <w:tcW w:w="1476" w:type="dxa"/>
            <w:tcBorders>
              <w:top w:val="single" w:sz="4" w:space="0" w:color="auto"/>
              <w:left w:val="single" w:sz="4" w:space="0" w:color="auto"/>
              <w:bottom w:val="single" w:sz="4" w:space="0" w:color="auto"/>
              <w:right w:val="single" w:sz="4" w:space="0" w:color="auto"/>
            </w:tcBorders>
            <w:noWrap/>
            <w:hideMark/>
          </w:tcPr>
          <w:p w14:paraId="45CD8A84" w14:textId="77777777" w:rsidR="000221D2" w:rsidRPr="002A36BE" w:rsidRDefault="000221D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val="en-ZA" w:eastAsia="en-ZA"/>
              </w:rPr>
            </w:pPr>
            <w:r w:rsidRPr="002A36BE">
              <w:rPr>
                <w:rFonts w:ascii="Arial" w:eastAsia="Times New Roman" w:hAnsi="Arial" w:cs="Arial"/>
                <w:sz w:val="18"/>
                <w:lang w:val="en-ZA" w:eastAsia="en-ZA"/>
              </w:rPr>
              <w:t>77.7%</w:t>
            </w:r>
          </w:p>
        </w:tc>
      </w:tr>
    </w:tbl>
    <w:p w14:paraId="511820EA" w14:textId="77777777" w:rsidR="000221D2" w:rsidRPr="005A535A" w:rsidRDefault="000221D2" w:rsidP="000221D2">
      <w:pPr>
        <w:pStyle w:val="Default"/>
        <w:rPr>
          <w:rFonts w:ascii="Arial" w:hAnsi="Arial" w:cs="Arial"/>
          <w:color w:val="auto"/>
          <w:sz w:val="22"/>
          <w:szCs w:val="22"/>
          <w:lang w:val="en-US"/>
        </w:rPr>
      </w:pPr>
    </w:p>
    <w:p w14:paraId="25B3A36D" w14:textId="411FFD50" w:rsidR="000221D2" w:rsidRPr="005A535A" w:rsidRDefault="000221D2" w:rsidP="000221D2">
      <w:pPr>
        <w:rPr>
          <w:rFonts w:ascii="Arial" w:hAnsi="Arial" w:cs="Arial"/>
          <w:sz w:val="22"/>
          <w:szCs w:val="22"/>
        </w:rPr>
      </w:pPr>
      <w:r w:rsidRPr="005A535A">
        <w:rPr>
          <w:rFonts w:ascii="Arial" w:hAnsi="Arial" w:cs="Arial"/>
        </w:rPr>
        <w:t>The H</w:t>
      </w:r>
      <w:r w:rsidR="000A1997">
        <w:rPr>
          <w:rFonts w:ascii="Arial" w:hAnsi="Arial" w:cs="Arial"/>
        </w:rPr>
        <w:t>ealth Pol</w:t>
      </w:r>
      <w:r w:rsidR="008D7D4E">
        <w:rPr>
          <w:rFonts w:ascii="Arial" w:hAnsi="Arial" w:cs="Arial"/>
        </w:rPr>
        <w:t>i</w:t>
      </w:r>
      <w:r w:rsidR="000A1997">
        <w:rPr>
          <w:rFonts w:ascii="Arial" w:hAnsi="Arial" w:cs="Arial"/>
        </w:rPr>
        <w:t>cy</w:t>
      </w:r>
      <w:r w:rsidRPr="005A535A">
        <w:rPr>
          <w:rFonts w:ascii="Arial" w:hAnsi="Arial" w:cs="Arial"/>
        </w:rPr>
        <w:t xml:space="preserve"> brief on sustainable financing for HIV reports on research work which analyzes whether financing HIV services through national health insurance schemes is a viable option in Tanzania</w:t>
      </w:r>
      <w:r w:rsidR="001332DF">
        <w:rPr>
          <w:rFonts w:ascii="Arial" w:hAnsi="Arial" w:cs="Arial"/>
        </w:rPr>
        <w:t xml:space="preserve"> (Health Policy Plus 2018)</w:t>
      </w:r>
      <w:r w:rsidRPr="005A535A">
        <w:rPr>
          <w:rFonts w:ascii="Arial" w:hAnsi="Arial" w:cs="Arial"/>
        </w:rPr>
        <w:t xml:space="preserve">. The analysis examined the proportion of people living with HIV that could potentially be enrolled </w:t>
      </w:r>
      <w:r w:rsidR="00D00B15">
        <w:rPr>
          <w:rFonts w:ascii="Arial" w:hAnsi="Arial" w:cs="Arial"/>
        </w:rPr>
        <w:t xml:space="preserve">on ART </w:t>
      </w:r>
      <w:r w:rsidRPr="005A535A">
        <w:rPr>
          <w:rFonts w:ascii="Arial" w:hAnsi="Arial" w:cs="Arial"/>
        </w:rPr>
        <w:t xml:space="preserve">and estimated the incremental costs to the NHIF for select HIV services to assess sustainability. Results show that the National Health Insurance Fund could </w:t>
      </w:r>
      <w:r w:rsidR="00A06CE7">
        <w:rPr>
          <w:rFonts w:ascii="Arial" w:hAnsi="Arial" w:cs="Arial"/>
        </w:rPr>
        <w:t xml:space="preserve">almost immediately </w:t>
      </w:r>
      <w:r w:rsidRPr="005A535A">
        <w:rPr>
          <w:rFonts w:ascii="Arial" w:hAnsi="Arial" w:cs="Arial"/>
        </w:rPr>
        <w:t>absorb US</w:t>
      </w:r>
      <w:r w:rsidR="001332DF">
        <w:rPr>
          <w:rFonts w:ascii="Arial" w:hAnsi="Arial" w:cs="Arial"/>
        </w:rPr>
        <w:t xml:space="preserve">D </w:t>
      </w:r>
      <w:r w:rsidRPr="005A535A">
        <w:rPr>
          <w:rFonts w:ascii="Arial" w:hAnsi="Arial" w:cs="Arial"/>
        </w:rPr>
        <w:t xml:space="preserve">24 million in incremental costs for HIV services, covering 96,000 people living with HIV in year one </w:t>
      </w:r>
      <w:r w:rsidRPr="0027498F">
        <w:rPr>
          <w:rFonts w:ascii="Arial" w:hAnsi="Arial" w:cs="Arial"/>
        </w:rPr>
        <w:t>within the scope of its existing pooled resource</w:t>
      </w:r>
      <w:r w:rsidRPr="005A535A">
        <w:rPr>
          <w:rFonts w:ascii="Arial" w:hAnsi="Arial" w:cs="Arial"/>
        </w:rPr>
        <w:t xml:space="preserve">. This is a significant contribution and would more than meet the additional domestic contribution estimated in </w:t>
      </w:r>
      <w:r w:rsidR="00CF2E58">
        <w:rPr>
          <w:rFonts w:ascii="Arial" w:hAnsi="Arial" w:cs="Arial"/>
        </w:rPr>
        <w:t>the O-DRM scenario a</w:t>
      </w:r>
      <w:r w:rsidR="00D00B15">
        <w:rPr>
          <w:rFonts w:ascii="Arial" w:hAnsi="Arial" w:cs="Arial"/>
        </w:rPr>
        <w:t>b</w:t>
      </w:r>
      <w:r w:rsidR="00CF2E58">
        <w:rPr>
          <w:rFonts w:ascii="Arial" w:hAnsi="Arial" w:cs="Arial"/>
        </w:rPr>
        <w:t>o</w:t>
      </w:r>
      <w:r w:rsidR="00D00B15">
        <w:rPr>
          <w:rFonts w:ascii="Arial" w:hAnsi="Arial" w:cs="Arial"/>
        </w:rPr>
        <w:t>v</w:t>
      </w:r>
      <w:r w:rsidR="00CF2E58">
        <w:rPr>
          <w:rFonts w:ascii="Arial" w:hAnsi="Arial" w:cs="Arial"/>
        </w:rPr>
        <w:t>e</w:t>
      </w:r>
      <w:r w:rsidRPr="005A535A">
        <w:rPr>
          <w:rFonts w:ascii="Arial" w:hAnsi="Arial" w:cs="Arial"/>
        </w:rPr>
        <w:t xml:space="preserve">. As part of a longer-term sustainability strategy, it is important to continue to advocate for the gradual inclusion of HIV in the basic health benefit package.  </w:t>
      </w:r>
    </w:p>
    <w:p w14:paraId="60DBD7F4" w14:textId="6CF8936A" w:rsidR="002E4A0E" w:rsidRDefault="002E4A0E" w:rsidP="005A535A">
      <w:pPr>
        <w:pStyle w:val="Heading3"/>
        <w:rPr>
          <w:rFonts w:ascii="Arial" w:hAnsi="Arial" w:cs="Arial"/>
          <w:i/>
          <w:color w:val="000000" w:themeColor="text1"/>
        </w:rPr>
      </w:pPr>
    </w:p>
    <w:p w14:paraId="173C394E" w14:textId="77777777" w:rsidR="002E4A0E" w:rsidRPr="002E0189" w:rsidRDefault="002E4A0E" w:rsidP="002E0189"/>
    <w:p w14:paraId="1C6D7265" w14:textId="4449DE24" w:rsidR="000221D2" w:rsidRDefault="000221D2" w:rsidP="005A535A">
      <w:pPr>
        <w:pStyle w:val="Heading3"/>
        <w:rPr>
          <w:rFonts w:ascii="Arial" w:hAnsi="Arial" w:cs="Arial"/>
          <w:i/>
          <w:color w:val="000000" w:themeColor="text1"/>
        </w:rPr>
      </w:pPr>
      <w:bookmarkStart w:id="119" w:name="_Toc57035213"/>
      <w:r w:rsidRPr="005A535A">
        <w:rPr>
          <w:rFonts w:ascii="Arial" w:hAnsi="Arial" w:cs="Arial"/>
          <w:i/>
          <w:color w:val="000000" w:themeColor="text1"/>
        </w:rPr>
        <w:t>Community Health Fund</w:t>
      </w:r>
      <w:bookmarkEnd w:id="119"/>
    </w:p>
    <w:p w14:paraId="1221FBC5" w14:textId="77777777" w:rsidR="005A535A" w:rsidRPr="005A535A" w:rsidRDefault="005A535A" w:rsidP="005A535A">
      <w:pPr>
        <w:spacing w:after="0"/>
      </w:pPr>
    </w:p>
    <w:p w14:paraId="54F081B3" w14:textId="47DED7B5" w:rsidR="00D00B15" w:rsidRDefault="00D00B15" w:rsidP="00D00B15">
      <w:pPr>
        <w:spacing w:after="0"/>
        <w:rPr>
          <w:rFonts w:ascii="Arial" w:hAnsi="Arial" w:cs="Arial"/>
        </w:rPr>
      </w:pPr>
      <w:r w:rsidRPr="005A535A">
        <w:rPr>
          <w:rFonts w:ascii="Arial" w:hAnsi="Arial" w:cs="Arial"/>
        </w:rPr>
        <w:t>The Community Health Fund was first introduced as on a pilot basis in 1996 and rolled out to other districts in 1998. The fund currently operates in 155 districts (</w:t>
      </w:r>
      <w:r w:rsidRPr="00D00B15">
        <w:rPr>
          <w:rFonts w:ascii="Arial" w:hAnsi="Arial" w:cs="Arial"/>
        </w:rPr>
        <w:t>Wang</w:t>
      </w:r>
      <w:r w:rsidR="000A1997">
        <w:rPr>
          <w:rFonts w:ascii="Arial" w:hAnsi="Arial" w:cs="Arial"/>
        </w:rPr>
        <w:t xml:space="preserve"> and Rose</w:t>
      </w:r>
      <w:r w:rsidR="00053050">
        <w:rPr>
          <w:rFonts w:ascii="Arial" w:hAnsi="Arial" w:cs="Arial"/>
        </w:rPr>
        <w:t>m</w:t>
      </w:r>
      <w:r w:rsidR="000A1997">
        <w:rPr>
          <w:rFonts w:ascii="Arial" w:hAnsi="Arial" w:cs="Arial"/>
        </w:rPr>
        <w:t>berg</w:t>
      </w:r>
      <w:r w:rsidRPr="00D00B15">
        <w:rPr>
          <w:rFonts w:ascii="Arial" w:hAnsi="Arial" w:cs="Arial"/>
        </w:rPr>
        <w:t xml:space="preserve"> </w:t>
      </w:r>
      <w:r w:rsidR="000A1997">
        <w:rPr>
          <w:rFonts w:ascii="Arial" w:hAnsi="Arial" w:cs="Arial"/>
        </w:rPr>
        <w:t>201</w:t>
      </w:r>
      <w:r w:rsidR="00053050">
        <w:rPr>
          <w:rFonts w:ascii="Arial" w:hAnsi="Arial" w:cs="Arial"/>
        </w:rPr>
        <w:t>8</w:t>
      </w:r>
      <w:r w:rsidRPr="005A535A">
        <w:rPr>
          <w:rFonts w:ascii="Arial" w:hAnsi="Arial" w:cs="Arial"/>
          <w:i/>
        </w:rPr>
        <w:t>).</w:t>
      </w:r>
      <w:r w:rsidRPr="005A535A">
        <w:rPr>
          <w:rFonts w:ascii="Arial" w:hAnsi="Arial" w:cs="Arial"/>
        </w:rPr>
        <w:t xml:space="preserve"> </w:t>
      </w:r>
      <w:r>
        <w:rPr>
          <w:rFonts w:ascii="Arial" w:hAnsi="Arial" w:cs="Arial"/>
        </w:rPr>
        <w:t xml:space="preserve">It was </w:t>
      </w:r>
      <w:r w:rsidRPr="005A535A">
        <w:rPr>
          <w:rFonts w:ascii="Arial" w:hAnsi="Arial" w:cs="Arial"/>
        </w:rPr>
        <w:t>introduced in response to the implementation of fees for services and cost sharing beyond the district hospitals to health centers and dispensaries. It provide</w:t>
      </w:r>
      <w:r>
        <w:rPr>
          <w:rFonts w:ascii="Arial" w:hAnsi="Arial" w:cs="Arial"/>
        </w:rPr>
        <w:t>s</w:t>
      </w:r>
      <w:r w:rsidRPr="005A535A">
        <w:rPr>
          <w:rFonts w:ascii="Arial" w:hAnsi="Arial" w:cs="Arial"/>
        </w:rPr>
        <w:t xml:space="preserve"> an alternative for paying for health services and aim</w:t>
      </w:r>
      <w:r>
        <w:rPr>
          <w:rFonts w:ascii="Arial" w:hAnsi="Arial" w:cs="Arial"/>
        </w:rPr>
        <w:t>s</w:t>
      </w:r>
      <w:r w:rsidRPr="005A535A">
        <w:rPr>
          <w:rFonts w:ascii="Arial" w:hAnsi="Arial" w:cs="Arial"/>
        </w:rPr>
        <w:t xml:space="preserve"> to reduce financial and health risk for the mainly rural and poor populations. In 2001, the CHF Act was established as an official policy to mobilize funds at district and community level. The funds, administered at district level by District Health Boards, are financed through user fees, household prepayments and a 1-to-1 matching grant from government.  As such, the funds are highly dependent on the actual payment by government of the matching grant which in turn is funded substantially from the donor financed Health Basket Fund. </w:t>
      </w:r>
    </w:p>
    <w:p w14:paraId="29ACA631" w14:textId="77777777" w:rsidR="00D00B15" w:rsidRDefault="00D00B15" w:rsidP="00D00B15">
      <w:pPr>
        <w:spacing w:after="0"/>
        <w:rPr>
          <w:rFonts w:ascii="Arial" w:hAnsi="Arial" w:cs="Arial"/>
        </w:rPr>
      </w:pPr>
    </w:p>
    <w:p w14:paraId="5AE9C995" w14:textId="2E3535DD" w:rsidR="00D00B15" w:rsidRPr="005A535A" w:rsidRDefault="00D00B15" w:rsidP="00D00B15">
      <w:pPr>
        <w:spacing w:after="0"/>
        <w:rPr>
          <w:rFonts w:ascii="Arial" w:hAnsi="Arial" w:cs="Arial"/>
        </w:rPr>
      </w:pPr>
      <w:r>
        <w:rPr>
          <w:rFonts w:ascii="Arial" w:hAnsi="Arial" w:cs="Arial"/>
        </w:rPr>
        <w:t xml:space="preserve">Household </w:t>
      </w:r>
      <w:r w:rsidRPr="005A535A">
        <w:rPr>
          <w:rFonts w:ascii="Arial" w:hAnsi="Arial" w:cs="Arial"/>
        </w:rPr>
        <w:t>Contributions to the fund are voluntary and each local authority decides on contribution rates and the benefits package. Significant differences are therefore present when comparing districts with each other; there are no clear guidelines for the implementation of the scheme. The use of funds depends on requests submitted by facilities managers. For most facilities, the use of CHF funds comprises a very small percentage and based on the W</w:t>
      </w:r>
      <w:r w:rsidR="000A1997">
        <w:rPr>
          <w:rFonts w:ascii="Arial" w:hAnsi="Arial" w:cs="Arial"/>
        </w:rPr>
        <w:t>orld Bank</w:t>
      </w:r>
      <w:r w:rsidRPr="005A535A">
        <w:rPr>
          <w:rFonts w:ascii="Arial" w:hAnsi="Arial" w:cs="Arial"/>
        </w:rPr>
        <w:t xml:space="preserve"> study, the average from a sample of facilities was 1.6% of total facility resource requirements. </w:t>
      </w:r>
      <w:r w:rsidRPr="00D00B15">
        <w:rPr>
          <w:rFonts w:ascii="Arial" w:hAnsi="Arial" w:cs="Arial"/>
        </w:rPr>
        <w:t>Although the fund may cover some costs for treating opportunistic infections and related ailments it is unlikely that the fund will evolve in the medium term to cover substantial portions of direct HIV expenditure through own revenue and matching funds.</w:t>
      </w:r>
      <w:r w:rsidRPr="005A535A">
        <w:rPr>
          <w:rFonts w:ascii="Arial" w:hAnsi="Arial" w:cs="Arial"/>
        </w:rPr>
        <w:t xml:space="preserve">    </w:t>
      </w:r>
    </w:p>
    <w:p w14:paraId="427CC9C2" w14:textId="77777777" w:rsidR="000221D2" w:rsidRPr="005A535A" w:rsidRDefault="000221D2" w:rsidP="005A535A">
      <w:pPr>
        <w:pStyle w:val="Default"/>
        <w:rPr>
          <w:rFonts w:ascii="Arial" w:hAnsi="Arial" w:cs="Arial"/>
          <w:i/>
          <w:color w:val="auto"/>
          <w:sz w:val="22"/>
          <w:szCs w:val="22"/>
          <w:lang w:val="en-US"/>
        </w:rPr>
      </w:pPr>
    </w:p>
    <w:p w14:paraId="2DDE555B" w14:textId="77777777" w:rsidR="00D00B15" w:rsidRPr="005A535A" w:rsidRDefault="00D00B15" w:rsidP="00D00B15">
      <w:pPr>
        <w:pStyle w:val="Heading3"/>
        <w:rPr>
          <w:rFonts w:ascii="Arial" w:hAnsi="Arial" w:cs="Arial"/>
          <w:i/>
          <w:color w:val="000000" w:themeColor="text1"/>
        </w:rPr>
      </w:pPr>
      <w:bookmarkStart w:id="120" w:name="_Toc57035214"/>
      <w:r w:rsidRPr="005A535A">
        <w:rPr>
          <w:rFonts w:ascii="Arial" w:hAnsi="Arial" w:cs="Arial"/>
          <w:i/>
          <w:color w:val="000000" w:themeColor="text1"/>
        </w:rPr>
        <w:t>AIDS Trust Fund</w:t>
      </w:r>
      <w:bookmarkEnd w:id="120"/>
    </w:p>
    <w:p w14:paraId="2843EA0B" w14:textId="1F7C6954" w:rsidR="008D7D4E" w:rsidRDefault="008D7D4E" w:rsidP="00D00B15">
      <w:pPr>
        <w:autoSpaceDE w:val="0"/>
        <w:autoSpaceDN w:val="0"/>
        <w:adjustRightInd w:val="0"/>
        <w:spacing w:after="0" w:line="240" w:lineRule="auto"/>
        <w:rPr>
          <w:rFonts w:ascii="Arial" w:hAnsi="Arial" w:cs="Arial"/>
        </w:rPr>
      </w:pPr>
    </w:p>
    <w:p w14:paraId="02E18D1E" w14:textId="55E29BB2" w:rsidR="008D7D4E" w:rsidRPr="005A535A" w:rsidRDefault="008D7D4E" w:rsidP="008D7D4E">
      <w:pPr>
        <w:autoSpaceDE w:val="0"/>
        <w:autoSpaceDN w:val="0"/>
        <w:adjustRightInd w:val="0"/>
        <w:spacing w:after="0" w:line="276" w:lineRule="auto"/>
        <w:rPr>
          <w:rFonts w:ascii="Arial" w:hAnsi="Arial" w:cs="Arial"/>
        </w:rPr>
      </w:pPr>
      <w:r w:rsidRPr="005A535A">
        <w:rPr>
          <w:rFonts w:ascii="Arial" w:hAnsi="Arial" w:cs="Arial"/>
          <w:lang w:val="en-ZA"/>
        </w:rPr>
        <w:t>The AIDS Trust Fund was established by government as an a</w:t>
      </w:r>
      <w:r>
        <w:rPr>
          <w:rFonts w:ascii="Arial" w:hAnsi="Arial" w:cs="Arial"/>
          <w:lang w:val="en-ZA"/>
        </w:rPr>
        <w:t xml:space="preserve">dditional </w:t>
      </w:r>
      <w:r w:rsidRPr="005A535A">
        <w:rPr>
          <w:rFonts w:ascii="Arial" w:hAnsi="Arial" w:cs="Arial"/>
          <w:lang w:val="en-ZA"/>
        </w:rPr>
        <w:t xml:space="preserve">funding mechanism </w:t>
      </w:r>
      <w:r>
        <w:rPr>
          <w:rFonts w:ascii="Arial" w:hAnsi="Arial" w:cs="Arial"/>
          <w:lang w:val="en-ZA"/>
        </w:rPr>
        <w:t xml:space="preserve">to expand resources for HIV from </w:t>
      </w:r>
      <w:r w:rsidRPr="005A535A">
        <w:rPr>
          <w:rFonts w:ascii="Arial" w:hAnsi="Arial" w:cs="Arial"/>
          <w:lang w:val="en-ZA"/>
        </w:rPr>
        <w:t xml:space="preserve">the private sector, </w:t>
      </w:r>
      <w:r>
        <w:rPr>
          <w:rFonts w:ascii="Arial" w:hAnsi="Arial" w:cs="Arial"/>
          <w:lang w:val="en-ZA"/>
        </w:rPr>
        <w:t xml:space="preserve">non-traditional </w:t>
      </w:r>
      <w:r w:rsidRPr="005A535A">
        <w:rPr>
          <w:rFonts w:ascii="Arial" w:hAnsi="Arial" w:cs="Arial"/>
          <w:lang w:val="en-ZA"/>
        </w:rPr>
        <w:t xml:space="preserve">external </w:t>
      </w:r>
      <w:r>
        <w:rPr>
          <w:rFonts w:ascii="Arial" w:hAnsi="Arial" w:cs="Arial"/>
          <w:lang w:val="en-ZA"/>
        </w:rPr>
        <w:t xml:space="preserve">sources, and </w:t>
      </w:r>
      <w:r w:rsidRPr="005A535A">
        <w:rPr>
          <w:rFonts w:ascii="Arial" w:hAnsi="Arial" w:cs="Arial"/>
          <w:lang w:val="en-ZA"/>
        </w:rPr>
        <w:t xml:space="preserve">a range of innovative funding </w:t>
      </w:r>
      <w:r>
        <w:rPr>
          <w:rFonts w:ascii="Arial" w:hAnsi="Arial" w:cs="Arial"/>
          <w:lang w:val="en-ZA"/>
        </w:rPr>
        <w:t>instruments (TACAIDS 2018)</w:t>
      </w:r>
      <w:r w:rsidRPr="005A535A">
        <w:rPr>
          <w:rFonts w:ascii="Arial" w:hAnsi="Arial" w:cs="Arial"/>
          <w:lang w:val="en-ZA"/>
        </w:rPr>
        <w:t xml:space="preserve">. The fund has not been in operation for long, but some questions are </w:t>
      </w:r>
      <w:r>
        <w:rPr>
          <w:rFonts w:ascii="Arial" w:hAnsi="Arial" w:cs="Arial"/>
          <w:lang w:val="en-ZA"/>
        </w:rPr>
        <w:t xml:space="preserve">already </w:t>
      </w:r>
      <w:r w:rsidRPr="005A535A">
        <w:rPr>
          <w:rFonts w:ascii="Arial" w:hAnsi="Arial" w:cs="Arial"/>
          <w:lang w:val="en-ZA"/>
        </w:rPr>
        <w:t xml:space="preserve">being posed about its ability to achieve the ambitious </w:t>
      </w:r>
      <w:r>
        <w:rPr>
          <w:rFonts w:ascii="Arial" w:hAnsi="Arial" w:cs="Arial"/>
          <w:lang w:val="en-ZA"/>
        </w:rPr>
        <w:t xml:space="preserve">resource mobilization </w:t>
      </w:r>
      <w:r w:rsidRPr="005A535A">
        <w:rPr>
          <w:rFonts w:ascii="Arial" w:hAnsi="Arial" w:cs="Arial"/>
          <w:lang w:val="en-ZA"/>
        </w:rPr>
        <w:t>targets set during conception. In its original target setting, the ATF sought to increase the domestic contribution from 3% of total HIV expenditure to 30% by 2018</w:t>
      </w:r>
      <w:r>
        <w:rPr>
          <w:rFonts w:ascii="Arial" w:hAnsi="Arial" w:cs="Arial"/>
          <w:lang w:val="en-ZA"/>
        </w:rPr>
        <w:t xml:space="preserve"> (Tanzania CCM 2017)</w:t>
      </w:r>
      <w:r w:rsidRPr="005A535A">
        <w:rPr>
          <w:rFonts w:ascii="Arial" w:hAnsi="Arial" w:cs="Arial"/>
          <w:lang w:val="en-ZA"/>
        </w:rPr>
        <w:t xml:space="preserve">.  In reality, </w:t>
      </w:r>
      <w:r>
        <w:rPr>
          <w:rFonts w:ascii="Arial" w:hAnsi="Arial" w:cs="Arial"/>
          <w:lang w:val="en-ZA"/>
        </w:rPr>
        <w:t xml:space="preserve">revenues accruing to the AIDS Trust Fund have been </w:t>
      </w:r>
      <w:r w:rsidRPr="005A535A">
        <w:rPr>
          <w:rFonts w:ascii="Arial" w:hAnsi="Arial" w:cs="Arial"/>
          <w:lang w:val="en-ZA"/>
        </w:rPr>
        <w:t>much less</w:t>
      </w:r>
      <w:r>
        <w:rPr>
          <w:rFonts w:ascii="Arial" w:hAnsi="Arial" w:cs="Arial"/>
          <w:lang w:val="en-ZA"/>
        </w:rPr>
        <w:t xml:space="preserve">, with a </w:t>
      </w:r>
      <w:r w:rsidRPr="005A535A">
        <w:rPr>
          <w:rFonts w:ascii="Arial" w:hAnsi="Arial" w:cs="Arial"/>
          <w:lang w:val="en-ZA"/>
        </w:rPr>
        <w:t>pledge f</w:t>
      </w:r>
      <w:r>
        <w:rPr>
          <w:rFonts w:ascii="Arial" w:hAnsi="Arial" w:cs="Arial"/>
          <w:lang w:val="en-ZA"/>
        </w:rPr>
        <w:t>rom</w:t>
      </w:r>
      <w:r w:rsidRPr="005A535A">
        <w:rPr>
          <w:rFonts w:ascii="Arial" w:hAnsi="Arial" w:cs="Arial"/>
          <w:lang w:val="en-ZA"/>
        </w:rPr>
        <w:t xml:space="preserve"> government in 2016/17 </w:t>
      </w:r>
      <w:r>
        <w:rPr>
          <w:rFonts w:ascii="Arial" w:hAnsi="Arial" w:cs="Arial"/>
          <w:lang w:val="en-ZA"/>
        </w:rPr>
        <w:t xml:space="preserve">for USD </w:t>
      </w:r>
      <w:r w:rsidRPr="005A535A">
        <w:rPr>
          <w:rFonts w:ascii="Arial" w:hAnsi="Arial" w:cs="Arial"/>
          <w:lang w:val="en-ZA"/>
        </w:rPr>
        <w:t xml:space="preserve">2.7 </w:t>
      </w:r>
      <w:r>
        <w:rPr>
          <w:rFonts w:ascii="Arial" w:hAnsi="Arial" w:cs="Arial"/>
          <w:lang w:val="en-ZA"/>
        </w:rPr>
        <w:t>M</w:t>
      </w:r>
      <w:r w:rsidRPr="005A535A">
        <w:rPr>
          <w:rFonts w:ascii="Arial" w:hAnsi="Arial" w:cs="Arial"/>
          <w:lang w:val="en-ZA"/>
        </w:rPr>
        <w:t xml:space="preserve"> of which only </w:t>
      </w:r>
      <w:r>
        <w:rPr>
          <w:rFonts w:ascii="Arial" w:hAnsi="Arial" w:cs="Arial"/>
          <w:lang w:val="en-ZA"/>
        </w:rPr>
        <w:t xml:space="preserve">USD </w:t>
      </w:r>
      <w:r w:rsidRPr="005A535A">
        <w:rPr>
          <w:rFonts w:ascii="Arial" w:hAnsi="Arial" w:cs="Arial"/>
          <w:lang w:val="en-ZA"/>
        </w:rPr>
        <w:t xml:space="preserve">470 000 had been disbursed by May 2017. </w:t>
      </w:r>
    </w:p>
    <w:p w14:paraId="1E0DB199" w14:textId="77777777" w:rsidR="00D00B15" w:rsidRPr="005A535A" w:rsidRDefault="00D00B15" w:rsidP="00D00B15">
      <w:pPr>
        <w:autoSpaceDE w:val="0"/>
        <w:autoSpaceDN w:val="0"/>
        <w:adjustRightInd w:val="0"/>
        <w:spacing w:after="0" w:line="240" w:lineRule="auto"/>
        <w:rPr>
          <w:rFonts w:ascii="Arial" w:hAnsi="Arial" w:cs="Arial"/>
        </w:rPr>
      </w:pPr>
    </w:p>
    <w:p w14:paraId="0E62EDC3" w14:textId="7EA68F5C" w:rsidR="00D00B15" w:rsidRDefault="00D00B15" w:rsidP="00D00B15">
      <w:pPr>
        <w:rPr>
          <w:rFonts w:ascii="Arial" w:hAnsi="Arial" w:cs="Arial"/>
        </w:rPr>
      </w:pPr>
      <w:r w:rsidRPr="005A535A">
        <w:rPr>
          <w:rFonts w:ascii="Arial" w:hAnsi="Arial" w:cs="Arial"/>
        </w:rPr>
        <w:t>NMSF IV list</w:t>
      </w:r>
      <w:r w:rsidR="000B0734">
        <w:rPr>
          <w:rFonts w:ascii="Arial" w:hAnsi="Arial" w:cs="Arial"/>
        </w:rPr>
        <w:t>s</w:t>
      </w:r>
      <w:r w:rsidRPr="005A535A">
        <w:rPr>
          <w:rFonts w:ascii="Arial" w:hAnsi="Arial" w:cs="Arial"/>
        </w:rPr>
        <w:t xml:space="preserve"> several possible funding mechanisms which could contribute revenue to the ATF and the HIV response. These include various levies and sin taxes.  However, research indicate</w:t>
      </w:r>
      <w:r>
        <w:rPr>
          <w:rFonts w:ascii="Arial" w:hAnsi="Arial" w:cs="Arial"/>
        </w:rPr>
        <w:t>s</w:t>
      </w:r>
      <w:r w:rsidRPr="005A535A">
        <w:rPr>
          <w:rFonts w:ascii="Arial" w:hAnsi="Arial" w:cs="Arial"/>
        </w:rPr>
        <w:t xml:space="preserve"> that earmarking revenue via sin taxes or </w:t>
      </w:r>
      <w:r>
        <w:rPr>
          <w:rFonts w:ascii="Arial" w:hAnsi="Arial" w:cs="Arial"/>
        </w:rPr>
        <w:t xml:space="preserve">cellphone </w:t>
      </w:r>
      <w:r w:rsidRPr="005A535A">
        <w:rPr>
          <w:rFonts w:ascii="Arial" w:hAnsi="Arial" w:cs="Arial"/>
        </w:rPr>
        <w:t>airtime levies for a narrow expenditure purpose</w:t>
      </w:r>
      <w:r>
        <w:rPr>
          <w:rFonts w:ascii="Arial" w:hAnsi="Arial" w:cs="Arial"/>
        </w:rPr>
        <w:t xml:space="preserve"> like HIV may not generate </w:t>
      </w:r>
      <w:r w:rsidRPr="005A535A">
        <w:rPr>
          <w:rFonts w:ascii="Arial" w:hAnsi="Arial" w:cs="Arial"/>
        </w:rPr>
        <w:t>additive funds and c</w:t>
      </w:r>
      <w:r>
        <w:rPr>
          <w:rFonts w:ascii="Arial" w:hAnsi="Arial" w:cs="Arial"/>
        </w:rPr>
        <w:t xml:space="preserve">ould </w:t>
      </w:r>
      <w:r w:rsidRPr="005A535A">
        <w:rPr>
          <w:rFonts w:ascii="Arial" w:hAnsi="Arial" w:cs="Arial"/>
        </w:rPr>
        <w:t>introduce rigidities into the budget (United Nations Economic Commission for Africa 2015; Results for Development 2017).</w:t>
      </w:r>
    </w:p>
    <w:p w14:paraId="044807A4" w14:textId="77777777" w:rsidR="00D00B15" w:rsidRPr="003E62FC" w:rsidRDefault="00D00B15" w:rsidP="00D00B15">
      <w:pPr>
        <w:rPr>
          <w:rFonts w:ascii="Arial" w:hAnsi="Arial" w:cs="Arial"/>
          <w:i/>
          <w:sz w:val="24"/>
          <w:szCs w:val="24"/>
        </w:rPr>
      </w:pPr>
      <w:r>
        <w:rPr>
          <w:rFonts w:ascii="Arial" w:hAnsi="Arial" w:cs="Arial"/>
          <w:i/>
          <w:sz w:val="24"/>
          <w:szCs w:val="24"/>
        </w:rPr>
        <w:t>Other sources of DRM</w:t>
      </w:r>
    </w:p>
    <w:p w14:paraId="5A59E216" w14:textId="77777777" w:rsidR="00D00B15" w:rsidRPr="005A535A" w:rsidRDefault="00D00B15" w:rsidP="00D00B15">
      <w:pPr>
        <w:rPr>
          <w:rFonts w:ascii="Arial" w:hAnsi="Arial" w:cs="Arial"/>
        </w:rPr>
      </w:pPr>
      <w:r w:rsidRPr="005A535A">
        <w:rPr>
          <w:rFonts w:ascii="Arial" w:hAnsi="Arial" w:cs="Arial"/>
        </w:rPr>
        <w:t xml:space="preserve">Other funding </w:t>
      </w:r>
      <w:r>
        <w:rPr>
          <w:rFonts w:ascii="Arial" w:hAnsi="Arial" w:cs="Arial"/>
        </w:rPr>
        <w:t xml:space="preserve">sources </w:t>
      </w:r>
      <w:r w:rsidRPr="005A535A">
        <w:rPr>
          <w:rFonts w:ascii="Arial" w:hAnsi="Arial" w:cs="Arial"/>
        </w:rPr>
        <w:t xml:space="preserve">proposed by NMSF IV include a variety of mechanisms which </w:t>
      </w:r>
      <w:r>
        <w:rPr>
          <w:rFonts w:ascii="Arial" w:hAnsi="Arial" w:cs="Arial"/>
        </w:rPr>
        <w:t xml:space="preserve">to date have </w:t>
      </w:r>
      <w:r w:rsidRPr="005A535A">
        <w:rPr>
          <w:rFonts w:ascii="Arial" w:hAnsi="Arial" w:cs="Arial"/>
        </w:rPr>
        <w:t>not generated significant revenue for HIV in Tanzania. The</w:t>
      </w:r>
      <w:r>
        <w:rPr>
          <w:rFonts w:ascii="Arial" w:hAnsi="Arial" w:cs="Arial"/>
        </w:rPr>
        <w:t>se</w:t>
      </w:r>
      <w:r w:rsidRPr="005A535A">
        <w:rPr>
          <w:rFonts w:ascii="Arial" w:hAnsi="Arial" w:cs="Arial"/>
        </w:rPr>
        <w:t xml:space="preserve"> include:</w:t>
      </w:r>
    </w:p>
    <w:p w14:paraId="45435915" w14:textId="77777777" w:rsidR="00D00B15" w:rsidRPr="005A535A" w:rsidRDefault="00D00B15" w:rsidP="0058354C">
      <w:pPr>
        <w:pStyle w:val="ListParagraph"/>
        <w:numPr>
          <w:ilvl w:val="0"/>
          <w:numId w:val="28"/>
        </w:numPr>
        <w:spacing w:after="160" w:line="256" w:lineRule="auto"/>
        <w:jc w:val="both"/>
        <w:rPr>
          <w:rFonts w:ascii="Arial" w:hAnsi="Arial" w:cs="Arial"/>
        </w:rPr>
      </w:pPr>
      <w:r w:rsidRPr="005A535A">
        <w:rPr>
          <w:rFonts w:ascii="Arial" w:hAnsi="Arial" w:cs="Arial"/>
        </w:rPr>
        <w:t>Leveraging additional finances through HIV integration and mainstreaming in the public and private sectors with a focus on workplace wellness programs.</w:t>
      </w:r>
    </w:p>
    <w:p w14:paraId="174C90AE" w14:textId="77777777" w:rsidR="008D7D4E" w:rsidRPr="005A535A" w:rsidRDefault="00D00B15" w:rsidP="008D7D4E">
      <w:pPr>
        <w:pStyle w:val="ListParagraph"/>
        <w:numPr>
          <w:ilvl w:val="0"/>
          <w:numId w:val="28"/>
        </w:numPr>
        <w:spacing w:after="160" w:line="256" w:lineRule="auto"/>
        <w:jc w:val="both"/>
        <w:rPr>
          <w:rFonts w:ascii="Arial" w:hAnsi="Arial" w:cs="Arial"/>
        </w:rPr>
      </w:pPr>
      <w:r>
        <w:rPr>
          <w:rFonts w:ascii="Arial" w:hAnsi="Arial" w:cs="Arial"/>
        </w:rPr>
        <w:t xml:space="preserve">Launching </w:t>
      </w:r>
      <w:r w:rsidRPr="005A535A">
        <w:rPr>
          <w:rFonts w:ascii="Arial" w:hAnsi="Arial" w:cs="Arial"/>
        </w:rPr>
        <w:t>social impact bonds (SIB)</w:t>
      </w:r>
      <w:r w:rsidR="00053050">
        <w:rPr>
          <w:rFonts w:ascii="Arial" w:hAnsi="Arial" w:cs="Arial"/>
        </w:rPr>
        <w:t>.</w:t>
      </w:r>
      <w:r>
        <w:rPr>
          <w:rStyle w:val="FootnoteReference"/>
          <w:rFonts w:ascii="Arial" w:hAnsi="Arial" w:cs="Arial"/>
        </w:rPr>
        <w:footnoteReference w:id="4"/>
      </w:r>
      <w:r w:rsidRPr="005A535A">
        <w:rPr>
          <w:rFonts w:ascii="Arial" w:hAnsi="Arial" w:cs="Arial"/>
        </w:rPr>
        <w:t xml:space="preserve"> The establishment and operationalizing </w:t>
      </w:r>
      <w:r>
        <w:rPr>
          <w:rFonts w:ascii="Arial" w:hAnsi="Arial" w:cs="Arial"/>
        </w:rPr>
        <w:t xml:space="preserve">of </w:t>
      </w:r>
      <w:r w:rsidRPr="005A535A">
        <w:rPr>
          <w:rFonts w:ascii="Arial" w:hAnsi="Arial" w:cs="Arial"/>
        </w:rPr>
        <w:t xml:space="preserve">SIBs is </w:t>
      </w:r>
      <w:r>
        <w:rPr>
          <w:rFonts w:ascii="Arial" w:hAnsi="Arial" w:cs="Arial"/>
        </w:rPr>
        <w:t xml:space="preserve">proving </w:t>
      </w:r>
      <w:r w:rsidRPr="005A535A">
        <w:rPr>
          <w:rFonts w:ascii="Arial" w:hAnsi="Arial" w:cs="Arial"/>
        </w:rPr>
        <w:t xml:space="preserve">complex and transaction costs are high. </w:t>
      </w:r>
      <w:r w:rsidR="008D7D4E" w:rsidRPr="005A535A">
        <w:rPr>
          <w:rFonts w:ascii="Arial" w:hAnsi="Arial" w:cs="Arial"/>
        </w:rPr>
        <w:t xml:space="preserve">For these </w:t>
      </w:r>
      <w:r w:rsidR="008D7D4E">
        <w:rPr>
          <w:rFonts w:ascii="Arial" w:hAnsi="Arial" w:cs="Arial"/>
        </w:rPr>
        <w:t xml:space="preserve">reasons, </w:t>
      </w:r>
      <w:r w:rsidR="008D7D4E" w:rsidRPr="005A535A">
        <w:rPr>
          <w:rFonts w:ascii="Arial" w:hAnsi="Arial" w:cs="Arial"/>
        </w:rPr>
        <w:t>few if any SIBs have made a significant contribution to HIV funding</w:t>
      </w:r>
      <w:r w:rsidR="008D7D4E">
        <w:rPr>
          <w:rFonts w:ascii="Arial" w:hAnsi="Arial" w:cs="Arial"/>
        </w:rPr>
        <w:t xml:space="preserve"> in any country around the world to date</w:t>
      </w:r>
      <w:r w:rsidR="008D7D4E" w:rsidRPr="005A535A">
        <w:rPr>
          <w:rFonts w:ascii="Arial" w:hAnsi="Arial" w:cs="Arial"/>
        </w:rPr>
        <w:t xml:space="preserve">.  </w:t>
      </w:r>
    </w:p>
    <w:p w14:paraId="515E5144" w14:textId="79F5E606" w:rsidR="00D00B15" w:rsidRPr="008D7D4E" w:rsidRDefault="008D7D4E" w:rsidP="008D7D4E">
      <w:pPr>
        <w:pStyle w:val="ListParagraph"/>
        <w:numPr>
          <w:ilvl w:val="0"/>
          <w:numId w:val="28"/>
        </w:numPr>
        <w:spacing w:after="160" w:line="256" w:lineRule="auto"/>
        <w:jc w:val="both"/>
        <w:rPr>
          <w:rFonts w:ascii="Arial" w:hAnsi="Arial" w:cs="Arial"/>
        </w:rPr>
      </w:pPr>
      <w:r w:rsidRPr="005A535A">
        <w:rPr>
          <w:rFonts w:ascii="Arial" w:hAnsi="Arial" w:cs="Arial"/>
        </w:rPr>
        <w:t xml:space="preserve">Blended finance and other loan instruments which have long maturity horizons and flexible terms but provide the lender with the comfort of knowing that funds will be used for the HIV response as co-funding for partner program and will be closely monitoring by partner organizations.  </w:t>
      </w:r>
      <w:r>
        <w:rPr>
          <w:rFonts w:ascii="Arial" w:hAnsi="Arial" w:cs="Arial"/>
        </w:rPr>
        <w:t>Countries in Africa are not currently borrowing through these instruments for HIV, and Ministry of Finance has thus far not shown interest in doing so for Tanzania</w:t>
      </w:r>
      <w:r w:rsidR="00D00B15" w:rsidRPr="008D7D4E">
        <w:rPr>
          <w:rFonts w:ascii="Arial" w:hAnsi="Arial" w:cs="Arial"/>
        </w:rPr>
        <w:t xml:space="preserve">.  </w:t>
      </w:r>
    </w:p>
    <w:p w14:paraId="2F81FEE8" w14:textId="17DB05C4" w:rsidR="00696943" w:rsidRPr="00B61AA0" w:rsidRDefault="00696943" w:rsidP="00B61AA0">
      <w:pPr>
        <w:pStyle w:val="Default"/>
        <w:jc w:val="both"/>
        <w:rPr>
          <w:rFonts w:ascii="Arial" w:hAnsi="Arial" w:cs="Arial"/>
          <w:color w:val="auto"/>
          <w:sz w:val="22"/>
          <w:szCs w:val="22"/>
          <w:lang w:val="en-US"/>
        </w:rPr>
      </w:pPr>
      <w:r w:rsidRPr="005A535A">
        <w:rPr>
          <w:rFonts w:ascii="Arial" w:hAnsi="Arial" w:cs="Arial"/>
        </w:rPr>
        <w:br w:type="page"/>
      </w:r>
    </w:p>
    <w:p w14:paraId="4FA39FBF" w14:textId="4327FC7A" w:rsidR="006B711A" w:rsidRPr="006B711A" w:rsidRDefault="006B711A" w:rsidP="006B711A">
      <w:pPr>
        <w:pStyle w:val="Heading1"/>
        <w:rPr>
          <w:rFonts w:ascii="Arial" w:hAnsi="Arial" w:cs="Arial"/>
          <w:b/>
          <w:color w:val="C00000"/>
        </w:rPr>
      </w:pPr>
      <w:bookmarkStart w:id="121" w:name="_Toc57035215"/>
      <w:r w:rsidRPr="006B711A">
        <w:rPr>
          <w:rFonts w:ascii="Arial" w:hAnsi="Arial" w:cs="Arial"/>
          <w:b/>
          <w:color w:val="C00000"/>
        </w:rPr>
        <w:t>C</w:t>
      </w:r>
      <w:r w:rsidR="007D0D94">
        <w:rPr>
          <w:rFonts w:ascii="Arial" w:hAnsi="Arial" w:cs="Arial"/>
          <w:b/>
          <w:color w:val="C00000"/>
        </w:rPr>
        <w:t>HAPTER</w:t>
      </w:r>
      <w:r w:rsidRPr="006B711A">
        <w:rPr>
          <w:rFonts w:ascii="Arial" w:hAnsi="Arial" w:cs="Arial"/>
          <w:b/>
          <w:color w:val="C00000"/>
        </w:rPr>
        <w:t xml:space="preserve"> </w:t>
      </w:r>
      <w:r w:rsidR="007E2E13">
        <w:rPr>
          <w:rFonts w:ascii="Arial" w:hAnsi="Arial" w:cs="Arial"/>
          <w:b/>
          <w:color w:val="C00000"/>
        </w:rPr>
        <w:t>8</w:t>
      </w:r>
      <w:r w:rsidRPr="006B711A">
        <w:rPr>
          <w:rFonts w:ascii="Arial" w:hAnsi="Arial" w:cs="Arial"/>
          <w:b/>
          <w:color w:val="C00000"/>
        </w:rPr>
        <w:t xml:space="preserve">. </w:t>
      </w:r>
      <w:r w:rsidR="00B415DF">
        <w:rPr>
          <w:rFonts w:ascii="Arial" w:hAnsi="Arial" w:cs="Arial"/>
          <w:b/>
          <w:color w:val="C00000"/>
        </w:rPr>
        <w:t>SCALING UP</w:t>
      </w:r>
      <w:r w:rsidR="00864D0C">
        <w:rPr>
          <w:rFonts w:ascii="Arial" w:hAnsi="Arial" w:cs="Arial"/>
          <w:b/>
          <w:color w:val="C00000"/>
        </w:rPr>
        <w:t xml:space="preserve"> </w:t>
      </w:r>
      <w:r w:rsidR="00B415DF">
        <w:rPr>
          <w:rFonts w:ascii="Arial" w:hAnsi="Arial" w:cs="Arial"/>
          <w:b/>
          <w:color w:val="C00000"/>
        </w:rPr>
        <w:t xml:space="preserve">THE </w:t>
      </w:r>
      <w:r w:rsidR="00864D0C">
        <w:rPr>
          <w:rFonts w:ascii="Arial" w:hAnsi="Arial" w:cs="Arial"/>
          <w:b/>
          <w:color w:val="C00000"/>
        </w:rPr>
        <w:t>AGYW</w:t>
      </w:r>
      <w:r w:rsidR="00B415DF">
        <w:rPr>
          <w:rFonts w:ascii="Arial" w:hAnsi="Arial" w:cs="Arial"/>
          <w:b/>
          <w:color w:val="C00000"/>
        </w:rPr>
        <w:t xml:space="preserve"> PACKAGE OF </w:t>
      </w:r>
      <w:r w:rsidR="00A7659D">
        <w:rPr>
          <w:rFonts w:ascii="Arial" w:hAnsi="Arial" w:cs="Arial"/>
          <w:b/>
          <w:color w:val="C00000"/>
        </w:rPr>
        <w:t xml:space="preserve">PREVENTION </w:t>
      </w:r>
      <w:r w:rsidR="00B415DF">
        <w:rPr>
          <w:rFonts w:ascii="Arial" w:hAnsi="Arial" w:cs="Arial"/>
          <w:b/>
          <w:color w:val="C00000"/>
        </w:rPr>
        <w:t>INTERVENTIONS</w:t>
      </w:r>
      <w:bookmarkEnd w:id="121"/>
    </w:p>
    <w:p w14:paraId="533439F1" w14:textId="77777777" w:rsidR="006B711A" w:rsidRPr="006B711A" w:rsidRDefault="006B711A" w:rsidP="006B711A">
      <w:pPr>
        <w:spacing w:after="0" w:line="256" w:lineRule="auto"/>
        <w:rPr>
          <w:rFonts w:ascii="Arial" w:hAnsi="Arial" w:cs="Arial"/>
        </w:rPr>
      </w:pPr>
    </w:p>
    <w:p w14:paraId="4BB778EB" w14:textId="05D594CB" w:rsidR="00864D0C" w:rsidRDefault="00864D0C" w:rsidP="002A36BE">
      <w:pPr>
        <w:spacing w:after="0" w:line="256" w:lineRule="auto"/>
        <w:rPr>
          <w:rFonts w:ascii="Arial" w:hAnsi="Arial" w:cs="Arial"/>
        </w:rPr>
      </w:pPr>
      <w:r>
        <w:rPr>
          <w:rFonts w:ascii="Arial" w:hAnsi="Arial" w:cs="Arial"/>
        </w:rPr>
        <w:t>Two</w:t>
      </w:r>
      <w:r w:rsidR="00B415DF">
        <w:rPr>
          <w:rFonts w:ascii="Arial" w:hAnsi="Arial" w:cs="Arial"/>
        </w:rPr>
        <w:t xml:space="preserve"> of the most concerning </w:t>
      </w:r>
      <w:r w:rsidR="002A36BE">
        <w:rPr>
          <w:rFonts w:ascii="Arial" w:hAnsi="Arial" w:cs="Arial"/>
        </w:rPr>
        <w:t>program challenges</w:t>
      </w:r>
      <w:r>
        <w:rPr>
          <w:rFonts w:ascii="Arial" w:hAnsi="Arial" w:cs="Arial"/>
        </w:rPr>
        <w:t xml:space="preserve"> for </w:t>
      </w:r>
      <w:r w:rsidR="002A36BE">
        <w:rPr>
          <w:rFonts w:ascii="Arial" w:hAnsi="Arial" w:cs="Arial"/>
        </w:rPr>
        <w:t>Tanzania’s HIV response are r</w:t>
      </w:r>
      <w:r w:rsidR="00B415DF">
        <w:rPr>
          <w:rFonts w:ascii="Arial" w:hAnsi="Arial" w:cs="Arial"/>
        </w:rPr>
        <w:t>ising</w:t>
      </w:r>
      <w:r w:rsidR="002A36BE">
        <w:rPr>
          <w:rFonts w:ascii="Arial" w:hAnsi="Arial" w:cs="Arial"/>
        </w:rPr>
        <w:t xml:space="preserve"> new infections among AGYW and </w:t>
      </w:r>
      <w:r w:rsidR="00B415DF">
        <w:rPr>
          <w:rFonts w:ascii="Arial" w:hAnsi="Arial" w:cs="Arial"/>
        </w:rPr>
        <w:t>poor</w:t>
      </w:r>
      <w:r w:rsidR="002A36BE">
        <w:rPr>
          <w:rFonts w:ascii="Arial" w:hAnsi="Arial" w:cs="Arial"/>
        </w:rPr>
        <w:t xml:space="preserve"> testing coverage. </w:t>
      </w:r>
      <w:r w:rsidR="00B415DF">
        <w:rPr>
          <w:rFonts w:ascii="Arial" w:hAnsi="Arial" w:cs="Arial"/>
        </w:rPr>
        <w:t>In the Optimization exercises, a</w:t>
      </w:r>
      <w:r>
        <w:rPr>
          <w:rFonts w:ascii="Arial" w:hAnsi="Arial" w:cs="Arial"/>
        </w:rPr>
        <w:t xml:space="preserve"> more efficient, targeted testing strategy </w:t>
      </w:r>
      <w:r w:rsidR="00B415DF">
        <w:rPr>
          <w:rFonts w:ascii="Arial" w:hAnsi="Arial" w:cs="Arial"/>
        </w:rPr>
        <w:t>that would meet the 90% of</w:t>
      </w:r>
      <w:r>
        <w:rPr>
          <w:rFonts w:ascii="Arial" w:hAnsi="Arial" w:cs="Arial"/>
        </w:rPr>
        <w:t xml:space="preserve"> PLHIV who are aware of their status</w:t>
      </w:r>
      <w:r w:rsidR="00B415DF">
        <w:rPr>
          <w:rFonts w:ascii="Arial" w:hAnsi="Arial" w:cs="Arial"/>
        </w:rPr>
        <w:t xml:space="preserve"> target</w:t>
      </w:r>
      <w:r>
        <w:rPr>
          <w:rFonts w:ascii="Arial" w:hAnsi="Arial" w:cs="Arial"/>
        </w:rPr>
        <w:t xml:space="preserve"> was </w:t>
      </w:r>
      <w:r w:rsidR="00B415DF">
        <w:rPr>
          <w:rFonts w:ascii="Arial" w:hAnsi="Arial" w:cs="Arial"/>
        </w:rPr>
        <w:t>identified that would</w:t>
      </w:r>
      <w:r>
        <w:rPr>
          <w:rFonts w:ascii="Arial" w:hAnsi="Arial" w:cs="Arial"/>
        </w:rPr>
        <w:t xml:space="preserve"> cost</w:t>
      </w:r>
      <w:r w:rsidR="00B415DF">
        <w:rPr>
          <w:rFonts w:ascii="Arial" w:hAnsi="Arial" w:cs="Arial"/>
        </w:rPr>
        <w:t xml:space="preserve"> even</w:t>
      </w:r>
      <w:r>
        <w:rPr>
          <w:rFonts w:ascii="Arial" w:hAnsi="Arial" w:cs="Arial"/>
        </w:rPr>
        <w:t xml:space="preserve"> slightly less than the current testing </w:t>
      </w:r>
      <w:r w:rsidR="00B415DF">
        <w:rPr>
          <w:rFonts w:ascii="Arial" w:hAnsi="Arial" w:cs="Arial"/>
        </w:rPr>
        <w:t>approach</w:t>
      </w:r>
      <w:r>
        <w:rPr>
          <w:rFonts w:ascii="Arial" w:hAnsi="Arial" w:cs="Arial"/>
        </w:rPr>
        <w:t xml:space="preserve">. This more efficient testing strategy was assumed to be readily scalable, even in the current uncertain financing context since no additional investments would be needed beyond currently available resource levels </w:t>
      </w:r>
      <w:r w:rsidR="00B415DF">
        <w:rPr>
          <w:rFonts w:ascii="Arial" w:hAnsi="Arial" w:cs="Arial"/>
        </w:rPr>
        <w:t>and it would even save resources that could be reallocated to other interventions.</w:t>
      </w:r>
      <w:r>
        <w:rPr>
          <w:rFonts w:ascii="Arial" w:hAnsi="Arial" w:cs="Arial"/>
        </w:rPr>
        <w:t xml:space="preserve"> </w:t>
      </w:r>
    </w:p>
    <w:p w14:paraId="540048CE" w14:textId="29F5E732" w:rsidR="00B415DF" w:rsidRDefault="00B415DF" w:rsidP="002A36BE">
      <w:pPr>
        <w:spacing w:after="0" w:line="256" w:lineRule="auto"/>
        <w:rPr>
          <w:rFonts w:ascii="Arial" w:hAnsi="Arial" w:cs="Arial"/>
        </w:rPr>
      </w:pPr>
    </w:p>
    <w:p w14:paraId="4AC2AA31" w14:textId="0EEB2C3E" w:rsidR="00B415DF" w:rsidRDefault="00B415DF" w:rsidP="00B415DF">
      <w:pPr>
        <w:spacing w:after="0" w:line="256" w:lineRule="auto"/>
        <w:rPr>
          <w:rFonts w:ascii="Arial" w:hAnsi="Arial" w:cs="Arial"/>
        </w:rPr>
      </w:pPr>
      <w:r>
        <w:rPr>
          <w:rFonts w:ascii="Arial" w:hAnsi="Arial" w:cs="Arial"/>
        </w:rPr>
        <w:t>However, in a resource-constrained environment, the pure pursuit of efficiency may result in some key challenges not being prioritized, such as scaling up an AGYW package of interventions. With the pressure of maintaining ART, and the large budget required to</w:t>
      </w:r>
      <w:r w:rsidR="00A7659D">
        <w:rPr>
          <w:rFonts w:ascii="Arial" w:hAnsi="Arial" w:cs="Arial"/>
        </w:rPr>
        <w:t xml:space="preserve"> do this, and then the</w:t>
      </w:r>
      <w:r>
        <w:rPr>
          <w:rFonts w:ascii="Arial" w:hAnsi="Arial" w:cs="Arial"/>
        </w:rPr>
        <w:t xml:space="preserve"> competing high cost-effectiveness of well-established HIV biomedical interventions like condoms and VMMC,</w:t>
      </w:r>
      <w:r w:rsidR="00A7659D">
        <w:rPr>
          <w:rFonts w:ascii="Arial" w:hAnsi="Arial" w:cs="Arial"/>
        </w:rPr>
        <w:t xml:space="preserve"> new</w:t>
      </w:r>
      <w:r>
        <w:rPr>
          <w:rFonts w:ascii="Arial" w:hAnsi="Arial" w:cs="Arial"/>
        </w:rPr>
        <w:t xml:space="preserve"> investments that are not shown to save money, like the testing strategy, may require consideration of factors outside the pure optimization lens.</w:t>
      </w:r>
    </w:p>
    <w:p w14:paraId="2908089F" w14:textId="77777777" w:rsidR="00B415DF" w:rsidRDefault="00B415DF" w:rsidP="00B415DF">
      <w:pPr>
        <w:spacing w:after="0" w:line="256" w:lineRule="auto"/>
        <w:rPr>
          <w:rFonts w:ascii="Arial" w:hAnsi="Arial" w:cs="Arial"/>
        </w:rPr>
      </w:pPr>
    </w:p>
    <w:p w14:paraId="59B33344" w14:textId="147A7A22" w:rsidR="00B415DF" w:rsidRDefault="00A7659D" w:rsidP="002A36BE">
      <w:pPr>
        <w:spacing w:after="0" w:line="256" w:lineRule="auto"/>
        <w:rPr>
          <w:rFonts w:ascii="Arial" w:hAnsi="Arial" w:cs="Arial"/>
        </w:rPr>
      </w:pPr>
      <w:r>
        <w:rPr>
          <w:rFonts w:ascii="Arial" w:hAnsi="Arial" w:cs="Arial"/>
        </w:rPr>
        <w:t>For instance, f</w:t>
      </w:r>
      <w:r w:rsidR="00B415DF">
        <w:rPr>
          <w:rFonts w:ascii="Arial" w:hAnsi="Arial" w:cs="Arial"/>
        </w:rPr>
        <w:t xml:space="preserve">rom an equity and sustainability perspective, investing in AGYW is critical to the HIV response in Tanzania.  AGYW are disproportionately vulnerable to new infections and given the multifactorial nature of the factors driving high incidence among AGYW, expensive structural interventions may be needed to substantially alter their risk profile. To ultimately achieve epidemic control, AGYW cannot be left behind. </w:t>
      </w:r>
    </w:p>
    <w:p w14:paraId="0B0CE16F" w14:textId="77777777" w:rsidR="00864D0C" w:rsidRDefault="00864D0C" w:rsidP="002A36BE">
      <w:pPr>
        <w:spacing w:after="0" w:line="256" w:lineRule="auto"/>
        <w:rPr>
          <w:rFonts w:ascii="Arial" w:hAnsi="Arial" w:cs="Arial"/>
        </w:rPr>
      </w:pPr>
    </w:p>
    <w:p w14:paraId="24C96C96" w14:textId="3C026D80" w:rsidR="002A36BE" w:rsidRDefault="00864D0C" w:rsidP="002A36BE">
      <w:pPr>
        <w:spacing w:after="0" w:line="256" w:lineRule="auto"/>
        <w:rPr>
          <w:rFonts w:ascii="Arial" w:hAnsi="Arial" w:cs="Arial"/>
        </w:rPr>
      </w:pPr>
      <w:r>
        <w:rPr>
          <w:rFonts w:ascii="Arial" w:hAnsi="Arial" w:cs="Arial"/>
        </w:rPr>
        <w:t xml:space="preserve"> </w:t>
      </w:r>
      <w:r w:rsidR="002A36BE">
        <w:rPr>
          <w:rFonts w:ascii="Arial" w:hAnsi="Arial" w:cs="Arial"/>
        </w:rPr>
        <w:t xml:space="preserve">In this penultimate chapter, we present the results of </w:t>
      </w:r>
      <w:r>
        <w:rPr>
          <w:rFonts w:ascii="Arial" w:hAnsi="Arial" w:cs="Arial"/>
        </w:rPr>
        <w:t xml:space="preserve">a </w:t>
      </w:r>
      <w:r w:rsidR="002A36BE">
        <w:rPr>
          <w:rFonts w:ascii="Arial" w:hAnsi="Arial" w:cs="Arial"/>
        </w:rPr>
        <w:t>modeling sub-analyses that aim</w:t>
      </w:r>
      <w:r w:rsidR="00B415DF">
        <w:rPr>
          <w:rFonts w:ascii="Arial" w:hAnsi="Arial" w:cs="Arial"/>
        </w:rPr>
        <w:t>s</w:t>
      </w:r>
      <w:r w:rsidR="002A36BE">
        <w:rPr>
          <w:rFonts w:ascii="Arial" w:hAnsi="Arial" w:cs="Arial"/>
        </w:rPr>
        <w:t xml:space="preserve"> to look at the contributions that </w:t>
      </w:r>
      <w:r w:rsidR="00B415DF">
        <w:rPr>
          <w:rFonts w:ascii="Arial" w:hAnsi="Arial" w:cs="Arial"/>
        </w:rPr>
        <w:t>scaling up an AGYW package of interventions</w:t>
      </w:r>
      <w:r w:rsidR="002A36BE">
        <w:rPr>
          <w:rFonts w:ascii="Arial" w:hAnsi="Arial" w:cs="Arial"/>
        </w:rPr>
        <w:t xml:space="preserve"> might make to Tanzania’s HIV program</w:t>
      </w:r>
      <w:r w:rsidR="00B415DF">
        <w:rPr>
          <w:rFonts w:ascii="Arial" w:hAnsi="Arial" w:cs="Arial"/>
        </w:rPr>
        <w:t xml:space="preserve"> and also possible solutions to financing it in a resource-constrained environment. </w:t>
      </w:r>
    </w:p>
    <w:p w14:paraId="10F55E59" w14:textId="77777777" w:rsidR="00534FF7" w:rsidRPr="00534FF7" w:rsidRDefault="00534FF7" w:rsidP="00534FF7">
      <w:pPr>
        <w:rPr>
          <w:rStyle w:val="Heading2Char"/>
          <w:rFonts w:ascii="Arial" w:eastAsiaTheme="minorEastAsia" w:hAnsi="Arial" w:cs="Arial"/>
          <w:i/>
          <w:color w:val="000000" w:themeColor="text1"/>
          <w:sz w:val="20"/>
          <w:szCs w:val="20"/>
        </w:rPr>
      </w:pPr>
    </w:p>
    <w:p w14:paraId="3731ABE2" w14:textId="507B564C" w:rsidR="009E699B" w:rsidRPr="00A7659D" w:rsidRDefault="0043047C" w:rsidP="00A7659D">
      <w:pPr>
        <w:pStyle w:val="Heading2"/>
        <w:rPr>
          <w:rStyle w:val="Heading2Char"/>
          <w:rFonts w:ascii="Arial" w:hAnsi="Arial" w:cs="Arial"/>
          <w:b/>
          <w:bCs/>
          <w:color w:val="000000" w:themeColor="text1"/>
        </w:rPr>
      </w:pPr>
      <w:bookmarkStart w:id="122" w:name="_Toc57035216"/>
      <w:r w:rsidRPr="00A7659D">
        <w:rPr>
          <w:rStyle w:val="Heading2Char"/>
          <w:rFonts w:ascii="Arial" w:hAnsi="Arial" w:cs="Arial"/>
          <w:b/>
          <w:bCs/>
          <w:color w:val="000000" w:themeColor="text1"/>
        </w:rPr>
        <w:t>High incidence among AGYW</w:t>
      </w:r>
      <w:bookmarkEnd w:id="122"/>
    </w:p>
    <w:p w14:paraId="3E118F70" w14:textId="77777777" w:rsidR="009E699B" w:rsidRPr="009E699B" w:rsidRDefault="009E699B" w:rsidP="0074450A">
      <w:pPr>
        <w:spacing w:after="0"/>
      </w:pPr>
    </w:p>
    <w:p w14:paraId="64426E3C" w14:textId="26AA7EBF" w:rsidR="00945F3C" w:rsidRDefault="009E699B" w:rsidP="0074450A">
      <w:pPr>
        <w:spacing w:after="0" w:line="256" w:lineRule="auto"/>
        <w:rPr>
          <w:rFonts w:ascii="Arial" w:hAnsi="Arial" w:cs="Arial"/>
        </w:rPr>
      </w:pPr>
      <w:r w:rsidRPr="004C41D2">
        <w:rPr>
          <w:rFonts w:ascii="Arial" w:hAnsi="Arial" w:cs="Arial"/>
        </w:rPr>
        <w:t>Adolescent girls and young women (AGYW) continue to face a disproportionate burden of HIV. Nationwide, incidence among AGYW is about 0.3%</w:t>
      </w:r>
      <w:r>
        <w:rPr>
          <w:rFonts w:ascii="Arial" w:hAnsi="Arial" w:cs="Arial"/>
        </w:rPr>
        <w:t xml:space="preserve"> but varies significantly across councils as shown in </w:t>
      </w:r>
      <w:r w:rsidRPr="00585A95">
        <w:rPr>
          <w:rFonts w:ascii="Arial" w:hAnsi="Arial" w:cs="Arial"/>
          <w:i/>
        </w:rPr>
        <w:t>Figure 8-1</w:t>
      </w:r>
      <w:r>
        <w:rPr>
          <w:rFonts w:ascii="Arial" w:hAnsi="Arial" w:cs="Arial"/>
        </w:rPr>
        <w:t>.</w:t>
      </w:r>
    </w:p>
    <w:p w14:paraId="04490BED" w14:textId="015B4005" w:rsidR="0043047C" w:rsidRDefault="0043047C" w:rsidP="009E699B">
      <w:pPr>
        <w:spacing w:after="0" w:line="256" w:lineRule="auto"/>
        <w:rPr>
          <w:rFonts w:ascii="Arial" w:hAnsi="Arial" w:cs="Arial"/>
        </w:rPr>
      </w:pPr>
    </w:p>
    <w:p w14:paraId="041BE3CE" w14:textId="7F1E90D3" w:rsidR="0043047C" w:rsidRDefault="0043047C" w:rsidP="009E699B">
      <w:pPr>
        <w:spacing w:after="0" w:line="256" w:lineRule="auto"/>
        <w:rPr>
          <w:rFonts w:ascii="Arial" w:hAnsi="Arial" w:cs="Arial"/>
        </w:rPr>
      </w:pPr>
      <w:r>
        <w:rPr>
          <w:rFonts w:ascii="Arial" w:hAnsi="Arial" w:cs="Arial"/>
        </w:rPr>
        <w:t xml:space="preserve">Since </w:t>
      </w:r>
      <w:r w:rsidRPr="00925A18">
        <w:rPr>
          <w:rFonts w:ascii="Arial" w:hAnsi="Arial" w:cs="Arial"/>
        </w:rPr>
        <w:t xml:space="preserve">2010, there </w:t>
      </w:r>
      <w:r>
        <w:rPr>
          <w:rFonts w:ascii="Arial" w:hAnsi="Arial" w:cs="Arial"/>
        </w:rPr>
        <w:t>has been</w:t>
      </w:r>
      <w:r w:rsidRPr="00925A18">
        <w:rPr>
          <w:rFonts w:ascii="Arial" w:hAnsi="Arial" w:cs="Arial"/>
        </w:rPr>
        <w:t xml:space="preserve"> a </w:t>
      </w:r>
      <w:r>
        <w:rPr>
          <w:rFonts w:ascii="Arial" w:hAnsi="Arial" w:cs="Arial"/>
        </w:rPr>
        <w:t>9</w:t>
      </w:r>
      <w:r w:rsidRPr="00925A18">
        <w:rPr>
          <w:rFonts w:ascii="Arial" w:hAnsi="Arial" w:cs="Arial"/>
        </w:rPr>
        <w:t xml:space="preserve">% increase in infections among adolescents </w:t>
      </w:r>
      <w:r>
        <w:rPr>
          <w:rFonts w:ascii="Arial" w:hAnsi="Arial" w:cs="Arial"/>
        </w:rPr>
        <w:t xml:space="preserve">15-19 years </w:t>
      </w:r>
      <w:r w:rsidRPr="00925A18">
        <w:rPr>
          <w:rFonts w:ascii="Arial" w:hAnsi="Arial" w:cs="Arial"/>
        </w:rPr>
        <w:t>and an alarming 56% increase among young adults</w:t>
      </w:r>
      <w:r>
        <w:rPr>
          <w:rFonts w:ascii="Arial" w:hAnsi="Arial" w:cs="Arial"/>
        </w:rPr>
        <w:t xml:space="preserve"> 20-24 years</w:t>
      </w:r>
      <w:r w:rsidRPr="00925A18">
        <w:rPr>
          <w:rFonts w:ascii="Arial" w:hAnsi="Arial" w:cs="Arial"/>
        </w:rPr>
        <w:t xml:space="preserve"> (UN</w:t>
      </w:r>
      <w:r>
        <w:rPr>
          <w:rFonts w:ascii="Arial" w:hAnsi="Arial" w:cs="Arial"/>
        </w:rPr>
        <w:t>I</w:t>
      </w:r>
      <w:r w:rsidRPr="00925A18">
        <w:rPr>
          <w:rFonts w:ascii="Arial" w:hAnsi="Arial" w:cs="Arial"/>
        </w:rPr>
        <w:t>CEF 2018). In 2016, 40% of all new HIV infections were in young people, mostly among females</w:t>
      </w:r>
      <w:r w:rsidR="00F00D41">
        <w:rPr>
          <w:rFonts w:ascii="Arial" w:hAnsi="Arial" w:cs="Arial"/>
        </w:rPr>
        <w:t xml:space="preserve"> (</w:t>
      </w:r>
      <w:r w:rsidRPr="00925A18">
        <w:rPr>
          <w:rFonts w:ascii="Arial" w:hAnsi="Arial" w:cs="Arial"/>
        </w:rPr>
        <w:t>UNICEF 2018)</w:t>
      </w:r>
      <w:r>
        <w:rPr>
          <w:rFonts w:ascii="Arial" w:hAnsi="Arial" w:cs="Arial"/>
        </w:rPr>
        <w:t>.</w:t>
      </w:r>
      <w:r w:rsidR="00F00D41">
        <w:rPr>
          <w:rFonts w:ascii="Arial" w:hAnsi="Arial" w:cs="Arial"/>
        </w:rPr>
        <w:t xml:space="preserve"> </w:t>
      </w:r>
      <w:r>
        <w:rPr>
          <w:rFonts w:ascii="Arial" w:hAnsi="Arial" w:cs="Arial"/>
        </w:rPr>
        <w:t>Th</w:t>
      </w:r>
      <w:r w:rsidR="00F00D41">
        <w:rPr>
          <w:rFonts w:ascii="Arial" w:hAnsi="Arial" w:cs="Arial"/>
        </w:rPr>
        <w:t>is</w:t>
      </w:r>
      <w:r>
        <w:rPr>
          <w:rFonts w:ascii="Arial" w:hAnsi="Arial" w:cs="Arial"/>
        </w:rPr>
        <w:t xml:space="preserve"> increase in new infections among this adolescents and young adults, particularly AGYW, is due to a complex web of largely social and economic factors, including cultural norms, poor education, low self-esteem, limited economic self-reliance, and gender-based violence (COP 2018).</w:t>
      </w:r>
    </w:p>
    <w:p w14:paraId="15E13109" w14:textId="7B22D878" w:rsidR="009E699B" w:rsidRDefault="009E699B" w:rsidP="009E699B">
      <w:pPr>
        <w:spacing w:after="0" w:line="256" w:lineRule="auto"/>
        <w:rPr>
          <w:rFonts w:ascii="Arial" w:hAnsi="Arial" w:cs="Arial"/>
        </w:rPr>
      </w:pPr>
    </w:p>
    <w:p w14:paraId="4D2334B7" w14:textId="5AAA3FE6" w:rsidR="002E4A0E" w:rsidRDefault="002E4A0E" w:rsidP="009E699B">
      <w:pPr>
        <w:spacing w:after="0" w:line="256" w:lineRule="auto"/>
        <w:rPr>
          <w:rFonts w:ascii="Arial" w:hAnsi="Arial" w:cs="Arial"/>
          <w:i/>
          <w:sz w:val="18"/>
        </w:rPr>
      </w:pPr>
    </w:p>
    <w:p w14:paraId="50623837" w14:textId="631371C4" w:rsidR="002E4A0E" w:rsidRDefault="002E4A0E" w:rsidP="009E699B">
      <w:pPr>
        <w:spacing w:after="0" w:line="256" w:lineRule="auto"/>
        <w:rPr>
          <w:rFonts w:ascii="Arial" w:hAnsi="Arial" w:cs="Arial"/>
          <w:i/>
          <w:sz w:val="18"/>
        </w:rPr>
      </w:pPr>
    </w:p>
    <w:p w14:paraId="7C005998" w14:textId="347A23EA" w:rsidR="002E4A0E" w:rsidRDefault="002E4A0E" w:rsidP="009E699B">
      <w:pPr>
        <w:spacing w:after="0" w:line="256" w:lineRule="auto"/>
        <w:rPr>
          <w:rFonts w:ascii="Arial" w:hAnsi="Arial" w:cs="Arial"/>
          <w:i/>
          <w:sz w:val="18"/>
        </w:rPr>
      </w:pPr>
    </w:p>
    <w:p w14:paraId="4CC0A00C" w14:textId="14C8D69C" w:rsidR="002E4A0E" w:rsidRDefault="002E4A0E" w:rsidP="009E699B">
      <w:pPr>
        <w:spacing w:after="0" w:line="256" w:lineRule="auto"/>
        <w:rPr>
          <w:rFonts w:ascii="Arial" w:hAnsi="Arial" w:cs="Arial"/>
          <w:i/>
          <w:sz w:val="18"/>
        </w:rPr>
      </w:pPr>
    </w:p>
    <w:p w14:paraId="77DDE7E0" w14:textId="171567FA" w:rsidR="002E4A0E" w:rsidRDefault="002E4A0E" w:rsidP="009E699B">
      <w:pPr>
        <w:spacing w:after="0" w:line="256" w:lineRule="auto"/>
        <w:rPr>
          <w:rFonts w:ascii="Arial" w:hAnsi="Arial" w:cs="Arial"/>
          <w:i/>
          <w:sz w:val="18"/>
        </w:rPr>
      </w:pPr>
    </w:p>
    <w:p w14:paraId="2B428F01" w14:textId="3374E125" w:rsidR="002E4A0E" w:rsidRDefault="002E4A0E" w:rsidP="009E699B">
      <w:pPr>
        <w:spacing w:after="0" w:line="256" w:lineRule="auto"/>
        <w:rPr>
          <w:rFonts w:ascii="Arial" w:hAnsi="Arial" w:cs="Arial"/>
          <w:i/>
          <w:sz w:val="18"/>
        </w:rPr>
      </w:pPr>
    </w:p>
    <w:p w14:paraId="25EE22BB" w14:textId="3BB7350D" w:rsidR="002E4A0E" w:rsidRDefault="002E4A0E" w:rsidP="009E699B">
      <w:pPr>
        <w:spacing w:after="0" w:line="256" w:lineRule="auto"/>
        <w:rPr>
          <w:rFonts w:ascii="Arial" w:hAnsi="Arial" w:cs="Arial"/>
          <w:i/>
          <w:sz w:val="18"/>
        </w:rPr>
      </w:pPr>
    </w:p>
    <w:p w14:paraId="7E7B1ABF" w14:textId="53BE0839" w:rsidR="002E4A0E" w:rsidRDefault="002E4A0E" w:rsidP="009E699B">
      <w:pPr>
        <w:spacing w:after="0" w:line="256" w:lineRule="auto"/>
        <w:rPr>
          <w:rFonts w:ascii="Arial" w:hAnsi="Arial" w:cs="Arial"/>
          <w:i/>
          <w:sz w:val="18"/>
        </w:rPr>
      </w:pPr>
    </w:p>
    <w:p w14:paraId="3C4E4FD8" w14:textId="2359E2D8" w:rsidR="002E4A0E" w:rsidRDefault="002E4A0E" w:rsidP="009E699B">
      <w:pPr>
        <w:spacing w:after="0" w:line="256" w:lineRule="auto"/>
        <w:rPr>
          <w:rFonts w:ascii="Arial" w:hAnsi="Arial" w:cs="Arial"/>
          <w:i/>
          <w:sz w:val="18"/>
        </w:rPr>
      </w:pPr>
    </w:p>
    <w:p w14:paraId="4A6035FC" w14:textId="77777777" w:rsidR="002E4A0E" w:rsidRDefault="002E4A0E" w:rsidP="009E699B">
      <w:pPr>
        <w:spacing w:after="0" w:line="256" w:lineRule="auto"/>
        <w:rPr>
          <w:rFonts w:ascii="Arial" w:hAnsi="Arial" w:cs="Arial"/>
          <w:i/>
          <w:sz w:val="18"/>
        </w:rPr>
      </w:pPr>
    </w:p>
    <w:p w14:paraId="63AAFEB1" w14:textId="77777777" w:rsidR="00CC2044" w:rsidRDefault="00CC2044" w:rsidP="009E699B">
      <w:pPr>
        <w:spacing w:after="0" w:line="256" w:lineRule="auto"/>
        <w:rPr>
          <w:rFonts w:ascii="Arial" w:hAnsi="Arial" w:cs="Arial"/>
          <w:i/>
          <w:sz w:val="18"/>
        </w:rPr>
      </w:pPr>
    </w:p>
    <w:p w14:paraId="02D76843" w14:textId="3ABC44DF" w:rsidR="009E699B" w:rsidRPr="009E699B" w:rsidRDefault="009E699B" w:rsidP="009E699B">
      <w:pPr>
        <w:spacing w:after="0" w:line="256" w:lineRule="auto"/>
        <w:rPr>
          <w:rFonts w:ascii="Arial" w:hAnsi="Arial" w:cs="Arial"/>
          <w:i/>
          <w:sz w:val="18"/>
        </w:rPr>
      </w:pPr>
      <w:r w:rsidRPr="009E699B">
        <w:rPr>
          <w:rFonts w:ascii="Arial" w:hAnsi="Arial" w:cs="Arial"/>
          <w:i/>
          <w:sz w:val="18"/>
        </w:rPr>
        <w:t>Figure 8-1. Distribution of HIV incidence among AGYW across Tanzanian councils</w:t>
      </w:r>
    </w:p>
    <w:p w14:paraId="2894F4F3" w14:textId="7585CCD7" w:rsidR="009E699B" w:rsidRDefault="009E699B" w:rsidP="009E699B">
      <w:pPr>
        <w:spacing w:after="0" w:line="256" w:lineRule="auto"/>
        <w:rPr>
          <w:rFonts w:ascii="Arial" w:hAnsi="Arial" w:cs="Arial"/>
        </w:rPr>
      </w:pPr>
    </w:p>
    <w:p w14:paraId="291047A6" w14:textId="70996260" w:rsidR="009E699B" w:rsidRDefault="009E699B" w:rsidP="009E699B">
      <w:pPr>
        <w:spacing w:after="0" w:line="256" w:lineRule="auto"/>
        <w:rPr>
          <w:rFonts w:ascii="Arial" w:hAnsi="Arial" w:cs="Arial"/>
        </w:rPr>
      </w:pPr>
      <w:r w:rsidRPr="004C41D2">
        <w:rPr>
          <w:rFonts w:ascii="Arial" w:hAnsi="Arial" w:cs="Arial"/>
          <w:noProof/>
        </w:rPr>
        <w:drawing>
          <wp:inline distT="0" distB="0" distL="0" distR="0" wp14:anchorId="475FEA1F" wp14:editId="34A139C2">
            <wp:extent cx="5478780" cy="2103120"/>
            <wp:effectExtent l="0" t="0" r="7620" b="11430"/>
            <wp:docPr id="111" name="Chart 111">
              <a:extLst xmlns:a="http://schemas.openxmlformats.org/drawingml/2006/main">
                <a:ext uri="{FF2B5EF4-FFF2-40B4-BE49-F238E27FC236}">
                  <a16:creationId xmlns:a16="http://schemas.microsoft.com/office/drawing/2014/main" id="{CCB06146-BC51-450B-A763-F7420E2BB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8EE653" w14:textId="2D592F46" w:rsidR="0043047C" w:rsidRDefault="0043047C" w:rsidP="0043047C">
      <w:pPr>
        <w:spacing w:after="0" w:line="256" w:lineRule="auto"/>
        <w:rPr>
          <w:rFonts w:ascii="Arial" w:hAnsi="Arial" w:cs="Arial"/>
        </w:rPr>
      </w:pPr>
    </w:p>
    <w:p w14:paraId="2CF9988C" w14:textId="2993B0FF" w:rsidR="00945F3C" w:rsidRPr="00A7659D" w:rsidRDefault="0043047C" w:rsidP="00A7659D">
      <w:pPr>
        <w:pStyle w:val="Heading2"/>
        <w:rPr>
          <w:rStyle w:val="Heading2Char"/>
          <w:rFonts w:ascii="Arial" w:hAnsi="Arial" w:cs="Arial"/>
          <w:b/>
          <w:bCs/>
          <w:iCs/>
          <w:color w:val="000000" w:themeColor="text1"/>
        </w:rPr>
      </w:pPr>
      <w:bookmarkStart w:id="123" w:name="_Toc57035217"/>
      <w:r w:rsidRPr="00A7659D">
        <w:rPr>
          <w:rStyle w:val="Heading2Char"/>
          <w:rFonts w:ascii="Arial" w:hAnsi="Arial" w:cs="Arial"/>
          <w:b/>
          <w:bCs/>
          <w:iCs/>
          <w:color w:val="000000" w:themeColor="text1"/>
        </w:rPr>
        <w:t>Comprehensive prevention approach to reducing incidence among AGYW</w:t>
      </w:r>
      <w:bookmarkEnd w:id="123"/>
    </w:p>
    <w:p w14:paraId="71C7325C" w14:textId="5CB640B1" w:rsidR="00945F3C" w:rsidRDefault="00945F3C" w:rsidP="00444084">
      <w:pPr>
        <w:spacing w:after="0"/>
      </w:pPr>
    </w:p>
    <w:p w14:paraId="6862DD79" w14:textId="4508488C" w:rsidR="0043047C" w:rsidRDefault="0043047C" w:rsidP="0043047C">
      <w:pPr>
        <w:spacing w:after="0" w:line="256" w:lineRule="auto"/>
        <w:rPr>
          <w:rFonts w:ascii="Arial" w:hAnsi="Arial" w:cs="Arial"/>
        </w:rPr>
      </w:pPr>
      <w:r w:rsidRPr="004C41D2">
        <w:rPr>
          <w:rFonts w:ascii="Arial" w:hAnsi="Arial" w:cs="Arial"/>
        </w:rPr>
        <w:t>To reduce new infections among AGYW, a comprehensive package of</w:t>
      </w:r>
      <w:r w:rsidR="00B31831">
        <w:rPr>
          <w:rFonts w:ascii="Arial" w:hAnsi="Arial" w:cs="Arial"/>
        </w:rPr>
        <w:t xml:space="preserve"> structural, behavioral, and biomedical</w:t>
      </w:r>
      <w:r w:rsidRPr="004C41D2">
        <w:rPr>
          <w:rFonts w:ascii="Arial" w:hAnsi="Arial" w:cs="Arial"/>
        </w:rPr>
        <w:t xml:space="preserve"> interventions </w:t>
      </w:r>
      <w:r w:rsidR="00F00D41">
        <w:rPr>
          <w:rFonts w:ascii="Arial" w:hAnsi="Arial" w:cs="Arial"/>
        </w:rPr>
        <w:t>is</w:t>
      </w:r>
      <w:r w:rsidRPr="004C41D2">
        <w:rPr>
          <w:rFonts w:ascii="Arial" w:hAnsi="Arial" w:cs="Arial"/>
        </w:rPr>
        <w:t xml:space="preserve"> required</w:t>
      </w:r>
      <w:r w:rsidR="00F00D41">
        <w:rPr>
          <w:rFonts w:ascii="Arial" w:hAnsi="Arial" w:cs="Arial"/>
        </w:rPr>
        <w:t>. Some of the interventions that have been shown effective to reducing HIV risk among AGYW include c</w:t>
      </w:r>
      <w:r w:rsidRPr="004C41D2">
        <w:rPr>
          <w:rFonts w:ascii="Arial" w:hAnsi="Arial" w:cs="Arial"/>
        </w:rPr>
        <w:t>ondoms, VMMC</w:t>
      </w:r>
      <w:r>
        <w:rPr>
          <w:rFonts w:ascii="Arial" w:hAnsi="Arial" w:cs="Arial"/>
        </w:rPr>
        <w:t xml:space="preserve"> for ABYM</w:t>
      </w:r>
      <w:r w:rsidRPr="004C41D2">
        <w:rPr>
          <w:rFonts w:ascii="Arial" w:hAnsi="Arial" w:cs="Arial"/>
        </w:rPr>
        <w:t xml:space="preserve">, </w:t>
      </w:r>
      <w:r>
        <w:rPr>
          <w:rFonts w:ascii="Arial" w:hAnsi="Arial" w:cs="Arial"/>
        </w:rPr>
        <w:t xml:space="preserve">education, </w:t>
      </w:r>
      <w:r w:rsidR="00815489">
        <w:rPr>
          <w:rFonts w:ascii="Arial" w:hAnsi="Arial" w:cs="Arial"/>
        </w:rPr>
        <w:t xml:space="preserve">cash transfers, and </w:t>
      </w:r>
      <w:r w:rsidRPr="004C41D2">
        <w:rPr>
          <w:rFonts w:ascii="Arial" w:hAnsi="Arial" w:cs="Arial"/>
        </w:rPr>
        <w:t>ART</w:t>
      </w:r>
      <w:r w:rsidR="00F00D41">
        <w:rPr>
          <w:rFonts w:ascii="Arial" w:hAnsi="Arial" w:cs="Arial"/>
        </w:rPr>
        <w:t xml:space="preserve"> (Saul et al 2018)</w:t>
      </w:r>
      <w:r w:rsidRPr="004C41D2">
        <w:rPr>
          <w:rFonts w:ascii="Arial" w:hAnsi="Arial" w:cs="Arial"/>
        </w:rPr>
        <w:t xml:space="preserve">. </w:t>
      </w:r>
    </w:p>
    <w:p w14:paraId="00F10A23" w14:textId="3A1E838F" w:rsidR="00761EDA" w:rsidRDefault="00761EDA" w:rsidP="0043047C">
      <w:pPr>
        <w:spacing w:after="0" w:line="256" w:lineRule="auto"/>
        <w:rPr>
          <w:rFonts w:ascii="Arial" w:hAnsi="Arial" w:cs="Arial"/>
        </w:rPr>
      </w:pPr>
    </w:p>
    <w:p w14:paraId="56DC9C3E" w14:textId="1D236C98" w:rsidR="0043047C" w:rsidRDefault="005C0BFE" w:rsidP="0027110B">
      <w:pPr>
        <w:spacing w:after="0" w:line="256" w:lineRule="auto"/>
        <w:rPr>
          <w:rFonts w:ascii="Arial" w:hAnsi="Arial" w:cs="Arial"/>
        </w:rPr>
      </w:pPr>
      <w:r>
        <w:rPr>
          <w:rFonts w:ascii="Arial" w:hAnsi="Arial" w:cs="Arial"/>
        </w:rPr>
        <w:t>These interventions have both</w:t>
      </w:r>
      <w:r w:rsidR="00761EDA">
        <w:rPr>
          <w:rFonts w:ascii="Arial" w:hAnsi="Arial" w:cs="Arial"/>
        </w:rPr>
        <w:t xml:space="preserve"> </w:t>
      </w:r>
      <w:r>
        <w:rPr>
          <w:rFonts w:ascii="Arial" w:hAnsi="Arial" w:cs="Arial"/>
        </w:rPr>
        <w:t>direct HIV impacts</w:t>
      </w:r>
      <w:r w:rsidR="00761EDA">
        <w:rPr>
          <w:rFonts w:ascii="Arial" w:hAnsi="Arial" w:cs="Arial"/>
        </w:rPr>
        <w:t xml:space="preserve"> (biomedical) and</w:t>
      </w:r>
      <w:r>
        <w:rPr>
          <w:rFonts w:ascii="Arial" w:hAnsi="Arial" w:cs="Arial"/>
        </w:rPr>
        <w:t xml:space="preserve"> also</w:t>
      </w:r>
      <w:r w:rsidR="00761EDA">
        <w:rPr>
          <w:rFonts w:ascii="Arial" w:hAnsi="Arial" w:cs="Arial"/>
        </w:rPr>
        <w:t xml:space="preserve"> </w:t>
      </w:r>
      <w:r w:rsidR="0027110B">
        <w:rPr>
          <w:rFonts w:ascii="Arial" w:hAnsi="Arial" w:cs="Arial"/>
        </w:rPr>
        <w:t>indirect</w:t>
      </w:r>
      <w:r w:rsidR="00761EDA">
        <w:rPr>
          <w:rFonts w:ascii="Arial" w:hAnsi="Arial" w:cs="Arial"/>
        </w:rPr>
        <w:t xml:space="preserve"> (non-HIV, but improving the enabling environment) impact</w:t>
      </w:r>
      <w:r>
        <w:rPr>
          <w:rFonts w:ascii="Arial" w:hAnsi="Arial" w:cs="Arial"/>
        </w:rPr>
        <w:t xml:space="preserve">s. These relationships are </w:t>
      </w:r>
      <w:r w:rsidR="0074450A">
        <w:rPr>
          <w:rFonts w:ascii="Arial" w:hAnsi="Arial" w:cs="Arial"/>
        </w:rPr>
        <w:t>of these interventions</w:t>
      </w:r>
      <w:r w:rsidR="00761EDA">
        <w:rPr>
          <w:rFonts w:ascii="Arial" w:hAnsi="Arial" w:cs="Arial"/>
        </w:rPr>
        <w:t xml:space="preserve"> summarized below:</w:t>
      </w:r>
    </w:p>
    <w:p w14:paraId="7309D291" w14:textId="77777777" w:rsidR="005C0BFE" w:rsidRDefault="005C0BFE" w:rsidP="0027110B">
      <w:pPr>
        <w:spacing w:after="0" w:line="256" w:lineRule="auto"/>
        <w:rPr>
          <w:rFonts w:ascii="Arial" w:hAnsi="Arial" w:cs="Arial"/>
        </w:rPr>
      </w:pPr>
    </w:p>
    <w:p w14:paraId="5B76481B" w14:textId="63B9283F" w:rsidR="005C0BFE" w:rsidRPr="00650F2B" w:rsidRDefault="005C0BFE" w:rsidP="0027110B">
      <w:pPr>
        <w:spacing w:after="0" w:line="256" w:lineRule="auto"/>
        <w:rPr>
          <w:rFonts w:ascii="Arial" w:hAnsi="Arial" w:cs="Arial"/>
          <w:i/>
          <w:sz w:val="18"/>
        </w:rPr>
      </w:pPr>
      <w:r w:rsidRPr="005C0BFE">
        <w:rPr>
          <w:rFonts w:ascii="Arial" w:hAnsi="Arial" w:cs="Arial"/>
          <w:i/>
          <w:sz w:val="18"/>
        </w:rPr>
        <w:t>Figure 8-2.</w:t>
      </w:r>
      <w:r w:rsidRPr="005C0BFE">
        <w:rPr>
          <w:rFonts w:ascii="Arial" w:hAnsi="Arial" w:cs="Arial"/>
          <w:sz w:val="18"/>
        </w:rPr>
        <w:t xml:space="preserve"> </w:t>
      </w:r>
      <w:r w:rsidR="0027110B" w:rsidRPr="005C0BFE">
        <w:rPr>
          <w:rFonts w:ascii="Arial" w:hAnsi="Arial" w:cs="Arial"/>
          <w:i/>
          <w:sz w:val="16"/>
        </w:rPr>
        <w:t xml:space="preserve"> </w:t>
      </w:r>
      <w:r w:rsidR="0027110B" w:rsidRPr="00650F2B">
        <w:rPr>
          <w:rFonts w:ascii="Arial" w:hAnsi="Arial" w:cs="Arial"/>
          <w:i/>
          <w:sz w:val="18"/>
        </w:rPr>
        <w:t>Summary of direct and non-direct HIV impacts of AGYW interventions</w:t>
      </w:r>
    </w:p>
    <w:tbl>
      <w:tblPr>
        <w:tblStyle w:val="TableGrid"/>
        <w:tblW w:w="9944" w:type="dxa"/>
        <w:tblLook w:val="04A0" w:firstRow="1" w:lastRow="0" w:firstColumn="1" w:lastColumn="0" w:noHBand="0" w:noVBand="1"/>
      </w:tblPr>
      <w:tblGrid>
        <w:gridCol w:w="2617"/>
        <w:gridCol w:w="3165"/>
        <w:gridCol w:w="4162"/>
      </w:tblGrid>
      <w:tr w:rsidR="00650F2B" w:rsidRPr="00650F2B" w14:paraId="2E921E6F" w14:textId="77777777" w:rsidTr="00444084">
        <w:trPr>
          <w:trHeight w:val="146"/>
        </w:trPr>
        <w:tc>
          <w:tcPr>
            <w:tcW w:w="2617" w:type="dxa"/>
            <w:shd w:val="clear" w:color="auto" w:fill="C00000"/>
          </w:tcPr>
          <w:p w14:paraId="04F3FF52" w14:textId="68F146FA" w:rsidR="00650F2B" w:rsidRPr="00650F2B" w:rsidRDefault="00650F2B" w:rsidP="00945F3C">
            <w:pPr>
              <w:rPr>
                <w:rFonts w:ascii="Arial" w:hAnsi="Arial" w:cs="Arial"/>
                <w:sz w:val="18"/>
              </w:rPr>
            </w:pPr>
            <w:r>
              <w:rPr>
                <w:rFonts w:ascii="Arial" w:hAnsi="Arial" w:cs="Arial"/>
                <w:sz w:val="18"/>
              </w:rPr>
              <w:t>AGYW intervention</w:t>
            </w:r>
          </w:p>
        </w:tc>
        <w:tc>
          <w:tcPr>
            <w:tcW w:w="3165" w:type="dxa"/>
            <w:shd w:val="clear" w:color="auto" w:fill="C00000"/>
          </w:tcPr>
          <w:p w14:paraId="1F96994C" w14:textId="1CBEC71D" w:rsidR="00650F2B" w:rsidRPr="00650F2B" w:rsidRDefault="00650F2B" w:rsidP="00945F3C">
            <w:pPr>
              <w:rPr>
                <w:rFonts w:ascii="Arial" w:hAnsi="Arial" w:cs="Arial"/>
                <w:b/>
                <w:sz w:val="18"/>
              </w:rPr>
            </w:pPr>
            <w:r w:rsidRPr="00650F2B">
              <w:rPr>
                <w:rFonts w:ascii="Arial" w:hAnsi="Arial" w:cs="Arial"/>
                <w:b/>
                <w:sz w:val="18"/>
              </w:rPr>
              <w:t>Direct HIV impacts</w:t>
            </w:r>
          </w:p>
        </w:tc>
        <w:tc>
          <w:tcPr>
            <w:tcW w:w="4162" w:type="dxa"/>
            <w:shd w:val="clear" w:color="auto" w:fill="C00000"/>
          </w:tcPr>
          <w:p w14:paraId="6F83CE66" w14:textId="175F14AA" w:rsidR="00650F2B" w:rsidRPr="00650F2B" w:rsidRDefault="00650F2B" w:rsidP="00945F3C">
            <w:pPr>
              <w:rPr>
                <w:rFonts w:ascii="Arial" w:hAnsi="Arial" w:cs="Arial"/>
                <w:b/>
                <w:sz w:val="18"/>
              </w:rPr>
            </w:pPr>
            <w:r w:rsidRPr="00650F2B">
              <w:rPr>
                <w:rFonts w:ascii="Arial" w:hAnsi="Arial" w:cs="Arial"/>
                <w:b/>
                <w:sz w:val="18"/>
              </w:rPr>
              <w:t>Indirect HIV impacts</w:t>
            </w:r>
          </w:p>
        </w:tc>
      </w:tr>
      <w:tr w:rsidR="00650F2B" w:rsidRPr="00650F2B" w14:paraId="608A2085" w14:textId="77777777" w:rsidTr="00444084">
        <w:trPr>
          <w:trHeight w:val="450"/>
        </w:trPr>
        <w:tc>
          <w:tcPr>
            <w:tcW w:w="2617" w:type="dxa"/>
          </w:tcPr>
          <w:p w14:paraId="36A65A12" w14:textId="6DAE73DA" w:rsidR="00650F2B" w:rsidRPr="00650F2B" w:rsidRDefault="00650F2B" w:rsidP="00945F3C">
            <w:pPr>
              <w:rPr>
                <w:rFonts w:ascii="Arial" w:hAnsi="Arial" w:cs="Arial"/>
                <w:b/>
                <w:sz w:val="18"/>
              </w:rPr>
            </w:pPr>
            <w:r w:rsidRPr="00650F2B">
              <w:rPr>
                <w:rFonts w:ascii="Arial" w:hAnsi="Arial" w:cs="Arial"/>
                <w:b/>
                <w:sz w:val="18"/>
              </w:rPr>
              <w:t>Condoms</w:t>
            </w:r>
          </w:p>
        </w:tc>
        <w:tc>
          <w:tcPr>
            <w:tcW w:w="3165" w:type="dxa"/>
          </w:tcPr>
          <w:p w14:paraId="26DA44E6" w14:textId="5FE92FA7" w:rsidR="00650F2B" w:rsidRPr="00650F2B" w:rsidRDefault="00650F2B" w:rsidP="00945F3C">
            <w:pPr>
              <w:rPr>
                <w:rFonts w:ascii="Arial" w:hAnsi="Arial" w:cs="Arial"/>
                <w:sz w:val="18"/>
              </w:rPr>
            </w:pPr>
            <w:r w:rsidRPr="00650F2B">
              <w:rPr>
                <w:rFonts w:ascii="Arial" w:hAnsi="Arial" w:cs="Arial"/>
                <w:sz w:val="18"/>
              </w:rPr>
              <w:t>Prevents HIV transmission between AGYW and partners</w:t>
            </w:r>
          </w:p>
        </w:tc>
        <w:tc>
          <w:tcPr>
            <w:tcW w:w="4162" w:type="dxa"/>
          </w:tcPr>
          <w:p w14:paraId="1E91F5A9" w14:textId="77777777" w:rsidR="00650F2B" w:rsidRPr="00650F2B" w:rsidRDefault="00650F2B" w:rsidP="00945F3C">
            <w:pPr>
              <w:rPr>
                <w:rFonts w:ascii="Arial" w:hAnsi="Arial" w:cs="Arial"/>
                <w:sz w:val="18"/>
              </w:rPr>
            </w:pPr>
          </w:p>
        </w:tc>
      </w:tr>
      <w:tr w:rsidR="00650F2B" w:rsidRPr="00650F2B" w14:paraId="52443D3B" w14:textId="77777777" w:rsidTr="00444084">
        <w:trPr>
          <w:trHeight w:val="442"/>
        </w:trPr>
        <w:tc>
          <w:tcPr>
            <w:tcW w:w="2617" w:type="dxa"/>
          </w:tcPr>
          <w:p w14:paraId="2E0E7D23" w14:textId="581E0634" w:rsidR="00650F2B" w:rsidRPr="00650F2B" w:rsidRDefault="00650F2B" w:rsidP="00945F3C">
            <w:pPr>
              <w:rPr>
                <w:rFonts w:ascii="Arial" w:hAnsi="Arial" w:cs="Arial"/>
                <w:b/>
                <w:sz w:val="18"/>
              </w:rPr>
            </w:pPr>
            <w:r w:rsidRPr="00650F2B">
              <w:rPr>
                <w:rFonts w:ascii="Arial" w:hAnsi="Arial" w:cs="Arial"/>
                <w:b/>
                <w:sz w:val="18"/>
              </w:rPr>
              <w:t>VMMC</w:t>
            </w:r>
          </w:p>
        </w:tc>
        <w:tc>
          <w:tcPr>
            <w:tcW w:w="3165" w:type="dxa"/>
          </w:tcPr>
          <w:p w14:paraId="7CE373FD" w14:textId="1E13D217" w:rsidR="00650F2B" w:rsidRPr="00650F2B" w:rsidRDefault="00650F2B" w:rsidP="00945F3C">
            <w:pPr>
              <w:rPr>
                <w:rFonts w:ascii="Arial" w:hAnsi="Arial" w:cs="Arial"/>
                <w:sz w:val="18"/>
              </w:rPr>
            </w:pPr>
            <w:r w:rsidRPr="00650F2B">
              <w:rPr>
                <w:rFonts w:ascii="Arial" w:hAnsi="Arial" w:cs="Arial"/>
                <w:sz w:val="18"/>
              </w:rPr>
              <w:t>Reduces risk of HIV in sexual partners of AGYW</w:t>
            </w:r>
          </w:p>
        </w:tc>
        <w:tc>
          <w:tcPr>
            <w:tcW w:w="4162" w:type="dxa"/>
          </w:tcPr>
          <w:p w14:paraId="3CE5ADAB" w14:textId="77777777" w:rsidR="00650F2B" w:rsidRPr="00650F2B" w:rsidRDefault="00650F2B" w:rsidP="00945F3C">
            <w:pPr>
              <w:rPr>
                <w:rFonts w:ascii="Arial" w:hAnsi="Arial" w:cs="Arial"/>
                <w:sz w:val="18"/>
              </w:rPr>
            </w:pPr>
          </w:p>
        </w:tc>
      </w:tr>
      <w:tr w:rsidR="00650F2B" w:rsidRPr="00650F2B" w14:paraId="2F090A87" w14:textId="77777777" w:rsidTr="00444084">
        <w:trPr>
          <w:trHeight w:val="728"/>
        </w:trPr>
        <w:tc>
          <w:tcPr>
            <w:tcW w:w="2617" w:type="dxa"/>
          </w:tcPr>
          <w:p w14:paraId="1EEDDE8C" w14:textId="3BC11756" w:rsidR="00650F2B" w:rsidRPr="00650F2B" w:rsidRDefault="00650F2B" w:rsidP="00945F3C">
            <w:pPr>
              <w:rPr>
                <w:rFonts w:ascii="Arial" w:hAnsi="Arial" w:cs="Arial"/>
                <w:b/>
                <w:sz w:val="18"/>
              </w:rPr>
            </w:pPr>
            <w:r w:rsidRPr="00650F2B">
              <w:rPr>
                <w:rFonts w:ascii="Arial" w:hAnsi="Arial" w:cs="Arial"/>
                <w:b/>
                <w:sz w:val="18"/>
              </w:rPr>
              <w:t xml:space="preserve">Comprehensive </w:t>
            </w:r>
            <w:r w:rsidR="002A36BE">
              <w:rPr>
                <w:rFonts w:ascii="Arial" w:hAnsi="Arial" w:cs="Arial"/>
                <w:b/>
                <w:sz w:val="18"/>
              </w:rPr>
              <w:t>s</w:t>
            </w:r>
            <w:r w:rsidRPr="00650F2B">
              <w:rPr>
                <w:rFonts w:ascii="Arial" w:hAnsi="Arial" w:cs="Arial"/>
                <w:b/>
                <w:sz w:val="18"/>
              </w:rPr>
              <w:t>exuality education</w:t>
            </w:r>
          </w:p>
        </w:tc>
        <w:tc>
          <w:tcPr>
            <w:tcW w:w="3165" w:type="dxa"/>
          </w:tcPr>
          <w:p w14:paraId="267F59BB" w14:textId="45EAEFFA" w:rsidR="00650F2B" w:rsidRPr="00650F2B" w:rsidRDefault="00650F2B" w:rsidP="00945F3C">
            <w:pPr>
              <w:rPr>
                <w:rFonts w:ascii="Arial" w:hAnsi="Arial" w:cs="Arial"/>
                <w:sz w:val="18"/>
              </w:rPr>
            </w:pPr>
          </w:p>
        </w:tc>
        <w:tc>
          <w:tcPr>
            <w:tcW w:w="4162" w:type="dxa"/>
          </w:tcPr>
          <w:p w14:paraId="7EA22F99" w14:textId="23FA961B" w:rsidR="00650F2B" w:rsidRPr="00650F2B" w:rsidRDefault="00650F2B" w:rsidP="00945F3C">
            <w:pPr>
              <w:rPr>
                <w:rFonts w:ascii="Arial" w:hAnsi="Arial" w:cs="Arial"/>
                <w:sz w:val="18"/>
              </w:rPr>
            </w:pPr>
            <w:r w:rsidRPr="00650F2B">
              <w:rPr>
                <w:rFonts w:ascii="Arial" w:hAnsi="Arial" w:cs="Arial"/>
                <w:sz w:val="18"/>
              </w:rPr>
              <w:t>Early pregnancy is associated with lower educational attainment and socioeconomic status, making AGYW more vulnerable to transactional sex, gender-based violence, and potentially HIV</w:t>
            </w:r>
          </w:p>
        </w:tc>
      </w:tr>
      <w:tr w:rsidR="00650F2B" w:rsidRPr="00650F2B" w14:paraId="5C98800B" w14:textId="77777777" w:rsidTr="00444084">
        <w:trPr>
          <w:trHeight w:val="294"/>
        </w:trPr>
        <w:tc>
          <w:tcPr>
            <w:tcW w:w="2617" w:type="dxa"/>
          </w:tcPr>
          <w:p w14:paraId="08E59FF5" w14:textId="63041338" w:rsidR="00650F2B" w:rsidRPr="00650F2B" w:rsidRDefault="00650F2B" w:rsidP="00945F3C">
            <w:pPr>
              <w:rPr>
                <w:rFonts w:ascii="Arial" w:hAnsi="Arial" w:cs="Arial"/>
                <w:b/>
                <w:sz w:val="18"/>
              </w:rPr>
            </w:pPr>
            <w:r w:rsidRPr="00650F2B">
              <w:rPr>
                <w:rFonts w:ascii="Arial" w:hAnsi="Arial" w:cs="Arial"/>
                <w:b/>
                <w:sz w:val="18"/>
              </w:rPr>
              <w:t>PrEP</w:t>
            </w:r>
          </w:p>
        </w:tc>
        <w:tc>
          <w:tcPr>
            <w:tcW w:w="3165" w:type="dxa"/>
          </w:tcPr>
          <w:p w14:paraId="6C363558" w14:textId="1F3B44CA" w:rsidR="00650F2B" w:rsidRPr="00650F2B" w:rsidRDefault="00650F2B" w:rsidP="00945F3C">
            <w:pPr>
              <w:rPr>
                <w:rFonts w:ascii="Arial" w:hAnsi="Arial" w:cs="Arial"/>
                <w:sz w:val="18"/>
              </w:rPr>
            </w:pPr>
            <w:r w:rsidRPr="00650F2B">
              <w:rPr>
                <w:rFonts w:ascii="Arial" w:hAnsi="Arial" w:cs="Arial"/>
                <w:sz w:val="18"/>
              </w:rPr>
              <w:t>Prevents HIV acquisition in AGYW</w:t>
            </w:r>
          </w:p>
        </w:tc>
        <w:tc>
          <w:tcPr>
            <w:tcW w:w="4162" w:type="dxa"/>
          </w:tcPr>
          <w:p w14:paraId="76A96BC6" w14:textId="77777777" w:rsidR="00650F2B" w:rsidRPr="00650F2B" w:rsidRDefault="00650F2B" w:rsidP="00945F3C">
            <w:pPr>
              <w:rPr>
                <w:rFonts w:ascii="Arial" w:hAnsi="Arial" w:cs="Arial"/>
                <w:sz w:val="18"/>
              </w:rPr>
            </w:pPr>
          </w:p>
        </w:tc>
      </w:tr>
      <w:tr w:rsidR="00650F2B" w:rsidRPr="00650F2B" w14:paraId="4B89039C" w14:textId="77777777" w:rsidTr="00444084">
        <w:trPr>
          <w:trHeight w:val="294"/>
        </w:trPr>
        <w:tc>
          <w:tcPr>
            <w:tcW w:w="2617" w:type="dxa"/>
          </w:tcPr>
          <w:p w14:paraId="40E46C0B" w14:textId="57031DC5" w:rsidR="00650F2B" w:rsidRPr="00650F2B" w:rsidRDefault="00650F2B" w:rsidP="00945F3C">
            <w:pPr>
              <w:rPr>
                <w:rFonts w:ascii="Arial" w:hAnsi="Arial" w:cs="Arial"/>
                <w:b/>
                <w:sz w:val="18"/>
              </w:rPr>
            </w:pPr>
            <w:r w:rsidRPr="00650F2B">
              <w:rPr>
                <w:rFonts w:ascii="Arial" w:hAnsi="Arial" w:cs="Arial"/>
                <w:b/>
                <w:sz w:val="18"/>
              </w:rPr>
              <w:t>Post-violence care and Post-exposure prophylaxis</w:t>
            </w:r>
          </w:p>
        </w:tc>
        <w:tc>
          <w:tcPr>
            <w:tcW w:w="3165" w:type="dxa"/>
          </w:tcPr>
          <w:p w14:paraId="1611AFB3" w14:textId="61165A66" w:rsidR="00650F2B" w:rsidRPr="00650F2B" w:rsidRDefault="00650F2B" w:rsidP="00945F3C">
            <w:pPr>
              <w:rPr>
                <w:rFonts w:ascii="Arial" w:hAnsi="Arial" w:cs="Arial"/>
                <w:sz w:val="18"/>
              </w:rPr>
            </w:pPr>
            <w:r w:rsidRPr="00650F2B">
              <w:rPr>
                <w:rFonts w:ascii="Arial" w:hAnsi="Arial" w:cs="Arial"/>
                <w:sz w:val="18"/>
              </w:rPr>
              <w:t>Reduces risk of HIV acquisition</w:t>
            </w:r>
          </w:p>
        </w:tc>
        <w:tc>
          <w:tcPr>
            <w:tcW w:w="4162" w:type="dxa"/>
          </w:tcPr>
          <w:p w14:paraId="3F8E275D" w14:textId="77777777" w:rsidR="00650F2B" w:rsidRPr="00650F2B" w:rsidRDefault="00650F2B" w:rsidP="00945F3C">
            <w:pPr>
              <w:rPr>
                <w:rFonts w:ascii="Arial" w:hAnsi="Arial" w:cs="Arial"/>
                <w:sz w:val="18"/>
              </w:rPr>
            </w:pPr>
          </w:p>
        </w:tc>
      </w:tr>
      <w:tr w:rsidR="00650F2B" w:rsidRPr="00650F2B" w14:paraId="7F4CBB09" w14:textId="77777777" w:rsidTr="00444084">
        <w:trPr>
          <w:trHeight w:val="598"/>
        </w:trPr>
        <w:tc>
          <w:tcPr>
            <w:tcW w:w="2617" w:type="dxa"/>
          </w:tcPr>
          <w:p w14:paraId="2692BA5A" w14:textId="2EE65AE0" w:rsidR="00650F2B" w:rsidRPr="00650F2B" w:rsidRDefault="00650F2B" w:rsidP="00945F3C">
            <w:pPr>
              <w:rPr>
                <w:rFonts w:ascii="Arial" w:hAnsi="Arial" w:cs="Arial"/>
                <w:b/>
                <w:sz w:val="18"/>
              </w:rPr>
            </w:pPr>
            <w:r w:rsidRPr="00650F2B">
              <w:rPr>
                <w:rFonts w:ascii="Arial" w:hAnsi="Arial" w:cs="Arial"/>
                <w:b/>
                <w:sz w:val="18"/>
              </w:rPr>
              <w:t>Social and economic empowerment</w:t>
            </w:r>
          </w:p>
        </w:tc>
        <w:tc>
          <w:tcPr>
            <w:tcW w:w="3165" w:type="dxa"/>
          </w:tcPr>
          <w:p w14:paraId="6603D2E1" w14:textId="03131FA0" w:rsidR="00650F2B" w:rsidRPr="00650F2B" w:rsidRDefault="00650F2B" w:rsidP="00945F3C">
            <w:pPr>
              <w:rPr>
                <w:rFonts w:ascii="Arial" w:hAnsi="Arial" w:cs="Arial"/>
                <w:sz w:val="18"/>
              </w:rPr>
            </w:pPr>
          </w:p>
        </w:tc>
        <w:tc>
          <w:tcPr>
            <w:tcW w:w="4162" w:type="dxa"/>
          </w:tcPr>
          <w:p w14:paraId="1F70ABBA" w14:textId="77777777" w:rsidR="00650F2B" w:rsidRDefault="00650F2B" w:rsidP="00945F3C">
            <w:pPr>
              <w:rPr>
                <w:rFonts w:ascii="Arial" w:hAnsi="Arial" w:cs="Arial"/>
                <w:sz w:val="18"/>
              </w:rPr>
            </w:pPr>
            <w:r w:rsidRPr="00650F2B">
              <w:rPr>
                <w:rFonts w:ascii="Arial" w:hAnsi="Arial" w:cs="Arial"/>
                <w:sz w:val="18"/>
              </w:rPr>
              <w:t>School subsidies that increase secondary school attendance are associated with lower HIV risk.</w:t>
            </w:r>
            <w:r w:rsidR="00607E5F">
              <w:rPr>
                <w:rFonts w:ascii="Arial" w:hAnsi="Arial" w:cs="Arial"/>
                <w:sz w:val="18"/>
              </w:rPr>
              <w:t xml:space="preserve"> </w:t>
            </w:r>
          </w:p>
          <w:p w14:paraId="74F69E20" w14:textId="77777777" w:rsidR="00607E5F" w:rsidRDefault="00607E5F" w:rsidP="00945F3C">
            <w:pPr>
              <w:rPr>
                <w:rFonts w:ascii="Arial" w:hAnsi="Arial" w:cs="Arial"/>
                <w:sz w:val="18"/>
              </w:rPr>
            </w:pPr>
          </w:p>
          <w:p w14:paraId="3BBDE6D1" w14:textId="0828131A" w:rsidR="00607E5F" w:rsidRPr="00650F2B" w:rsidRDefault="00607E5F" w:rsidP="00945F3C">
            <w:pPr>
              <w:rPr>
                <w:rFonts w:ascii="Arial" w:hAnsi="Arial" w:cs="Arial"/>
                <w:sz w:val="18"/>
              </w:rPr>
            </w:pPr>
            <w:r>
              <w:rPr>
                <w:rFonts w:ascii="Arial" w:hAnsi="Arial" w:cs="Arial"/>
                <w:sz w:val="18"/>
              </w:rPr>
              <w:t>Social and economic empowerment interventions improve overall female empowerment.</w:t>
            </w:r>
          </w:p>
        </w:tc>
      </w:tr>
      <w:tr w:rsidR="00650F2B" w:rsidRPr="00650F2B" w14:paraId="51947ABC" w14:textId="77777777" w:rsidTr="00444084">
        <w:trPr>
          <w:trHeight w:val="745"/>
        </w:trPr>
        <w:tc>
          <w:tcPr>
            <w:tcW w:w="2617" w:type="dxa"/>
          </w:tcPr>
          <w:p w14:paraId="59E99A17" w14:textId="4C2434A1" w:rsidR="00650F2B" w:rsidRPr="00650F2B" w:rsidRDefault="00650F2B" w:rsidP="00945F3C">
            <w:pPr>
              <w:rPr>
                <w:rFonts w:ascii="Arial" w:hAnsi="Arial" w:cs="Arial"/>
                <w:b/>
                <w:sz w:val="18"/>
              </w:rPr>
            </w:pPr>
            <w:r w:rsidRPr="00650F2B">
              <w:rPr>
                <w:rFonts w:ascii="Arial" w:hAnsi="Arial" w:cs="Arial"/>
                <w:b/>
                <w:sz w:val="18"/>
              </w:rPr>
              <w:t>Caregiver education</w:t>
            </w:r>
          </w:p>
        </w:tc>
        <w:tc>
          <w:tcPr>
            <w:tcW w:w="3165" w:type="dxa"/>
          </w:tcPr>
          <w:p w14:paraId="71C95AAA" w14:textId="11E2D76F" w:rsidR="00650F2B" w:rsidRPr="00650F2B" w:rsidRDefault="00650F2B" w:rsidP="00945F3C">
            <w:pPr>
              <w:rPr>
                <w:rFonts w:ascii="Arial" w:hAnsi="Arial" w:cs="Arial"/>
                <w:sz w:val="18"/>
              </w:rPr>
            </w:pPr>
          </w:p>
        </w:tc>
        <w:tc>
          <w:tcPr>
            <w:tcW w:w="4162" w:type="dxa"/>
          </w:tcPr>
          <w:p w14:paraId="54A824B1" w14:textId="149421AB" w:rsidR="00650F2B" w:rsidRPr="00650F2B" w:rsidRDefault="00650F2B" w:rsidP="00945F3C">
            <w:pPr>
              <w:rPr>
                <w:rFonts w:ascii="Arial" w:hAnsi="Arial" w:cs="Arial"/>
                <w:sz w:val="18"/>
              </w:rPr>
            </w:pPr>
            <w:r w:rsidRPr="00650F2B">
              <w:rPr>
                <w:rFonts w:ascii="Arial" w:hAnsi="Arial" w:cs="Arial"/>
                <w:sz w:val="18"/>
              </w:rPr>
              <w:t>Supports parents in discussing risks of HIV with AGYW and can increase the age of sexual debut and decrease exposure to gender-based violence</w:t>
            </w:r>
          </w:p>
        </w:tc>
      </w:tr>
      <w:tr w:rsidR="00650F2B" w:rsidRPr="00650F2B" w14:paraId="33F5E062" w14:textId="77777777" w:rsidTr="00444084">
        <w:trPr>
          <w:trHeight w:val="450"/>
        </w:trPr>
        <w:tc>
          <w:tcPr>
            <w:tcW w:w="2617" w:type="dxa"/>
          </w:tcPr>
          <w:p w14:paraId="0120F304" w14:textId="204C74BF" w:rsidR="00650F2B" w:rsidRPr="00650F2B" w:rsidRDefault="00650F2B" w:rsidP="00945F3C">
            <w:pPr>
              <w:rPr>
                <w:rFonts w:ascii="Arial" w:hAnsi="Arial" w:cs="Arial"/>
                <w:b/>
                <w:sz w:val="18"/>
              </w:rPr>
            </w:pPr>
            <w:r w:rsidRPr="00650F2B">
              <w:rPr>
                <w:rFonts w:ascii="Arial" w:hAnsi="Arial" w:cs="Arial"/>
                <w:b/>
                <w:sz w:val="18"/>
              </w:rPr>
              <w:t>Social asset building</w:t>
            </w:r>
          </w:p>
        </w:tc>
        <w:tc>
          <w:tcPr>
            <w:tcW w:w="3165" w:type="dxa"/>
          </w:tcPr>
          <w:p w14:paraId="6817A024" w14:textId="3CCE5411" w:rsidR="00650F2B" w:rsidRPr="00650F2B" w:rsidRDefault="00650F2B" w:rsidP="00945F3C">
            <w:pPr>
              <w:rPr>
                <w:rFonts w:ascii="Arial" w:hAnsi="Arial" w:cs="Arial"/>
                <w:sz w:val="18"/>
              </w:rPr>
            </w:pPr>
          </w:p>
        </w:tc>
        <w:tc>
          <w:tcPr>
            <w:tcW w:w="4162" w:type="dxa"/>
          </w:tcPr>
          <w:p w14:paraId="6D676E0D" w14:textId="09551893" w:rsidR="00650F2B" w:rsidRPr="00650F2B" w:rsidRDefault="00650F2B" w:rsidP="00945F3C">
            <w:pPr>
              <w:rPr>
                <w:rFonts w:ascii="Arial" w:hAnsi="Arial" w:cs="Arial"/>
                <w:sz w:val="18"/>
              </w:rPr>
            </w:pPr>
            <w:r w:rsidRPr="00650F2B">
              <w:rPr>
                <w:rFonts w:ascii="Arial" w:hAnsi="Arial" w:cs="Arial"/>
                <w:sz w:val="18"/>
              </w:rPr>
              <w:t xml:space="preserve">Social capital increases agency and </w:t>
            </w:r>
            <w:r w:rsidR="00607E5F">
              <w:rPr>
                <w:rFonts w:ascii="Arial" w:hAnsi="Arial" w:cs="Arial"/>
                <w:sz w:val="18"/>
              </w:rPr>
              <w:t xml:space="preserve">female </w:t>
            </w:r>
            <w:r w:rsidRPr="00650F2B">
              <w:rPr>
                <w:rFonts w:ascii="Arial" w:hAnsi="Arial" w:cs="Arial"/>
                <w:sz w:val="18"/>
              </w:rPr>
              <w:t>empowerment among AGYW</w:t>
            </w:r>
          </w:p>
        </w:tc>
      </w:tr>
    </w:tbl>
    <w:p w14:paraId="0188B473" w14:textId="608A4FA9" w:rsidR="00761EDA" w:rsidRPr="0027110B" w:rsidRDefault="0074450A" w:rsidP="00945F3C">
      <w:pPr>
        <w:rPr>
          <w:rFonts w:ascii="Arial" w:hAnsi="Arial" w:cs="Arial"/>
          <w:sz w:val="16"/>
        </w:rPr>
      </w:pPr>
      <w:r w:rsidRPr="0027110B">
        <w:rPr>
          <w:rFonts w:ascii="Arial" w:hAnsi="Arial" w:cs="Arial"/>
          <w:sz w:val="16"/>
        </w:rPr>
        <w:t>Source:</w:t>
      </w:r>
      <w:r w:rsidR="0027110B" w:rsidRPr="0027110B">
        <w:rPr>
          <w:rFonts w:ascii="Arial" w:hAnsi="Arial" w:cs="Arial"/>
          <w:sz w:val="16"/>
        </w:rPr>
        <w:t xml:space="preserve"> Saul J, Bachman G, Allen S, Toiv NF, Cooney C, Beamon T (2018) The DREAMS core package of interventions: A comprehensive approach to preventing HIV among adolescent girls and young women. PLoS ONE 13(12): e0208167</w:t>
      </w:r>
    </w:p>
    <w:p w14:paraId="565D278B" w14:textId="3C72DEDE" w:rsidR="0027110B" w:rsidRPr="00B31831" w:rsidRDefault="005C0BFE" w:rsidP="0027110B">
      <w:pPr>
        <w:spacing w:after="0" w:line="256" w:lineRule="auto"/>
        <w:rPr>
          <w:rFonts w:ascii="Arial" w:eastAsia="Times New Roman" w:hAnsi="Arial" w:cs="Arial"/>
        </w:rPr>
      </w:pPr>
      <w:r>
        <w:rPr>
          <w:rFonts w:ascii="Arial" w:hAnsi="Arial" w:cs="Arial"/>
        </w:rPr>
        <w:t xml:space="preserve">Both external and government partners have recognized the need for addressing the unique HIV burden among AGYW. </w:t>
      </w:r>
      <w:r w:rsidR="009E699B" w:rsidRPr="004C41D2">
        <w:rPr>
          <w:rFonts w:ascii="Arial" w:hAnsi="Arial" w:cs="Arial"/>
        </w:rPr>
        <w:t>PEPFAR launched DREAMS in Tanzania in 2016 (PEPFAR DREAMS)</w:t>
      </w:r>
      <w:r w:rsidR="00B31831">
        <w:rPr>
          <w:rFonts w:ascii="Arial" w:hAnsi="Arial" w:cs="Arial"/>
        </w:rPr>
        <w:t xml:space="preserve"> as an initiative to deliver </w:t>
      </w:r>
      <w:r w:rsidR="007203AC">
        <w:rPr>
          <w:rFonts w:ascii="Arial" w:hAnsi="Arial" w:cs="Arial"/>
        </w:rPr>
        <w:t>this type of</w:t>
      </w:r>
      <w:r w:rsidR="00B31831">
        <w:rPr>
          <w:rFonts w:ascii="Arial" w:hAnsi="Arial" w:cs="Arial"/>
        </w:rPr>
        <w:t xml:space="preserve"> comprehensive package to AGYW.</w:t>
      </w:r>
      <w:r w:rsidR="0027110B">
        <w:rPr>
          <w:rFonts w:ascii="Arial" w:hAnsi="Arial" w:cs="Arial"/>
        </w:rPr>
        <w:t xml:space="preserve"> </w:t>
      </w:r>
      <w:r w:rsidR="0027110B" w:rsidRPr="00B31831">
        <w:rPr>
          <w:rFonts w:ascii="Arial" w:eastAsia="Times New Roman" w:hAnsi="Arial" w:cs="Arial"/>
        </w:rPr>
        <w:t>Up to FY 2018, DREAMS was implemented in seven SNUs (Temeke, Kahama TC, Shinyanga MC, Ushetu, Msalala, Kyela, and Mbeya CC)</w:t>
      </w:r>
      <w:r w:rsidR="0027110B">
        <w:rPr>
          <w:rFonts w:ascii="Arial" w:eastAsia="Times New Roman" w:hAnsi="Arial" w:cs="Arial"/>
        </w:rPr>
        <w:t>. To date, DREAMS has reached over 175,000 AGYW</w:t>
      </w:r>
      <w:r>
        <w:rPr>
          <w:rFonts w:ascii="Arial" w:eastAsia="Times New Roman" w:hAnsi="Arial" w:cs="Arial"/>
        </w:rPr>
        <w:t xml:space="preserve"> (COP 2018)</w:t>
      </w:r>
      <w:r w:rsidR="0027110B">
        <w:rPr>
          <w:rFonts w:ascii="Arial" w:eastAsia="Times New Roman" w:hAnsi="Arial" w:cs="Arial"/>
        </w:rPr>
        <w:t>.</w:t>
      </w:r>
    </w:p>
    <w:p w14:paraId="64869737" w14:textId="1A63FC7D" w:rsidR="00B31831" w:rsidRDefault="00B31831" w:rsidP="0043047C">
      <w:pPr>
        <w:spacing w:after="0" w:line="256" w:lineRule="auto"/>
        <w:rPr>
          <w:rFonts w:ascii="Arial" w:eastAsia="Times New Roman" w:hAnsi="Arial" w:cs="Arial"/>
        </w:rPr>
      </w:pPr>
    </w:p>
    <w:p w14:paraId="46A947CD" w14:textId="1DB106ED" w:rsidR="00B31831" w:rsidRPr="00975865" w:rsidRDefault="00975865" w:rsidP="0043047C">
      <w:pPr>
        <w:spacing w:after="0" w:line="256" w:lineRule="auto"/>
        <w:rPr>
          <w:rFonts w:ascii="Arial" w:hAnsi="Arial" w:cs="Arial"/>
        </w:rPr>
      </w:pPr>
      <w:r>
        <w:rPr>
          <w:rFonts w:ascii="Arial" w:hAnsi="Arial" w:cs="Arial"/>
        </w:rPr>
        <w:t xml:space="preserve">Preventing HIV is a priority among </w:t>
      </w:r>
      <w:r w:rsidR="00B31831">
        <w:rPr>
          <w:rFonts w:ascii="Arial" w:hAnsi="Arial" w:cs="Arial"/>
        </w:rPr>
        <w:t xml:space="preserve">MoHCDGEC </w:t>
      </w:r>
      <w:r>
        <w:rPr>
          <w:rFonts w:ascii="Arial" w:hAnsi="Arial" w:cs="Arial"/>
        </w:rPr>
        <w:t xml:space="preserve">as well. Pillar 1 of the </w:t>
      </w:r>
      <w:r w:rsidRPr="00975865">
        <w:rPr>
          <w:rFonts w:ascii="Arial" w:hAnsi="Arial" w:cs="Arial"/>
        </w:rPr>
        <w:t>National Accelerated Action &amp; Investment Agenda for Adolescent Health &amp; Wellbeing</w:t>
      </w:r>
      <w:r>
        <w:rPr>
          <w:rFonts w:ascii="Arial" w:hAnsi="Arial" w:cs="Arial"/>
        </w:rPr>
        <w:t xml:space="preserve"> is Preventing </w:t>
      </w:r>
      <w:r w:rsidRPr="00975865">
        <w:rPr>
          <w:rFonts w:ascii="Arial" w:hAnsi="Arial" w:cs="Arial"/>
        </w:rPr>
        <w:t xml:space="preserve">HIV through improving </w:t>
      </w:r>
      <w:r w:rsidR="00B31831" w:rsidRPr="00975865">
        <w:rPr>
          <w:rFonts w:ascii="Arial" w:hAnsi="Arial" w:cs="Arial"/>
        </w:rPr>
        <w:t>community-based HIV testing and linkages to prevention and care, increasing access to and uptake of protective measures, voluntary medical male circumcision (VMMC) and pre-exposure prophylaxis (PrEP</w:t>
      </w:r>
      <w:r w:rsidR="00422204">
        <w:rPr>
          <w:rFonts w:ascii="Arial" w:hAnsi="Arial" w:cs="Arial"/>
        </w:rPr>
        <w:t xml:space="preserve">) </w:t>
      </w:r>
      <w:r>
        <w:rPr>
          <w:rFonts w:ascii="Arial" w:hAnsi="Arial" w:cs="Arial"/>
        </w:rPr>
        <w:t>(MoHCDGEC 2018</w:t>
      </w:r>
      <w:r w:rsidR="00607E5F">
        <w:rPr>
          <w:rFonts w:ascii="Arial" w:hAnsi="Arial" w:cs="Arial"/>
        </w:rPr>
        <w:t>b</w:t>
      </w:r>
      <w:r w:rsidR="00B31831" w:rsidRPr="00975865">
        <w:rPr>
          <w:rFonts w:ascii="Arial" w:hAnsi="Arial" w:cs="Arial"/>
        </w:rPr>
        <w:t>)</w:t>
      </w:r>
      <w:r w:rsidRPr="00975865">
        <w:rPr>
          <w:rFonts w:ascii="Arial" w:hAnsi="Arial" w:cs="Arial"/>
        </w:rPr>
        <w:t>.</w:t>
      </w:r>
    </w:p>
    <w:p w14:paraId="1A675BBC" w14:textId="77777777" w:rsidR="0043047C" w:rsidRDefault="0043047C" w:rsidP="009E699B">
      <w:pPr>
        <w:spacing w:after="0" w:line="256" w:lineRule="auto"/>
        <w:rPr>
          <w:rFonts w:ascii="Arial" w:hAnsi="Arial" w:cs="Arial"/>
        </w:rPr>
      </w:pPr>
    </w:p>
    <w:p w14:paraId="641F5D91" w14:textId="32CD7168" w:rsidR="007203AC" w:rsidRPr="00A7659D" w:rsidRDefault="00873E3B" w:rsidP="00A7659D">
      <w:pPr>
        <w:pStyle w:val="Heading2"/>
        <w:rPr>
          <w:rFonts w:ascii="Arial" w:hAnsi="Arial" w:cs="Arial"/>
          <w:b/>
          <w:bCs/>
          <w:color w:val="000000" w:themeColor="text1"/>
        </w:rPr>
      </w:pPr>
      <w:bookmarkStart w:id="124" w:name="_Toc57035218"/>
      <w:r w:rsidRPr="00A7659D">
        <w:rPr>
          <w:rFonts w:ascii="Arial" w:hAnsi="Arial" w:cs="Arial"/>
          <w:b/>
          <w:bCs/>
          <w:color w:val="000000" w:themeColor="text1"/>
        </w:rPr>
        <w:t xml:space="preserve">Need for </w:t>
      </w:r>
      <w:r w:rsidR="00A7659D">
        <w:rPr>
          <w:rFonts w:ascii="Arial" w:hAnsi="Arial" w:cs="Arial"/>
          <w:b/>
          <w:bCs/>
          <w:color w:val="000000" w:themeColor="text1"/>
        </w:rPr>
        <w:t>to scale-up</w:t>
      </w:r>
      <w:r w:rsidRPr="00A7659D">
        <w:rPr>
          <w:rFonts w:ascii="Arial" w:hAnsi="Arial" w:cs="Arial"/>
          <w:b/>
          <w:bCs/>
          <w:color w:val="000000" w:themeColor="text1"/>
        </w:rPr>
        <w:t xml:space="preserve"> AGYW interventions</w:t>
      </w:r>
      <w:bookmarkEnd w:id="124"/>
    </w:p>
    <w:p w14:paraId="24D228D7" w14:textId="2D759201" w:rsidR="007203AC" w:rsidRDefault="007203AC" w:rsidP="007203AC">
      <w:pPr>
        <w:spacing w:after="0"/>
        <w:rPr>
          <w:rFonts w:ascii="Arial" w:hAnsi="Arial" w:cs="Arial"/>
          <w:i/>
          <w:sz w:val="18"/>
        </w:rPr>
      </w:pPr>
    </w:p>
    <w:p w14:paraId="126EF84C" w14:textId="51C458B1" w:rsidR="007203AC" w:rsidRPr="00761EDA" w:rsidRDefault="007203AC" w:rsidP="007203AC">
      <w:pPr>
        <w:rPr>
          <w:rFonts w:ascii="Arial" w:hAnsi="Arial" w:cs="Arial"/>
        </w:rPr>
      </w:pPr>
      <w:r w:rsidRPr="00761EDA">
        <w:rPr>
          <w:rFonts w:ascii="Arial" w:hAnsi="Arial" w:cs="Arial"/>
        </w:rPr>
        <w:t xml:space="preserve">Under the </w:t>
      </w:r>
      <w:r w:rsidR="00C527FE">
        <w:rPr>
          <w:rFonts w:ascii="Arial" w:hAnsi="Arial" w:cs="Arial"/>
        </w:rPr>
        <w:t>CC</w:t>
      </w:r>
      <w:r w:rsidRPr="00761EDA">
        <w:rPr>
          <w:rFonts w:ascii="Arial" w:hAnsi="Arial" w:cs="Arial"/>
        </w:rPr>
        <w:t xml:space="preserve"> scenario, 150,167 new infections would occur among AGYW and ABYM between 2019-2030. The NS scenario would avert 50% of these new infections. </w:t>
      </w:r>
      <w:r w:rsidR="002A36BE" w:rsidRPr="00761EDA">
        <w:rPr>
          <w:rFonts w:ascii="Arial" w:hAnsi="Arial" w:cs="Arial"/>
        </w:rPr>
        <w:t>The O-</w:t>
      </w:r>
      <w:r w:rsidR="00C527FE">
        <w:rPr>
          <w:rFonts w:ascii="Arial" w:hAnsi="Arial" w:cs="Arial"/>
        </w:rPr>
        <w:t>CC</w:t>
      </w:r>
      <w:r w:rsidR="002A36BE" w:rsidRPr="00761EDA">
        <w:rPr>
          <w:rFonts w:ascii="Arial" w:hAnsi="Arial" w:cs="Arial"/>
        </w:rPr>
        <w:t xml:space="preserve">F and O-DRM </w:t>
      </w:r>
      <w:r w:rsidR="002A36BE">
        <w:rPr>
          <w:rFonts w:ascii="Arial" w:hAnsi="Arial" w:cs="Arial"/>
        </w:rPr>
        <w:t xml:space="preserve">scenarios </w:t>
      </w:r>
      <w:r w:rsidR="002A36BE" w:rsidRPr="00761EDA">
        <w:rPr>
          <w:rFonts w:ascii="Arial" w:hAnsi="Arial" w:cs="Arial"/>
        </w:rPr>
        <w:t xml:space="preserve">would </w:t>
      </w:r>
      <w:r w:rsidR="002A36BE">
        <w:rPr>
          <w:rFonts w:ascii="Arial" w:hAnsi="Arial" w:cs="Arial"/>
        </w:rPr>
        <w:t>also lower new infections similarly, while Optimization with Declining Donor Financing (O-DDF) would le</w:t>
      </w:r>
      <w:r w:rsidR="00422204">
        <w:rPr>
          <w:rFonts w:ascii="Arial" w:hAnsi="Arial" w:cs="Arial"/>
        </w:rPr>
        <w:t>a</w:t>
      </w:r>
      <w:r w:rsidR="002A36BE">
        <w:rPr>
          <w:rFonts w:ascii="Arial" w:hAnsi="Arial" w:cs="Arial"/>
        </w:rPr>
        <w:t>d to a sharp rise in new AGYW infections as in the</w:t>
      </w:r>
      <w:r w:rsidR="002A36BE" w:rsidRPr="00761EDA">
        <w:rPr>
          <w:rFonts w:ascii="Arial" w:hAnsi="Arial" w:cs="Arial"/>
        </w:rPr>
        <w:t xml:space="preserve"> </w:t>
      </w:r>
      <w:r w:rsidR="00C527FE">
        <w:rPr>
          <w:rFonts w:ascii="Arial" w:hAnsi="Arial" w:cs="Arial"/>
        </w:rPr>
        <w:t xml:space="preserve">CC </w:t>
      </w:r>
      <w:r w:rsidR="002A36BE" w:rsidRPr="00761EDA">
        <w:rPr>
          <w:rFonts w:ascii="Arial" w:hAnsi="Arial" w:cs="Arial"/>
        </w:rPr>
        <w:t>scenario</w:t>
      </w:r>
      <w:r w:rsidR="002A36BE">
        <w:rPr>
          <w:rFonts w:ascii="Arial" w:hAnsi="Arial" w:cs="Arial"/>
        </w:rPr>
        <w:t xml:space="preserve"> (</w:t>
      </w:r>
      <w:r w:rsidR="002A36BE">
        <w:rPr>
          <w:rFonts w:ascii="Arial" w:hAnsi="Arial" w:cs="Arial"/>
          <w:i/>
        </w:rPr>
        <w:t>Figure 8-3)</w:t>
      </w:r>
      <w:r w:rsidR="002A36BE">
        <w:rPr>
          <w:rFonts w:ascii="Arial" w:hAnsi="Arial" w:cs="Arial"/>
        </w:rPr>
        <w:t>.</w:t>
      </w:r>
    </w:p>
    <w:p w14:paraId="6220A2F8" w14:textId="0ABFB98D" w:rsidR="007203AC" w:rsidRPr="00303177" w:rsidRDefault="00F6329B" w:rsidP="00303177">
      <w:pPr>
        <w:spacing w:after="0"/>
        <w:rPr>
          <w:rFonts w:ascii="Arial" w:hAnsi="Arial" w:cs="Arial"/>
          <w:i/>
          <w:sz w:val="18"/>
        </w:rPr>
      </w:pPr>
      <w:r w:rsidRPr="00F13131">
        <w:rPr>
          <w:rFonts w:ascii="Arial" w:hAnsi="Arial" w:cs="Arial"/>
          <w:noProof/>
        </w:rPr>
        <w:drawing>
          <wp:anchor distT="0" distB="0" distL="114300" distR="114300" simplePos="0" relativeHeight="251768832" behindDoc="0" locked="0" layoutInCell="1" allowOverlap="1" wp14:anchorId="4A5D7A4D" wp14:editId="552E0F6C">
            <wp:simplePos x="0" y="0"/>
            <wp:positionH relativeFrom="column">
              <wp:posOffset>0</wp:posOffset>
            </wp:positionH>
            <wp:positionV relativeFrom="paragraph">
              <wp:posOffset>247650</wp:posOffset>
            </wp:positionV>
            <wp:extent cx="5541645" cy="2244090"/>
            <wp:effectExtent l="0" t="0" r="1905" b="3810"/>
            <wp:wrapTopAndBottom/>
            <wp:docPr id="72" name="Chart 72">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873E3B" w:rsidRPr="007203AC">
        <w:rPr>
          <w:rFonts w:ascii="Arial" w:hAnsi="Arial" w:cs="Arial"/>
          <w:i/>
          <w:sz w:val="18"/>
        </w:rPr>
        <w:t xml:space="preserve">Figure </w:t>
      </w:r>
      <w:r w:rsidR="00873E3B">
        <w:rPr>
          <w:rFonts w:ascii="Arial" w:hAnsi="Arial" w:cs="Arial"/>
          <w:i/>
          <w:sz w:val="18"/>
        </w:rPr>
        <w:t>8-</w:t>
      </w:r>
      <w:r w:rsidR="005C0BFE">
        <w:rPr>
          <w:rFonts w:ascii="Arial" w:hAnsi="Arial" w:cs="Arial"/>
          <w:i/>
          <w:sz w:val="18"/>
        </w:rPr>
        <w:t>3</w:t>
      </w:r>
      <w:r w:rsidR="00873E3B" w:rsidRPr="007203AC">
        <w:rPr>
          <w:rFonts w:ascii="Arial" w:hAnsi="Arial" w:cs="Arial"/>
          <w:i/>
          <w:sz w:val="18"/>
        </w:rPr>
        <w:t>. New infections among 15-24 years 2019-2030</w:t>
      </w:r>
    </w:p>
    <w:p w14:paraId="6818D7AF" w14:textId="77777777" w:rsidR="00873E3B" w:rsidRDefault="00873E3B" w:rsidP="007203AC"/>
    <w:p w14:paraId="3DD8317A" w14:textId="7537B163" w:rsidR="00873E3B" w:rsidRDefault="00873E3B" w:rsidP="007203AC">
      <w:pPr>
        <w:spacing w:after="0" w:line="256" w:lineRule="auto"/>
        <w:rPr>
          <w:rFonts w:ascii="Arial" w:hAnsi="Arial" w:cs="Arial"/>
        </w:rPr>
      </w:pPr>
      <w:r>
        <w:rPr>
          <w:rFonts w:ascii="Arial" w:hAnsi="Arial" w:cs="Arial"/>
        </w:rPr>
        <w:t>Although the O-</w:t>
      </w:r>
      <w:r w:rsidR="00C527FE">
        <w:rPr>
          <w:rFonts w:ascii="Arial" w:hAnsi="Arial" w:cs="Arial"/>
        </w:rPr>
        <w:t>CC</w:t>
      </w:r>
      <w:r>
        <w:rPr>
          <w:rFonts w:ascii="Arial" w:hAnsi="Arial" w:cs="Arial"/>
        </w:rPr>
        <w:t xml:space="preserve">F and O-DRM would achieve significant reductions in new infections among adolescents and young adults, important </w:t>
      </w:r>
      <w:r w:rsidR="007203AC">
        <w:rPr>
          <w:rFonts w:ascii="Arial" w:hAnsi="Arial" w:cs="Arial"/>
        </w:rPr>
        <w:t>interventions such as PrEP and cash transfers</w:t>
      </w:r>
      <w:r>
        <w:rPr>
          <w:rFonts w:ascii="Arial" w:hAnsi="Arial" w:cs="Arial"/>
        </w:rPr>
        <w:t xml:space="preserve"> that address underlying risks for HIV infection</w:t>
      </w:r>
      <w:r w:rsidR="007203AC">
        <w:rPr>
          <w:rFonts w:ascii="Arial" w:hAnsi="Arial" w:cs="Arial"/>
        </w:rPr>
        <w:t xml:space="preserve"> </w:t>
      </w:r>
      <w:r>
        <w:rPr>
          <w:rFonts w:ascii="Arial" w:hAnsi="Arial" w:cs="Arial"/>
        </w:rPr>
        <w:t xml:space="preserve">would not be prioritized under the </w:t>
      </w:r>
      <w:r w:rsidR="005C0BFE">
        <w:rPr>
          <w:rFonts w:ascii="Arial" w:hAnsi="Arial" w:cs="Arial"/>
        </w:rPr>
        <w:t>o</w:t>
      </w:r>
      <w:r>
        <w:rPr>
          <w:rFonts w:ascii="Arial" w:hAnsi="Arial" w:cs="Arial"/>
        </w:rPr>
        <w:t>ptimization approach</w:t>
      </w:r>
      <w:r w:rsidR="005C0BFE">
        <w:rPr>
          <w:rFonts w:ascii="Arial" w:hAnsi="Arial" w:cs="Arial"/>
        </w:rPr>
        <w:t xml:space="preserve"> of these scenarios</w:t>
      </w:r>
      <w:r w:rsidR="007203AC">
        <w:rPr>
          <w:rFonts w:ascii="Arial" w:hAnsi="Arial" w:cs="Arial"/>
        </w:rPr>
        <w:t>.</w:t>
      </w:r>
      <w:r>
        <w:rPr>
          <w:rFonts w:ascii="Arial" w:hAnsi="Arial" w:cs="Arial"/>
        </w:rPr>
        <w:t xml:space="preserve"> </w:t>
      </w:r>
    </w:p>
    <w:p w14:paraId="4FF4D712" w14:textId="77777777" w:rsidR="00873E3B" w:rsidRDefault="00873E3B" w:rsidP="007203AC">
      <w:pPr>
        <w:spacing w:after="0" w:line="256" w:lineRule="auto"/>
        <w:rPr>
          <w:rFonts w:ascii="Arial" w:hAnsi="Arial" w:cs="Arial"/>
        </w:rPr>
      </w:pPr>
    </w:p>
    <w:p w14:paraId="06BEAEBF" w14:textId="59E65F49" w:rsidR="007203AC" w:rsidRDefault="005C0BFE" w:rsidP="00873E3B">
      <w:pPr>
        <w:spacing w:after="0" w:line="256" w:lineRule="auto"/>
        <w:rPr>
          <w:rFonts w:ascii="Arial" w:hAnsi="Arial" w:cs="Arial"/>
        </w:rPr>
      </w:pPr>
      <w:r>
        <w:rPr>
          <w:rFonts w:ascii="Arial" w:hAnsi="Arial" w:cs="Arial"/>
        </w:rPr>
        <w:t>PrEP and cash transfers</w:t>
      </w:r>
      <w:r w:rsidR="00761EDA">
        <w:rPr>
          <w:rFonts w:ascii="Arial" w:hAnsi="Arial" w:cs="Arial"/>
        </w:rPr>
        <w:t xml:space="preserve"> become deprioritized because of </w:t>
      </w:r>
      <w:r w:rsidR="007203AC">
        <w:rPr>
          <w:rFonts w:ascii="Arial" w:hAnsi="Arial" w:cs="Arial"/>
        </w:rPr>
        <w:t xml:space="preserve">the costs of implementation are </w:t>
      </w:r>
      <w:r w:rsidR="00873E3B">
        <w:rPr>
          <w:rFonts w:ascii="Arial" w:hAnsi="Arial" w:cs="Arial"/>
        </w:rPr>
        <w:t xml:space="preserve">extremely </w:t>
      </w:r>
      <w:r w:rsidR="007203AC">
        <w:rPr>
          <w:rFonts w:ascii="Arial" w:hAnsi="Arial" w:cs="Arial"/>
        </w:rPr>
        <w:t>high</w:t>
      </w:r>
      <w:r w:rsidR="00761EDA">
        <w:rPr>
          <w:rFonts w:ascii="Arial" w:hAnsi="Arial" w:cs="Arial"/>
        </w:rPr>
        <w:t xml:space="preserve"> </w:t>
      </w:r>
      <w:r>
        <w:rPr>
          <w:rFonts w:ascii="Arial" w:hAnsi="Arial" w:cs="Arial"/>
        </w:rPr>
        <w:t>or</w:t>
      </w:r>
      <w:r w:rsidR="00761EDA">
        <w:rPr>
          <w:rFonts w:ascii="Arial" w:hAnsi="Arial" w:cs="Arial"/>
        </w:rPr>
        <w:t xml:space="preserve"> their direct impacts on HIV transmission risk can be less than</w:t>
      </w:r>
      <w:r>
        <w:rPr>
          <w:rFonts w:ascii="Arial" w:hAnsi="Arial" w:cs="Arial"/>
        </w:rPr>
        <w:t xml:space="preserve"> that of</w:t>
      </w:r>
      <w:r w:rsidR="00761EDA">
        <w:rPr>
          <w:rFonts w:ascii="Arial" w:hAnsi="Arial" w:cs="Arial"/>
        </w:rPr>
        <w:t xml:space="preserve"> biomedical interventions</w:t>
      </w:r>
      <w:r w:rsidR="007203AC">
        <w:rPr>
          <w:rFonts w:ascii="Arial" w:hAnsi="Arial" w:cs="Arial"/>
        </w:rPr>
        <w:t>.</w:t>
      </w:r>
      <w:r w:rsidR="00873E3B">
        <w:rPr>
          <w:rFonts w:ascii="Arial" w:hAnsi="Arial" w:cs="Arial"/>
        </w:rPr>
        <w:t xml:space="preserve"> </w:t>
      </w:r>
      <w:r>
        <w:rPr>
          <w:rFonts w:ascii="Arial" w:hAnsi="Arial" w:cs="Arial"/>
        </w:rPr>
        <w:t xml:space="preserve">In the case of PrEP, the costs are very high; </w:t>
      </w:r>
      <w:r w:rsidR="00761EDA">
        <w:rPr>
          <w:rFonts w:ascii="Arial" w:hAnsi="Arial" w:cs="Arial"/>
        </w:rPr>
        <w:t xml:space="preserve">Currently, it is estimated that </w:t>
      </w:r>
      <w:r w:rsidR="00873E3B">
        <w:rPr>
          <w:rFonts w:ascii="Arial" w:hAnsi="Arial" w:cs="Arial"/>
        </w:rPr>
        <w:t xml:space="preserve">PrEP costs </w:t>
      </w:r>
      <w:r w:rsidR="000807B2">
        <w:rPr>
          <w:rFonts w:ascii="Arial" w:hAnsi="Arial" w:cs="Arial"/>
        </w:rPr>
        <w:t xml:space="preserve">USD </w:t>
      </w:r>
      <w:r w:rsidR="00873E3B">
        <w:rPr>
          <w:rFonts w:ascii="Arial" w:hAnsi="Arial" w:cs="Arial"/>
        </w:rPr>
        <w:t>320 per person-year of use</w:t>
      </w:r>
      <w:r w:rsidR="00761EDA">
        <w:rPr>
          <w:rFonts w:ascii="Arial" w:hAnsi="Arial" w:cs="Arial"/>
        </w:rPr>
        <w:t xml:space="preserve"> in Tanzania</w:t>
      </w:r>
      <w:r w:rsidR="00873E3B">
        <w:rPr>
          <w:rFonts w:ascii="Arial" w:hAnsi="Arial" w:cs="Arial"/>
        </w:rPr>
        <w:t>. At this cost</w:t>
      </w:r>
      <w:r w:rsidR="007203AC" w:rsidRPr="007203AC">
        <w:rPr>
          <w:rFonts w:ascii="Arial" w:hAnsi="Arial" w:cs="Arial"/>
        </w:rPr>
        <w:t xml:space="preserve">, incidence would need to be above 4.4% to have cost per infection averted under </w:t>
      </w:r>
      <w:r w:rsidR="000807B2">
        <w:rPr>
          <w:rFonts w:ascii="Arial" w:hAnsi="Arial" w:cs="Arial"/>
        </w:rPr>
        <w:t xml:space="preserve"> USD </w:t>
      </w:r>
      <w:r w:rsidR="007203AC" w:rsidRPr="007203AC">
        <w:rPr>
          <w:rFonts w:ascii="Arial" w:hAnsi="Arial" w:cs="Arial"/>
        </w:rPr>
        <w:t>5,000. With an incidence of 0.3%</w:t>
      </w:r>
      <w:r w:rsidR="00873E3B">
        <w:rPr>
          <w:rFonts w:ascii="Arial" w:hAnsi="Arial" w:cs="Arial"/>
        </w:rPr>
        <w:t xml:space="preserve"> (</w:t>
      </w:r>
      <w:r w:rsidR="007203AC" w:rsidRPr="007203AC">
        <w:rPr>
          <w:rFonts w:ascii="Arial" w:hAnsi="Arial" w:cs="Arial"/>
        </w:rPr>
        <w:t xml:space="preserve">PrEP would cost about </w:t>
      </w:r>
      <w:r w:rsidR="000807B2">
        <w:rPr>
          <w:rFonts w:ascii="Arial" w:hAnsi="Arial" w:cs="Arial"/>
        </w:rPr>
        <w:t xml:space="preserve">USD </w:t>
      </w:r>
      <w:r w:rsidR="007203AC" w:rsidRPr="007203AC">
        <w:rPr>
          <w:rFonts w:ascii="Arial" w:hAnsi="Arial" w:cs="Arial"/>
        </w:rPr>
        <w:t>1</w:t>
      </w:r>
      <w:r w:rsidR="00032469">
        <w:rPr>
          <w:rFonts w:ascii="Arial" w:hAnsi="Arial" w:cs="Arial"/>
        </w:rPr>
        <w:t>00</w:t>
      </w:r>
      <w:r w:rsidR="007203AC" w:rsidRPr="007203AC">
        <w:rPr>
          <w:rFonts w:ascii="Arial" w:hAnsi="Arial" w:cs="Arial"/>
        </w:rPr>
        <w:t>,000 per infection averted, even when treatment savings are accounted fo</w:t>
      </w:r>
      <w:r w:rsidR="007203AC">
        <w:rPr>
          <w:rFonts w:ascii="Arial" w:hAnsi="Arial" w:cs="Arial"/>
        </w:rPr>
        <w:t>r (Goals analysis)</w:t>
      </w:r>
      <w:r w:rsidR="00032469">
        <w:rPr>
          <w:rFonts w:ascii="Arial" w:hAnsi="Arial" w:cs="Arial"/>
        </w:rPr>
        <w:t>, as replicated in the c</w:t>
      </w:r>
      <w:r w:rsidR="00346233">
        <w:rPr>
          <w:rFonts w:ascii="Arial" w:hAnsi="Arial" w:cs="Arial"/>
        </w:rPr>
        <w:t xml:space="preserve">ost-effectiveness analysis for the </w:t>
      </w:r>
      <w:r>
        <w:rPr>
          <w:rFonts w:ascii="Arial" w:hAnsi="Arial" w:cs="Arial"/>
        </w:rPr>
        <w:t>o</w:t>
      </w:r>
      <w:r w:rsidR="00346233">
        <w:rPr>
          <w:rFonts w:ascii="Arial" w:hAnsi="Arial" w:cs="Arial"/>
        </w:rPr>
        <w:t>ptimization exercise</w:t>
      </w:r>
      <w:r w:rsidR="002F43BE">
        <w:rPr>
          <w:rFonts w:ascii="Arial" w:hAnsi="Arial" w:cs="Arial"/>
        </w:rPr>
        <w:t xml:space="preserve"> </w:t>
      </w:r>
      <w:r w:rsidR="002A593E">
        <w:rPr>
          <w:rFonts w:ascii="Arial" w:hAnsi="Arial" w:cs="Arial"/>
        </w:rPr>
        <w:t xml:space="preserve">which </w:t>
      </w:r>
      <w:r w:rsidR="00346233">
        <w:rPr>
          <w:rFonts w:ascii="Arial" w:hAnsi="Arial" w:cs="Arial"/>
        </w:rPr>
        <w:t>showed that PrEP targeted at high risk groups would cost USD 10</w:t>
      </w:r>
      <w:r w:rsidR="00032469">
        <w:rPr>
          <w:rFonts w:ascii="Arial" w:hAnsi="Arial" w:cs="Arial"/>
        </w:rPr>
        <w:t>0,000</w:t>
      </w:r>
      <w:r w:rsidR="00346233">
        <w:rPr>
          <w:rFonts w:ascii="Arial" w:hAnsi="Arial" w:cs="Arial"/>
        </w:rPr>
        <w:t xml:space="preserve"> per infection averted.</w:t>
      </w:r>
    </w:p>
    <w:p w14:paraId="554E9F89" w14:textId="77777777" w:rsidR="002F43BE" w:rsidRDefault="002F43BE" w:rsidP="00A7659D">
      <w:pPr>
        <w:spacing w:after="0" w:line="256" w:lineRule="auto"/>
        <w:rPr>
          <w:rFonts w:ascii="Arial" w:hAnsi="Arial" w:cs="Arial"/>
          <w:i/>
          <w:sz w:val="18"/>
        </w:rPr>
      </w:pPr>
    </w:p>
    <w:p w14:paraId="1112489A" w14:textId="77777777" w:rsidR="00CC2044" w:rsidRDefault="00CC2044" w:rsidP="00A7659D">
      <w:pPr>
        <w:spacing w:after="0" w:line="256" w:lineRule="auto"/>
        <w:rPr>
          <w:rFonts w:ascii="Arial" w:hAnsi="Arial" w:cs="Arial"/>
          <w:i/>
          <w:sz w:val="18"/>
        </w:rPr>
      </w:pPr>
    </w:p>
    <w:p w14:paraId="691126E6" w14:textId="77777777" w:rsidR="00CC2044" w:rsidRDefault="00CC2044" w:rsidP="00A7659D">
      <w:pPr>
        <w:spacing w:after="0" w:line="256" w:lineRule="auto"/>
        <w:rPr>
          <w:rFonts w:ascii="Arial" w:hAnsi="Arial" w:cs="Arial"/>
          <w:i/>
          <w:sz w:val="18"/>
        </w:rPr>
      </w:pPr>
    </w:p>
    <w:p w14:paraId="7388FE8D" w14:textId="520E369F" w:rsidR="00F6329B" w:rsidRPr="00CC2044" w:rsidRDefault="008D04B1" w:rsidP="00873E3B">
      <w:pPr>
        <w:spacing w:after="0" w:line="256" w:lineRule="auto"/>
        <w:rPr>
          <w:rFonts w:ascii="Arial" w:hAnsi="Arial" w:cs="Arial"/>
          <w:i/>
          <w:sz w:val="18"/>
        </w:rPr>
      </w:pPr>
      <w:r w:rsidRPr="008D04B1">
        <w:rPr>
          <w:rFonts w:ascii="Arial" w:hAnsi="Arial" w:cs="Arial"/>
          <w:i/>
          <w:sz w:val="18"/>
        </w:rPr>
        <w:t xml:space="preserve">Figure </w:t>
      </w:r>
      <w:r w:rsidR="005C0BFE">
        <w:rPr>
          <w:rFonts w:ascii="Arial" w:hAnsi="Arial" w:cs="Arial"/>
          <w:i/>
          <w:sz w:val="18"/>
        </w:rPr>
        <w:t>8-4</w:t>
      </w:r>
      <w:r w:rsidRPr="008D04B1">
        <w:rPr>
          <w:rFonts w:ascii="Arial" w:hAnsi="Arial" w:cs="Arial"/>
          <w:i/>
          <w:sz w:val="18"/>
        </w:rPr>
        <w:t>.  PrEP Cost per Infection Averted versus Incidence among AGYW by Council</w:t>
      </w:r>
    </w:p>
    <w:p w14:paraId="507243F2" w14:textId="4AA57EB8" w:rsidR="00F6329B" w:rsidRDefault="00F6329B" w:rsidP="00873E3B">
      <w:pPr>
        <w:spacing w:after="0" w:line="256" w:lineRule="auto"/>
        <w:rPr>
          <w:rFonts w:ascii="Arial" w:hAnsi="Arial" w:cs="Arial"/>
        </w:rPr>
      </w:pPr>
      <w:r w:rsidRPr="004C41D2">
        <w:rPr>
          <w:noProof/>
        </w:rPr>
        <w:drawing>
          <wp:inline distT="0" distB="0" distL="0" distR="0" wp14:anchorId="49FB3096" wp14:editId="05EFE948">
            <wp:extent cx="5943600" cy="2279073"/>
            <wp:effectExtent l="0" t="0" r="0" b="6985"/>
            <wp:docPr id="112" name="Chart 112">
              <a:extLst xmlns:a="http://schemas.openxmlformats.org/drawingml/2006/main">
                <a:ext uri="{FF2B5EF4-FFF2-40B4-BE49-F238E27FC236}">
                  <a16:creationId xmlns:a16="http://schemas.microsoft.com/office/drawing/2014/main" id="{59652263-EB6E-4837-B75E-60F97F68E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5CEBA57" w14:textId="76CF706C" w:rsidR="00873E3B" w:rsidRDefault="00873E3B" w:rsidP="00873E3B">
      <w:pPr>
        <w:spacing w:after="0" w:line="256" w:lineRule="auto"/>
        <w:rPr>
          <w:rFonts w:ascii="Arial" w:hAnsi="Arial" w:cs="Arial"/>
        </w:rPr>
      </w:pPr>
    </w:p>
    <w:p w14:paraId="7F418DDE" w14:textId="75E26722" w:rsidR="00761EDA" w:rsidRDefault="002A36BE" w:rsidP="001A2CAA">
      <w:pPr>
        <w:spacing w:after="0" w:line="256" w:lineRule="auto"/>
        <w:rPr>
          <w:rFonts w:ascii="Arial" w:hAnsi="Arial" w:cs="Arial"/>
        </w:rPr>
      </w:pPr>
      <w:r>
        <w:rPr>
          <w:rFonts w:ascii="Arial" w:hAnsi="Arial" w:cs="Arial"/>
        </w:rPr>
        <w:t>Research findings are</w:t>
      </w:r>
      <w:r w:rsidR="00873E3B" w:rsidRPr="00873E3B">
        <w:rPr>
          <w:rFonts w:ascii="Arial" w:hAnsi="Arial" w:cs="Arial"/>
        </w:rPr>
        <w:t xml:space="preserve"> mixed on the </w:t>
      </w:r>
      <w:r w:rsidR="005C0BFE">
        <w:rPr>
          <w:rFonts w:ascii="Arial" w:hAnsi="Arial" w:cs="Arial"/>
        </w:rPr>
        <w:t>HIV-</w:t>
      </w:r>
      <w:r w:rsidR="00873E3B" w:rsidRPr="00873E3B">
        <w:rPr>
          <w:rFonts w:ascii="Arial" w:hAnsi="Arial" w:cs="Arial"/>
        </w:rPr>
        <w:t>effects of cash transfers</w:t>
      </w:r>
      <w:r w:rsidR="00873E3B">
        <w:rPr>
          <w:rFonts w:ascii="Arial" w:hAnsi="Arial" w:cs="Arial"/>
        </w:rPr>
        <w:t>,</w:t>
      </w:r>
      <w:r w:rsidR="00761EDA">
        <w:rPr>
          <w:rFonts w:ascii="Arial" w:hAnsi="Arial" w:cs="Arial"/>
        </w:rPr>
        <w:t xml:space="preserve"> and particularly for the direct HIV impacts.</w:t>
      </w:r>
      <w:r w:rsidR="00873E3B">
        <w:rPr>
          <w:rFonts w:ascii="Arial" w:hAnsi="Arial" w:cs="Arial"/>
        </w:rPr>
        <w:t xml:space="preserve"> </w:t>
      </w:r>
      <w:r w:rsidR="00761EDA">
        <w:rPr>
          <w:rFonts w:ascii="Arial" w:hAnsi="Arial" w:cs="Arial"/>
        </w:rPr>
        <w:t>T</w:t>
      </w:r>
      <w:r w:rsidR="00873E3B" w:rsidRPr="00873E3B">
        <w:rPr>
          <w:rFonts w:ascii="Arial" w:hAnsi="Arial" w:cs="Arial"/>
        </w:rPr>
        <w:t xml:space="preserve">he strongest effect </w:t>
      </w:r>
      <w:r w:rsidR="00873E3B">
        <w:rPr>
          <w:rFonts w:ascii="Arial" w:hAnsi="Arial" w:cs="Arial"/>
        </w:rPr>
        <w:t>is seen</w:t>
      </w:r>
      <w:r w:rsidR="00873E3B" w:rsidRPr="00873E3B">
        <w:rPr>
          <w:rFonts w:ascii="Arial" w:hAnsi="Arial" w:cs="Arial"/>
        </w:rPr>
        <w:t xml:space="preserve"> on age at sexual debut (Stoner, 2019)</w:t>
      </w:r>
      <w:r w:rsidR="00873E3B">
        <w:rPr>
          <w:rFonts w:ascii="Arial" w:hAnsi="Arial" w:cs="Arial"/>
        </w:rPr>
        <w:t>.</w:t>
      </w:r>
      <w:r w:rsidR="00873E3B">
        <w:rPr>
          <w:rStyle w:val="FootnoteReference"/>
          <w:rFonts w:ascii="Arial" w:hAnsi="Arial" w:cs="Arial"/>
        </w:rPr>
        <w:footnoteReference w:id="5"/>
      </w:r>
      <w:r w:rsidR="00873E3B">
        <w:rPr>
          <w:rFonts w:ascii="Arial" w:hAnsi="Arial" w:cs="Arial"/>
        </w:rPr>
        <w:t xml:space="preserve"> </w:t>
      </w:r>
      <w:r w:rsidR="00346233">
        <w:rPr>
          <w:rFonts w:ascii="Arial" w:hAnsi="Arial" w:cs="Arial"/>
        </w:rPr>
        <w:t>A</w:t>
      </w:r>
      <w:r w:rsidR="00873E3B" w:rsidRPr="00873E3B">
        <w:rPr>
          <w:rFonts w:ascii="Arial" w:hAnsi="Arial" w:cs="Arial"/>
        </w:rPr>
        <w:t xml:space="preserve"> </w:t>
      </w:r>
      <w:r w:rsidR="00346233">
        <w:rPr>
          <w:rFonts w:ascii="Arial" w:hAnsi="Arial" w:cs="Arial"/>
        </w:rPr>
        <w:t xml:space="preserve">national </w:t>
      </w:r>
      <w:r w:rsidR="00873E3B">
        <w:rPr>
          <w:rFonts w:ascii="Arial" w:hAnsi="Arial" w:cs="Arial"/>
        </w:rPr>
        <w:t>cash transfer</w:t>
      </w:r>
      <w:r w:rsidR="00873E3B" w:rsidRPr="00873E3B">
        <w:rPr>
          <w:rFonts w:ascii="Arial" w:hAnsi="Arial" w:cs="Arial"/>
        </w:rPr>
        <w:t xml:space="preserve"> program </w:t>
      </w:r>
      <w:r w:rsidR="00873E3B">
        <w:rPr>
          <w:rFonts w:ascii="Arial" w:hAnsi="Arial" w:cs="Arial"/>
        </w:rPr>
        <w:t xml:space="preserve">that cost USD 158 per person-year and </w:t>
      </w:r>
      <w:r w:rsidR="00873E3B" w:rsidRPr="00873E3B">
        <w:rPr>
          <w:rFonts w:ascii="Arial" w:hAnsi="Arial" w:cs="Arial"/>
        </w:rPr>
        <w:t>raised age at sexual debut by 1 year (optimistic) would avert 9</w:t>
      </w:r>
      <w:r w:rsidR="00873E3B">
        <w:rPr>
          <w:rFonts w:ascii="Arial" w:hAnsi="Arial" w:cs="Arial"/>
        </w:rPr>
        <w:t>,</w:t>
      </w:r>
      <w:r w:rsidR="00873E3B" w:rsidRPr="00873E3B">
        <w:rPr>
          <w:rFonts w:ascii="Arial" w:hAnsi="Arial" w:cs="Arial"/>
        </w:rPr>
        <w:t>500 new infections at a</w:t>
      </w:r>
      <w:r w:rsidR="00873E3B">
        <w:rPr>
          <w:rFonts w:ascii="Arial" w:hAnsi="Arial" w:cs="Arial"/>
        </w:rPr>
        <w:t xml:space="preserve"> total</w:t>
      </w:r>
      <w:r w:rsidR="00873E3B" w:rsidRPr="00873E3B">
        <w:rPr>
          <w:rFonts w:ascii="Arial" w:hAnsi="Arial" w:cs="Arial"/>
        </w:rPr>
        <w:t xml:space="preserve"> cost of </w:t>
      </w:r>
      <w:r w:rsidR="00873E3B">
        <w:rPr>
          <w:rFonts w:ascii="Arial" w:hAnsi="Arial" w:cs="Arial"/>
        </w:rPr>
        <w:t xml:space="preserve">USD </w:t>
      </w:r>
      <w:r w:rsidR="00873E3B" w:rsidRPr="00873E3B">
        <w:rPr>
          <w:rFonts w:ascii="Arial" w:hAnsi="Arial" w:cs="Arial"/>
        </w:rPr>
        <w:t>500</w:t>
      </w:r>
      <w:r w:rsidR="00873E3B">
        <w:rPr>
          <w:rFonts w:ascii="Arial" w:hAnsi="Arial" w:cs="Arial"/>
        </w:rPr>
        <w:t xml:space="preserve"> </w:t>
      </w:r>
      <w:r w:rsidR="00873E3B" w:rsidRPr="00873E3B">
        <w:rPr>
          <w:rFonts w:ascii="Arial" w:hAnsi="Arial" w:cs="Arial"/>
        </w:rPr>
        <w:t>M</w:t>
      </w:r>
      <w:r w:rsidR="00873E3B">
        <w:rPr>
          <w:rFonts w:ascii="Arial" w:hAnsi="Arial" w:cs="Arial"/>
        </w:rPr>
        <w:t>,</w:t>
      </w:r>
      <w:r>
        <w:rPr>
          <w:rFonts w:ascii="Arial" w:hAnsi="Arial" w:cs="Arial"/>
        </w:rPr>
        <w:t xml:space="preserve"> or</w:t>
      </w:r>
      <w:r w:rsidR="00873E3B">
        <w:rPr>
          <w:rFonts w:ascii="Arial" w:hAnsi="Arial" w:cs="Arial"/>
        </w:rPr>
        <w:t xml:space="preserve"> </w:t>
      </w:r>
      <w:r w:rsidR="000807B2">
        <w:rPr>
          <w:rFonts w:ascii="Arial" w:hAnsi="Arial" w:cs="Arial"/>
        </w:rPr>
        <w:t xml:space="preserve">USD </w:t>
      </w:r>
      <w:r w:rsidR="00873E3B" w:rsidRPr="00873E3B">
        <w:rPr>
          <w:rFonts w:ascii="Arial" w:hAnsi="Arial" w:cs="Arial"/>
        </w:rPr>
        <w:t>50,000</w:t>
      </w:r>
      <w:r w:rsidR="00873E3B">
        <w:rPr>
          <w:rFonts w:ascii="Arial" w:hAnsi="Arial" w:cs="Arial"/>
        </w:rPr>
        <w:t xml:space="preserve"> per infection averted. </w:t>
      </w:r>
      <w:r w:rsidR="00346233">
        <w:rPr>
          <w:rFonts w:ascii="Arial" w:hAnsi="Arial" w:cs="Arial"/>
        </w:rPr>
        <w:t xml:space="preserve"> The more conservative assumptions used in the Goals model in this exercise suggested that a cash transfer program would cost </w:t>
      </w:r>
      <w:r>
        <w:rPr>
          <w:rFonts w:ascii="Arial" w:hAnsi="Arial" w:cs="Arial"/>
        </w:rPr>
        <w:t xml:space="preserve">USD </w:t>
      </w:r>
      <w:r w:rsidR="00346233">
        <w:rPr>
          <w:rFonts w:ascii="Arial" w:hAnsi="Arial" w:cs="Arial"/>
        </w:rPr>
        <w:t>1.54 M per infection averted.</w:t>
      </w:r>
      <w:r w:rsidR="00761EDA">
        <w:rPr>
          <w:rFonts w:ascii="Arial" w:hAnsi="Arial" w:cs="Arial"/>
        </w:rPr>
        <w:t xml:space="preserve"> </w:t>
      </w:r>
      <w:r w:rsidR="005C0BFE">
        <w:rPr>
          <w:rFonts w:ascii="Arial" w:hAnsi="Arial" w:cs="Arial"/>
        </w:rPr>
        <w:t>Unfortunately, t</w:t>
      </w:r>
      <w:r w:rsidR="00761EDA">
        <w:rPr>
          <w:rFonts w:ascii="Arial" w:hAnsi="Arial" w:cs="Arial"/>
        </w:rPr>
        <w:t xml:space="preserve">he indirect benefits of these programs </w:t>
      </w:r>
      <w:r>
        <w:rPr>
          <w:rFonts w:ascii="Arial" w:hAnsi="Arial" w:cs="Arial"/>
        </w:rPr>
        <w:t xml:space="preserve">(such as female empowerment) </w:t>
      </w:r>
      <w:r w:rsidR="00761EDA">
        <w:rPr>
          <w:rFonts w:ascii="Arial" w:hAnsi="Arial" w:cs="Arial"/>
        </w:rPr>
        <w:t>have not been fully quantified</w:t>
      </w:r>
      <w:r w:rsidR="005C0BFE">
        <w:rPr>
          <w:rFonts w:ascii="Arial" w:hAnsi="Arial" w:cs="Arial"/>
        </w:rPr>
        <w:t xml:space="preserve"> and cannot be captured in a rigorous optimization exercise.</w:t>
      </w:r>
    </w:p>
    <w:p w14:paraId="688856BE" w14:textId="77777777" w:rsidR="001A2CAA" w:rsidRDefault="001A2CAA" w:rsidP="001A2CAA">
      <w:pPr>
        <w:spacing w:after="0" w:line="256" w:lineRule="auto"/>
        <w:rPr>
          <w:rFonts w:ascii="Arial" w:hAnsi="Arial" w:cs="Arial"/>
        </w:rPr>
      </w:pPr>
    </w:p>
    <w:p w14:paraId="6C6BFA5E" w14:textId="0106737F" w:rsidR="00945F3C" w:rsidRPr="00A7659D" w:rsidRDefault="00A7659D" w:rsidP="00A7659D">
      <w:pPr>
        <w:pStyle w:val="Heading2"/>
        <w:rPr>
          <w:rFonts w:ascii="Arial" w:hAnsi="Arial" w:cs="Arial"/>
          <w:b/>
          <w:bCs/>
          <w:color w:val="000000" w:themeColor="text1"/>
        </w:rPr>
      </w:pPr>
      <w:bookmarkStart w:id="125" w:name="_Toc57035219"/>
      <w:r w:rsidRPr="00A7659D">
        <w:rPr>
          <w:rFonts w:ascii="Arial" w:hAnsi="Arial" w:cs="Arial"/>
          <w:b/>
          <w:bCs/>
          <w:color w:val="000000" w:themeColor="text1"/>
        </w:rPr>
        <w:t>Target</w:t>
      </w:r>
      <w:r w:rsidR="00714721">
        <w:rPr>
          <w:rFonts w:ascii="Arial" w:hAnsi="Arial" w:cs="Arial"/>
          <w:b/>
          <w:bCs/>
          <w:color w:val="000000" w:themeColor="text1"/>
        </w:rPr>
        <w:t>ing the highest incidence districts</w:t>
      </w:r>
      <w:bookmarkEnd w:id="125"/>
    </w:p>
    <w:p w14:paraId="2AE7BCF7" w14:textId="17491C16" w:rsidR="00761EDA" w:rsidRDefault="00761EDA" w:rsidP="001A2CAA">
      <w:pPr>
        <w:spacing w:after="0"/>
      </w:pPr>
    </w:p>
    <w:p w14:paraId="62909AE7" w14:textId="35DB9DED" w:rsidR="004C5976" w:rsidRDefault="00761EDA" w:rsidP="001A2CAA">
      <w:pPr>
        <w:spacing w:after="0" w:line="256" w:lineRule="auto"/>
        <w:rPr>
          <w:rFonts w:ascii="Arial" w:hAnsi="Arial" w:cs="Arial"/>
        </w:rPr>
      </w:pPr>
      <w:r>
        <w:rPr>
          <w:rFonts w:ascii="Arial" w:hAnsi="Arial" w:cs="Arial"/>
        </w:rPr>
        <w:t>Despite the</w:t>
      </w:r>
      <w:r w:rsidR="00F6329B">
        <w:rPr>
          <w:rFonts w:ascii="Arial" w:hAnsi="Arial" w:cs="Arial"/>
        </w:rPr>
        <w:t xml:space="preserve"> poor cost-effectiveness outcomes</w:t>
      </w:r>
      <w:r>
        <w:rPr>
          <w:rFonts w:ascii="Arial" w:hAnsi="Arial" w:cs="Arial"/>
        </w:rPr>
        <w:t xml:space="preserve">, the structural impacts of the AGYW bundle of interventions </w:t>
      </w:r>
      <w:r w:rsidR="00F6329B">
        <w:rPr>
          <w:rFonts w:ascii="Arial" w:hAnsi="Arial" w:cs="Arial"/>
        </w:rPr>
        <w:t xml:space="preserve">should not be ignored. To fully address high incidence among AGYW, </w:t>
      </w:r>
      <w:r w:rsidR="002A36BE">
        <w:rPr>
          <w:rFonts w:ascii="Arial" w:hAnsi="Arial" w:cs="Arial"/>
        </w:rPr>
        <w:t>this multi-dimensional approach needs to be implemented.</w:t>
      </w:r>
    </w:p>
    <w:p w14:paraId="0FEE0443" w14:textId="77777777" w:rsidR="0027110B" w:rsidRPr="00F6329B" w:rsidRDefault="0027110B" w:rsidP="001A2CAA">
      <w:pPr>
        <w:spacing w:after="0" w:line="256" w:lineRule="auto"/>
        <w:rPr>
          <w:rFonts w:ascii="Arial" w:hAnsi="Arial" w:cs="Arial"/>
        </w:rPr>
      </w:pPr>
    </w:p>
    <w:p w14:paraId="38A0634D" w14:textId="3AD2AFDE" w:rsidR="004C5976" w:rsidRPr="005C0BFE" w:rsidRDefault="00F6329B" w:rsidP="004C5976">
      <w:pPr>
        <w:rPr>
          <w:rFonts w:ascii="Arial" w:hAnsi="Arial" w:cs="Arial"/>
        </w:rPr>
      </w:pPr>
      <w:r>
        <w:rPr>
          <w:rFonts w:ascii="Arial" w:hAnsi="Arial" w:cs="Arial"/>
          <w:color w:val="222222"/>
          <w:shd w:val="clear" w:color="auto" w:fill="FFFFFF"/>
        </w:rPr>
        <w:t xml:space="preserve">One way to lower the costs of these interventions is to target based on geography. </w:t>
      </w:r>
      <w:bookmarkStart w:id="126" w:name="_Hlk11356894"/>
      <w:r w:rsidR="00761EDA">
        <w:rPr>
          <w:rFonts w:ascii="Arial" w:hAnsi="Arial" w:cs="Arial"/>
          <w:color w:val="222222"/>
          <w:shd w:val="clear" w:color="auto" w:fill="FFFFFF"/>
        </w:rPr>
        <w:t xml:space="preserve">UNAIDS defines three risk categories for most AGYW programs, incidence &gt;3%, 0.3%-3%, &lt;0.3%. </w:t>
      </w:r>
      <w:r>
        <w:rPr>
          <w:rFonts w:ascii="Arial" w:hAnsi="Arial" w:cs="Arial"/>
        </w:rPr>
        <w:t>In Tanzania, no districts meet the high incidence threshold (&gt;3% incidence) while 100 districts are classified as medium incidence and 94 as low incidence</w:t>
      </w:r>
      <w:r w:rsidR="002A36BE">
        <w:rPr>
          <w:rFonts w:ascii="Arial" w:hAnsi="Arial" w:cs="Arial"/>
        </w:rPr>
        <w:t xml:space="preserve"> districts</w:t>
      </w:r>
      <w:r>
        <w:rPr>
          <w:rFonts w:ascii="Arial" w:hAnsi="Arial" w:cs="Arial"/>
        </w:rPr>
        <w:t>. About 37% of AGYW live in medium incidence districts and 63% live in low incidence.</w:t>
      </w:r>
      <w:r w:rsidR="005C0BFE">
        <w:rPr>
          <w:rFonts w:ascii="Arial" w:hAnsi="Arial" w:cs="Arial"/>
        </w:rPr>
        <w:t xml:space="preserve"> </w:t>
      </w:r>
      <w:r w:rsidR="005C0BFE" w:rsidRPr="00585A95">
        <w:rPr>
          <w:rFonts w:ascii="Arial" w:hAnsi="Arial" w:cs="Arial"/>
          <w:i/>
          <w:color w:val="222222"/>
          <w:shd w:val="clear" w:color="auto" w:fill="FFFFFF"/>
        </w:rPr>
        <w:t>Figure 8-5</w:t>
      </w:r>
      <w:r w:rsidR="005C0BFE">
        <w:rPr>
          <w:rFonts w:ascii="Arial" w:hAnsi="Arial" w:cs="Arial"/>
          <w:color w:val="222222"/>
          <w:shd w:val="clear" w:color="auto" w:fill="FFFFFF"/>
        </w:rPr>
        <w:t xml:space="preserve"> </w:t>
      </w:r>
      <w:r>
        <w:rPr>
          <w:rFonts w:ascii="Arial" w:hAnsi="Arial" w:cs="Arial"/>
          <w:color w:val="222222"/>
          <w:shd w:val="clear" w:color="auto" w:fill="FFFFFF"/>
        </w:rPr>
        <w:t xml:space="preserve">shows the suggested targets for key AGYW interventions in high, medium, and low incidence districts. </w:t>
      </w:r>
      <w:r w:rsidR="00761EDA">
        <w:rPr>
          <w:rFonts w:ascii="Arial" w:hAnsi="Arial" w:cs="Arial"/>
          <w:color w:val="222222"/>
          <w:shd w:val="clear" w:color="auto" w:fill="FFFFFF"/>
        </w:rPr>
        <w:t xml:space="preserve">The condom and PrEP programs are targeted just to those AGYW with non-regular partners, but sexuality education and </w:t>
      </w:r>
      <w:r>
        <w:rPr>
          <w:rFonts w:ascii="Arial" w:hAnsi="Arial" w:cs="Arial"/>
          <w:color w:val="222222"/>
          <w:shd w:val="clear" w:color="auto" w:fill="FFFFFF"/>
        </w:rPr>
        <w:t>cash transfers</w:t>
      </w:r>
      <w:r w:rsidR="00761EDA">
        <w:rPr>
          <w:rFonts w:ascii="Arial" w:hAnsi="Arial" w:cs="Arial"/>
          <w:color w:val="222222"/>
          <w:shd w:val="clear" w:color="auto" w:fill="FFFFFF"/>
        </w:rPr>
        <w:t xml:space="preserve"> </w:t>
      </w:r>
      <w:r w:rsidR="002A36BE">
        <w:rPr>
          <w:rFonts w:ascii="Arial" w:hAnsi="Arial" w:cs="Arial"/>
          <w:color w:val="222222"/>
          <w:shd w:val="clear" w:color="auto" w:fill="FFFFFF"/>
        </w:rPr>
        <w:t>are</w:t>
      </w:r>
      <w:r>
        <w:rPr>
          <w:rFonts w:ascii="Arial" w:hAnsi="Arial" w:cs="Arial"/>
          <w:color w:val="222222"/>
          <w:shd w:val="clear" w:color="auto" w:fill="FFFFFF"/>
        </w:rPr>
        <w:t xml:space="preserve"> delivered to</w:t>
      </w:r>
      <w:r w:rsidR="00761EDA">
        <w:rPr>
          <w:rFonts w:ascii="Arial" w:hAnsi="Arial" w:cs="Arial"/>
          <w:color w:val="222222"/>
          <w:shd w:val="clear" w:color="auto" w:fill="FFFFFF"/>
        </w:rPr>
        <w:t xml:space="preserve"> </w:t>
      </w:r>
      <w:r>
        <w:rPr>
          <w:rFonts w:ascii="Arial" w:hAnsi="Arial" w:cs="Arial"/>
          <w:color w:val="222222"/>
          <w:shd w:val="clear" w:color="auto" w:fill="FFFFFF"/>
        </w:rPr>
        <w:t xml:space="preserve">all </w:t>
      </w:r>
      <w:r w:rsidR="00761EDA">
        <w:rPr>
          <w:rFonts w:ascii="Arial" w:hAnsi="Arial" w:cs="Arial"/>
          <w:color w:val="222222"/>
          <w:shd w:val="clear" w:color="auto" w:fill="FFFFFF"/>
        </w:rPr>
        <w:t>AGYW in the district.</w:t>
      </w:r>
    </w:p>
    <w:p w14:paraId="58CAF3C7" w14:textId="77777777" w:rsidR="00D04C2B" w:rsidRDefault="00D04C2B" w:rsidP="004C5976">
      <w:pPr>
        <w:rPr>
          <w:rFonts w:ascii="Arial" w:hAnsi="Arial" w:cs="Arial"/>
          <w:i/>
          <w:color w:val="222222"/>
          <w:sz w:val="18"/>
          <w:shd w:val="clear" w:color="auto" w:fill="FFFFFF"/>
        </w:rPr>
      </w:pPr>
    </w:p>
    <w:p w14:paraId="458F2EEA" w14:textId="06524F47" w:rsidR="00CC2044" w:rsidRDefault="00CC2044">
      <w:pPr>
        <w:rPr>
          <w:rFonts w:ascii="Arial" w:hAnsi="Arial" w:cs="Arial"/>
          <w:i/>
          <w:color w:val="222222"/>
          <w:sz w:val="18"/>
          <w:shd w:val="clear" w:color="auto" w:fill="FFFFFF"/>
        </w:rPr>
      </w:pPr>
      <w:r>
        <w:rPr>
          <w:rFonts w:ascii="Arial" w:hAnsi="Arial" w:cs="Arial"/>
          <w:i/>
          <w:color w:val="222222"/>
          <w:sz w:val="18"/>
          <w:shd w:val="clear" w:color="auto" w:fill="FFFFFF"/>
        </w:rPr>
        <w:br w:type="page"/>
      </w:r>
    </w:p>
    <w:p w14:paraId="1EB7FE48" w14:textId="77777777" w:rsidR="00D04C2B" w:rsidRDefault="00D04C2B" w:rsidP="004C5976">
      <w:pPr>
        <w:rPr>
          <w:rFonts w:ascii="Arial" w:hAnsi="Arial" w:cs="Arial"/>
          <w:i/>
          <w:color w:val="222222"/>
          <w:sz w:val="18"/>
          <w:shd w:val="clear" w:color="auto" w:fill="FFFFFF"/>
        </w:rPr>
      </w:pPr>
    </w:p>
    <w:p w14:paraId="62BD7A43" w14:textId="374AA455" w:rsidR="00C342C2" w:rsidRPr="00C342C2" w:rsidRDefault="00C342C2" w:rsidP="00444084">
      <w:pPr>
        <w:spacing w:after="0"/>
        <w:rPr>
          <w:rFonts w:ascii="Arial" w:hAnsi="Arial" w:cs="Arial"/>
          <w:i/>
          <w:sz w:val="18"/>
        </w:rPr>
      </w:pPr>
      <w:r>
        <w:rPr>
          <w:rFonts w:ascii="Arial" w:hAnsi="Arial" w:cs="Arial"/>
          <w:i/>
          <w:color w:val="222222"/>
          <w:sz w:val="18"/>
          <w:shd w:val="clear" w:color="auto" w:fill="FFFFFF"/>
        </w:rPr>
        <w:t>Figure</w:t>
      </w:r>
      <w:r w:rsidRPr="00C342C2">
        <w:rPr>
          <w:rFonts w:ascii="Arial" w:hAnsi="Arial" w:cs="Arial"/>
          <w:i/>
          <w:color w:val="222222"/>
          <w:sz w:val="18"/>
          <w:shd w:val="clear" w:color="auto" w:fill="FFFFFF"/>
        </w:rPr>
        <w:t xml:space="preserve"> </w:t>
      </w:r>
      <w:r w:rsidR="005C0BFE">
        <w:rPr>
          <w:rFonts w:ascii="Arial" w:hAnsi="Arial" w:cs="Arial"/>
          <w:i/>
          <w:color w:val="222222"/>
          <w:sz w:val="18"/>
          <w:shd w:val="clear" w:color="auto" w:fill="FFFFFF"/>
        </w:rPr>
        <w:t xml:space="preserve">8-5. </w:t>
      </w:r>
      <w:r w:rsidRPr="00C342C2">
        <w:rPr>
          <w:rFonts w:ascii="Arial" w:hAnsi="Arial" w:cs="Arial"/>
          <w:i/>
          <w:color w:val="222222"/>
          <w:sz w:val="18"/>
          <w:shd w:val="clear" w:color="auto" w:fill="FFFFFF"/>
        </w:rPr>
        <w:t>Targets for AGYW program scale-up</w:t>
      </w: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77"/>
        <w:gridCol w:w="1305"/>
        <w:gridCol w:w="1823"/>
        <w:gridCol w:w="2075"/>
        <w:gridCol w:w="1768"/>
      </w:tblGrid>
      <w:tr w:rsidR="004C5976" w:rsidRPr="00C342C2" w14:paraId="4E337FB1" w14:textId="77777777" w:rsidTr="00276364">
        <w:trPr>
          <w:trHeight w:val="121"/>
        </w:trPr>
        <w:tc>
          <w:tcPr>
            <w:tcW w:w="0" w:type="auto"/>
            <w:shd w:val="clear" w:color="auto" w:fill="C00000"/>
            <w:tcMar>
              <w:top w:w="72" w:type="dxa"/>
              <w:left w:w="144" w:type="dxa"/>
              <w:bottom w:w="72" w:type="dxa"/>
              <w:right w:w="144" w:type="dxa"/>
            </w:tcMar>
            <w:hideMark/>
          </w:tcPr>
          <w:p w14:paraId="7C0E4E38" w14:textId="77777777" w:rsidR="004C5976" w:rsidRPr="00C342C2" w:rsidRDefault="004C5976" w:rsidP="00074CE0">
            <w:pPr>
              <w:spacing w:after="0"/>
              <w:rPr>
                <w:rFonts w:ascii="Arial" w:hAnsi="Arial" w:cs="Arial"/>
                <w:sz w:val="16"/>
              </w:rPr>
            </w:pPr>
            <w:r w:rsidRPr="00C342C2">
              <w:rPr>
                <w:rFonts w:ascii="Arial" w:hAnsi="Arial" w:cs="Arial"/>
                <w:b/>
                <w:bCs/>
                <w:sz w:val="16"/>
              </w:rPr>
              <w:t>Intervention</w:t>
            </w:r>
          </w:p>
        </w:tc>
        <w:tc>
          <w:tcPr>
            <w:tcW w:w="1305" w:type="dxa"/>
            <w:shd w:val="clear" w:color="auto" w:fill="C00000"/>
            <w:tcMar>
              <w:top w:w="72" w:type="dxa"/>
              <w:left w:w="144" w:type="dxa"/>
              <w:bottom w:w="72" w:type="dxa"/>
              <w:right w:w="144" w:type="dxa"/>
            </w:tcMar>
            <w:hideMark/>
          </w:tcPr>
          <w:p w14:paraId="4BDBC4F6" w14:textId="77777777" w:rsidR="004C5976" w:rsidRPr="00C342C2" w:rsidRDefault="004C5976" w:rsidP="00074CE0">
            <w:pPr>
              <w:spacing w:after="0"/>
              <w:rPr>
                <w:rFonts w:ascii="Arial" w:hAnsi="Arial" w:cs="Arial"/>
                <w:sz w:val="16"/>
              </w:rPr>
            </w:pPr>
            <w:r w:rsidRPr="00C342C2">
              <w:rPr>
                <w:rFonts w:ascii="Arial" w:hAnsi="Arial" w:cs="Arial"/>
                <w:b/>
                <w:bCs/>
                <w:sz w:val="16"/>
              </w:rPr>
              <w:t>Target Population*</w:t>
            </w:r>
          </w:p>
        </w:tc>
        <w:tc>
          <w:tcPr>
            <w:tcW w:w="1823" w:type="dxa"/>
            <w:shd w:val="clear" w:color="auto" w:fill="C00000"/>
            <w:tcMar>
              <w:top w:w="72" w:type="dxa"/>
              <w:left w:w="144" w:type="dxa"/>
              <w:bottom w:w="72" w:type="dxa"/>
              <w:right w:w="144" w:type="dxa"/>
            </w:tcMar>
            <w:hideMark/>
          </w:tcPr>
          <w:p w14:paraId="491FECB4" w14:textId="77777777" w:rsidR="004C5976" w:rsidRPr="00C342C2" w:rsidRDefault="004C5976" w:rsidP="00074CE0">
            <w:pPr>
              <w:spacing w:after="0"/>
              <w:rPr>
                <w:rFonts w:ascii="Arial" w:hAnsi="Arial" w:cs="Arial"/>
                <w:sz w:val="16"/>
              </w:rPr>
            </w:pPr>
            <w:r w:rsidRPr="00C342C2">
              <w:rPr>
                <w:rFonts w:ascii="Arial" w:hAnsi="Arial" w:cs="Arial"/>
                <w:b/>
                <w:bCs/>
                <w:sz w:val="16"/>
              </w:rPr>
              <w:t>High incidence districts (&gt;3%)</w:t>
            </w:r>
          </w:p>
        </w:tc>
        <w:tc>
          <w:tcPr>
            <w:tcW w:w="2075" w:type="dxa"/>
            <w:shd w:val="clear" w:color="auto" w:fill="C00000"/>
            <w:tcMar>
              <w:top w:w="72" w:type="dxa"/>
              <w:left w:w="144" w:type="dxa"/>
              <w:bottom w:w="72" w:type="dxa"/>
              <w:right w:w="144" w:type="dxa"/>
            </w:tcMar>
            <w:hideMark/>
          </w:tcPr>
          <w:p w14:paraId="68C89F56" w14:textId="77777777" w:rsidR="004C5976" w:rsidRPr="00C342C2" w:rsidRDefault="004C5976" w:rsidP="00074CE0">
            <w:pPr>
              <w:spacing w:after="0"/>
              <w:rPr>
                <w:rFonts w:ascii="Arial" w:hAnsi="Arial" w:cs="Arial"/>
                <w:b/>
                <w:bCs/>
                <w:sz w:val="16"/>
              </w:rPr>
            </w:pPr>
            <w:r w:rsidRPr="00C342C2">
              <w:rPr>
                <w:rFonts w:ascii="Arial" w:hAnsi="Arial" w:cs="Arial"/>
                <w:b/>
                <w:bCs/>
                <w:sz w:val="16"/>
              </w:rPr>
              <w:t>Medium incidence districts (0.3%-3.0%)</w:t>
            </w:r>
          </w:p>
        </w:tc>
        <w:tc>
          <w:tcPr>
            <w:tcW w:w="1768" w:type="dxa"/>
            <w:shd w:val="clear" w:color="auto" w:fill="C00000"/>
            <w:tcMar>
              <w:top w:w="72" w:type="dxa"/>
              <w:left w:w="144" w:type="dxa"/>
              <w:bottom w:w="72" w:type="dxa"/>
              <w:right w:w="144" w:type="dxa"/>
            </w:tcMar>
            <w:hideMark/>
          </w:tcPr>
          <w:p w14:paraId="7395A04C" w14:textId="77777777" w:rsidR="004C5976" w:rsidRPr="00C342C2" w:rsidRDefault="004C5976" w:rsidP="00074CE0">
            <w:pPr>
              <w:spacing w:after="0"/>
              <w:rPr>
                <w:rFonts w:ascii="Arial" w:hAnsi="Arial" w:cs="Arial"/>
                <w:sz w:val="16"/>
              </w:rPr>
            </w:pPr>
            <w:r w:rsidRPr="00C342C2">
              <w:rPr>
                <w:rFonts w:ascii="Arial" w:hAnsi="Arial" w:cs="Arial"/>
                <w:b/>
                <w:bCs/>
                <w:sz w:val="16"/>
              </w:rPr>
              <w:t>Low incidence districts (&lt;0.3%)</w:t>
            </w:r>
          </w:p>
        </w:tc>
      </w:tr>
      <w:tr w:rsidR="004C5976" w:rsidRPr="00C342C2" w14:paraId="61D508F4" w14:textId="77777777" w:rsidTr="00276364">
        <w:trPr>
          <w:trHeight w:val="121"/>
        </w:trPr>
        <w:tc>
          <w:tcPr>
            <w:tcW w:w="0" w:type="auto"/>
            <w:shd w:val="clear" w:color="auto" w:fill="FFFFFF" w:themeFill="background1"/>
            <w:tcMar>
              <w:top w:w="72" w:type="dxa"/>
              <w:left w:w="144" w:type="dxa"/>
              <w:bottom w:w="72" w:type="dxa"/>
              <w:right w:w="144" w:type="dxa"/>
            </w:tcMar>
            <w:hideMark/>
          </w:tcPr>
          <w:p w14:paraId="28B67B59"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Condom use</w:t>
            </w:r>
          </w:p>
        </w:tc>
        <w:tc>
          <w:tcPr>
            <w:tcW w:w="1305" w:type="dxa"/>
            <w:shd w:val="clear" w:color="auto" w:fill="FFFFFF" w:themeFill="background1"/>
            <w:tcMar>
              <w:top w:w="72" w:type="dxa"/>
              <w:left w:w="144" w:type="dxa"/>
              <w:bottom w:w="72" w:type="dxa"/>
              <w:right w:w="144" w:type="dxa"/>
            </w:tcMar>
            <w:hideMark/>
          </w:tcPr>
          <w:p w14:paraId="7BA6DB32"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Sexually active</w:t>
            </w:r>
          </w:p>
        </w:tc>
        <w:tc>
          <w:tcPr>
            <w:tcW w:w="1823" w:type="dxa"/>
            <w:shd w:val="clear" w:color="auto" w:fill="FFFFFF" w:themeFill="background1"/>
            <w:tcMar>
              <w:top w:w="72" w:type="dxa"/>
              <w:left w:w="144" w:type="dxa"/>
              <w:bottom w:w="72" w:type="dxa"/>
              <w:right w:w="144" w:type="dxa"/>
            </w:tcMar>
            <w:hideMark/>
          </w:tcPr>
          <w:p w14:paraId="4B341383"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c>
          <w:tcPr>
            <w:tcW w:w="2075" w:type="dxa"/>
            <w:shd w:val="clear" w:color="auto" w:fill="FFFFFF" w:themeFill="background1"/>
            <w:tcMar>
              <w:top w:w="72" w:type="dxa"/>
              <w:left w:w="144" w:type="dxa"/>
              <w:bottom w:w="72" w:type="dxa"/>
              <w:right w:w="144" w:type="dxa"/>
            </w:tcMar>
            <w:hideMark/>
          </w:tcPr>
          <w:p w14:paraId="27DD564B"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c>
          <w:tcPr>
            <w:tcW w:w="1768" w:type="dxa"/>
            <w:shd w:val="clear" w:color="auto" w:fill="FFFFFF" w:themeFill="background1"/>
            <w:tcMar>
              <w:top w:w="72" w:type="dxa"/>
              <w:left w:w="144" w:type="dxa"/>
              <w:bottom w:w="72" w:type="dxa"/>
              <w:right w:w="144" w:type="dxa"/>
            </w:tcMar>
            <w:hideMark/>
          </w:tcPr>
          <w:p w14:paraId="71443C95"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r>
      <w:tr w:rsidR="004C5976" w:rsidRPr="00C342C2" w14:paraId="6AC06DE1" w14:textId="77777777" w:rsidTr="00276364">
        <w:trPr>
          <w:trHeight w:val="121"/>
        </w:trPr>
        <w:tc>
          <w:tcPr>
            <w:tcW w:w="0" w:type="auto"/>
            <w:shd w:val="clear" w:color="auto" w:fill="FFFFFF" w:themeFill="background1"/>
            <w:tcMar>
              <w:top w:w="72" w:type="dxa"/>
              <w:left w:w="144" w:type="dxa"/>
              <w:bottom w:w="72" w:type="dxa"/>
              <w:right w:w="144" w:type="dxa"/>
            </w:tcMar>
            <w:hideMark/>
          </w:tcPr>
          <w:p w14:paraId="44C556FA"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PrEP</w:t>
            </w:r>
          </w:p>
        </w:tc>
        <w:tc>
          <w:tcPr>
            <w:tcW w:w="1305" w:type="dxa"/>
            <w:shd w:val="clear" w:color="auto" w:fill="FFFFFF" w:themeFill="background1"/>
            <w:tcMar>
              <w:top w:w="72" w:type="dxa"/>
              <w:left w:w="144" w:type="dxa"/>
              <w:bottom w:w="72" w:type="dxa"/>
              <w:right w:w="144" w:type="dxa"/>
            </w:tcMar>
            <w:hideMark/>
          </w:tcPr>
          <w:p w14:paraId="61A68298"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Sexually active</w:t>
            </w:r>
          </w:p>
        </w:tc>
        <w:tc>
          <w:tcPr>
            <w:tcW w:w="1823" w:type="dxa"/>
            <w:shd w:val="clear" w:color="auto" w:fill="FFFFFF" w:themeFill="background1"/>
            <w:tcMar>
              <w:top w:w="72" w:type="dxa"/>
              <w:left w:w="144" w:type="dxa"/>
              <w:bottom w:w="72" w:type="dxa"/>
              <w:right w:w="144" w:type="dxa"/>
            </w:tcMar>
            <w:hideMark/>
          </w:tcPr>
          <w:p w14:paraId="4BECEFE3"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50% high risk</w:t>
            </w:r>
          </w:p>
          <w:p w14:paraId="5BBBBC2B"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5% low risk</w:t>
            </w:r>
          </w:p>
        </w:tc>
        <w:tc>
          <w:tcPr>
            <w:tcW w:w="2075" w:type="dxa"/>
            <w:shd w:val="clear" w:color="auto" w:fill="FFFFFF" w:themeFill="background1"/>
            <w:tcMar>
              <w:top w:w="72" w:type="dxa"/>
              <w:left w:w="144" w:type="dxa"/>
              <w:bottom w:w="72" w:type="dxa"/>
              <w:right w:w="144" w:type="dxa"/>
            </w:tcMar>
            <w:hideMark/>
          </w:tcPr>
          <w:p w14:paraId="4C2E9C41"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50% high risk</w:t>
            </w:r>
          </w:p>
          <w:p w14:paraId="332D5343"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5% low risk</w:t>
            </w:r>
          </w:p>
        </w:tc>
        <w:tc>
          <w:tcPr>
            <w:tcW w:w="1768" w:type="dxa"/>
            <w:shd w:val="clear" w:color="auto" w:fill="FFFFFF" w:themeFill="background1"/>
            <w:tcMar>
              <w:top w:w="72" w:type="dxa"/>
              <w:left w:w="144" w:type="dxa"/>
              <w:bottom w:w="72" w:type="dxa"/>
              <w:right w:w="144" w:type="dxa"/>
            </w:tcMar>
            <w:hideMark/>
          </w:tcPr>
          <w:p w14:paraId="6CE00F86"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0%</w:t>
            </w:r>
          </w:p>
        </w:tc>
      </w:tr>
      <w:tr w:rsidR="004C5976" w:rsidRPr="00C342C2" w14:paraId="68EFD7DD" w14:textId="77777777" w:rsidTr="00276364">
        <w:trPr>
          <w:trHeight w:val="121"/>
        </w:trPr>
        <w:tc>
          <w:tcPr>
            <w:tcW w:w="0" w:type="auto"/>
            <w:shd w:val="clear" w:color="auto" w:fill="FFFFFF" w:themeFill="background1"/>
            <w:tcMar>
              <w:top w:w="72" w:type="dxa"/>
              <w:left w:w="144" w:type="dxa"/>
              <w:bottom w:w="72" w:type="dxa"/>
              <w:right w:w="144" w:type="dxa"/>
            </w:tcMar>
            <w:hideMark/>
          </w:tcPr>
          <w:p w14:paraId="734447A6"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Comprehensive sexuality education</w:t>
            </w:r>
          </w:p>
        </w:tc>
        <w:tc>
          <w:tcPr>
            <w:tcW w:w="1305" w:type="dxa"/>
            <w:shd w:val="clear" w:color="auto" w:fill="FFFFFF" w:themeFill="background1"/>
            <w:tcMar>
              <w:top w:w="72" w:type="dxa"/>
              <w:left w:w="144" w:type="dxa"/>
              <w:bottom w:w="72" w:type="dxa"/>
              <w:right w:w="144" w:type="dxa"/>
            </w:tcMar>
            <w:hideMark/>
          </w:tcPr>
          <w:p w14:paraId="1D7D8F43"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All</w:t>
            </w:r>
          </w:p>
        </w:tc>
        <w:tc>
          <w:tcPr>
            <w:tcW w:w="1823" w:type="dxa"/>
            <w:shd w:val="clear" w:color="auto" w:fill="FFFFFF" w:themeFill="background1"/>
            <w:tcMar>
              <w:top w:w="72" w:type="dxa"/>
              <w:left w:w="144" w:type="dxa"/>
              <w:bottom w:w="72" w:type="dxa"/>
              <w:right w:w="144" w:type="dxa"/>
            </w:tcMar>
            <w:hideMark/>
          </w:tcPr>
          <w:p w14:paraId="74EDBCCD"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c>
          <w:tcPr>
            <w:tcW w:w="2075" w:type="dxa"/>
            <w:shd w:val="clear" w:color="auto" w:fill="FFFFFF" w:themeFill="background1"/>
            <w:tcMar>
              <w:top w:w="72" w:type="dxa"/>
              <w:left w:w="144" w:type="dxa"/>
              <w:bottom w:w="72" w:type="dxa"/>
              <w:right w:w="144" w:type="dxa"/>
            </w:tcMar>
            <w:hideMark/>
          </w:tcPr>
          <w:p w14:paraId="5F70FEE7"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c>
          <w:tcPr>
            <w:tcW w:w="1768" w:type="dxa"/>
            <w:shd w:val="clear" w:color="auto" w:fill="FFFFFF" w:themeFill="background1"/>
            <w:tcMar>
              <w:top w:w="72" w:type="dxa"/>
              <w:left w:w="144" w:type="dxa"/>
              <w:bottom w:w="72" w:type="dxa"/>
              <w:right w:w="144" w:type="dxa"/>
            </w:tcMar>
            <w:hideMark/>
          </w:tcPr>
          <w:p w14:paraId="0CEFDCA2"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r>
      <w:tr w:rsidR="004C5976" w:rsidRPr="00C342C2" w14:paraId="2563E8A4" w14:textId="77777777" w:rsidTr="00276364">
        <w:trPr>
          <w:trHeight w:val="121"/>
        </w:trPr>
        <w:tc>
          <w:tcPr>
            <w:tcW w:w="0" w:type="auto"/>
            <w:shd w:val="clear" w:color="auto" w:fill="FFFFFF" w:themeFill="background1"/>
            <w:tcMar>
              <w:top w:w="72" w:type="dxa"/>
              <w:left w:w="144" w:type="dxa"/>
              <w:bottom w:w="72" w:type="dxa"/>
              <w:right w:w="144" w:type="dxa"/>
            </w:tcMar>
            <w:hideMark/>
          </w:tcPr>
          <w:p w14:paraId="7746B417" w14:textId="77777777" w:rsidR="0074450A" w:rsidRPr="00444084" w:rsidRDefault="00F6329B" w:rsidP="00074CE0">
            <w:pPr>
              <w:spacing w:after="0"/>
              <w:rPr>
                <w:rFonts w:ascii="Arial" w:hAnsi="Arial" w:cs="Arial"/>
                <w:sz w:val="18"/>
                <w:szCs w:val="18"/>
              </w:rPr>
            </w:pPr>
            <w:r w:rsidRPr="00444084">
              <w:rPr>
                <w:rFonts w:ascii="Arial" w:hAnsi="Arial" w:cs="Arial"/>
                <w:sz w:val="18"/>
                <w:szCs w:val="18"/>
              </w:rPr>
              <w:t xml:space="preserve">Cash transfers </w:t>
            </w:r>
          </w:p>
          <w:p w14:paraId="54392F25" w14:textId="302785D9" w:rsidR="004C5976" w:rsidRPr="00444084" w:rsidRDefault="00F6329B" w:rsidP="00074CE0">
            <w:pPr>
              <w:spacing w:after="0"/>
              <w:rPr>
                <w:rFonts w:ascii="Arial" w:hAnsi="Arial" w:cs="Arial"/>
                <w:sz w:val="18"/>
                <w:szCs w:val="18"/>
              </w:rPr>
            </w:pPr>
            <w:r w:rsidRPr="00444084">
              <w:rPr>
                <w:rFonts w:ascii="Arial" w:hAnsi="Arial" w:cs="Arial"/>
                <w:sz w:val="18"/>
                <w:szCs w:val="18"/>
              </w:rPr>
              <w:t>(</w:t>
            </w:r>
            <w:r w:rsidR="004C5976" w:rsidRPr="00444084">
              <w:rPr>
                <w:rFonts w:ascii="Arial" w:hAnsi="Arial" w:cs="Arial"/>
                <w:sz w:val="18"/>
                <w:szCs w:val="18"/>
              </w:rPr>
              <w:t>Economic empowerment</w:t>
            </w:r>
            <w:r w:rsidRPr="00444084">
              <w:rPr>
                <w:rFonts w:ascii="Arial" w:hAnsi="Arial" w:cs="Arial"/>
                <w:sz w:val="18"/>
                <w:szCs w:val="18"/>
              </w:rPr>
              <w:t>)</w:t>
            </w:r>
          </w:p>
        </w:tc>
        <w:tc>
          <w:tcPr>
            <w:tcW w:w="1305" w:type="dxa"/>
            <w:shd w:val="clear" w:color="auto" w:fill="FFFFFF" w:themeFill="background1"/>
            <w:tcMar>
              <w:top w:w="72" w:type="dxa"/>
              <w:left w:w="144" w:type="dxa"/>
              <w:bottom w:w="72" w:type="dxa"/>
              <w:right w:w="144" w:type="dxa"/>
            </w:tcMar>
            <w:hideMark/>
          </w:tcPr>
          <w:p w14:paraId="30D293EE"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All</w:t>
            </w:r>
          </w:p>
        </w:tc>
        <w:tc>
          <w:tcPr>
            <w:tcW w:w="1823" w:type="dxa"/>
            <w:shd w:val="clear" w:color="auto" w:fill="FFFFFF" w:themeFill="background1"/>
            <w:tcMar>
              <w:top w:w="72" w:type="dxa"/>
              <w:left w:w="144" w:type="dxa"/>
              <w:bottom w:w="72" w:type="dxa"/>
              <w:right w:w="144" w:type="dxa"/>
            </w:tcMar>
            <w:hideMark/>
          </w:tcPr>
          <w:p w14:paraId="1981E41C"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20%</w:t>
            </w:r>
          </w:p>
        </w:tc>
        <w:tc>
          <w:tcPr>
            <w:tcW w:w="2075" w:type="dxa"/>
            <w:shd w:val="clear" w:color="auto" w:fill="FFFFFF" w:themeFill="background1"/>
            <w:tcMar>
              <w:top w:w="72" w:type="dxa"/>
              <w:left w:w="144" w:type="dxa"/>
              <w:bottom w:w="72" w:type="dxa"/>
              <w:right w:w="144" w:type="dxa"/>
            </w:tcMar>
            <w:hideMark/>
          </w:tcPr>
          <w:p w14:paraId="2718C710"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20%</w:t>
            </w:r>
          </w:p>
        </w:tc>
        <w:tc>
          <w:tcPr>
            <w:tcW w:w="1768" w:type="dxa"/>
            <w:shd w:val="clear" w:color="auto" w:fill="FFFFFF" w:themeFill="background1"/>
            <w:tcMar>
              <w:top w:w="72" w:type="dxa"/>
              <w:left w:w="144" w:type="dxa"/>
              <w:bottom w:w="72" w:type="dxa"/>
              <w:right w:w="144" w:type="dxa"/>
            </w:tcMar>
            <w:hideMark/>
          </w:tcPr>
          <w:p w14:paraId="7C996FD3"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0%</w:t>
            </w:r>
          </w:p>
        </w:tc>
      </w:tr>
      <w:tr w:rsidR="004C5976" w:rsidRPr="00C342C2" w14:paraId="0EE643A3" w14:textId="77777777" w:rsidTr="00276364">
        <w:trPr>
          <w:trHeight w:val="121"/>
        </w:trPr>
        <w:tc>
          <w:tcPr>
            <w:tcW w:w="0" w:type="auto"/>
            <w:shd w:val="clear" w:color="auto" w:fill="FFFFFF" w:themeFill="background1"/>
            <w:tcMar>
              <w:top w:w="72" w:type="dxa"/>
              <w:left w:w="144" w:type="dxa"/>
              <w:bottom w:w="72" w:type="dxa"/>
              <w:right w:w="144" w:type="dxa"/>
            </w:tcMar>
            <w:hideMark/>
          </w:tcPr>
          <w:p w14:paraId="04E0A024"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VMMC for ABYM</w:t>
            </w:r>
          </w:p>
        </w:tc>
        <w:tc>
          <w:tcPr>
            <w:tcW w:w="1305" w:type="dxa"/>
            <w:shd w:val="clear" w:color="auto" w:fill="FFFFFF" w:themeFill="background1"/>
            <w:tcMar>
              <w:top w:w="72" w:type="dxa"/>
              <w:left w:w="144" w:type="dxa"/>
              <w:bottom w:w="72" w:type="dxa"/>
              <w:right w:w="144" w:type="dxa"/>
            </w:tcMar>
            <w:hideMark/>
          </w:tcPr>
          <w:p w14:paraId="386C4046"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All</w:t>
            </w:r>
          </w:p>
        </w:tc>
        <w:tc>
          <w:tcPr>
            <w:tcW w:w="1823" w:type="dxa"/>
            <w:shd w:val="clear" w:color="auto" w:fill="FFFFFF" w:themeFill="background1"/>
            <w:tcMar>
              <w:top w:w="72" w:type="dxa"/>
              <w:left w:w="144" w:type="dxa"/>
              <w:bottom w:w="72" w:type="dxa"/>
              <w:right w:w="144" w:type="dxa"/>
            </w:tcMar>
            <w:hideMark/>
          </w:tcPr>
          <w:p w14:paraId="2BEA83F0"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c>
          <w:tcPr>
            <w:tcW w:w="2075" w:type="dxa"/>
            <w:shd w:val="clear" w:color="auto" w:fill="FFFFFF" w:themeFill="background1"/>
            <w:tcMar>
              <w:top w:w="72" w:type="dxa"/>
              <w:left w:w="144" w:type="dxa"/>
              <w:bottom w:w="72" w:type="dxa"/>
              <w:right w:w="144" w:type="dxa"/>
            </w:tcMar>
            <w:hideMark/>
          </w:tcPr>
          <w:p w14:paraId="5ED4651A"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90%</w:t>
            </w:r>
          </w:p>
        </w:tc>
        <w:tc>
          <w:tcPr>
            <w:tcW w:w="1768" w:type="dxa"/>
            <w:shd w:val="clear" w:color="auto" w:fill="FFFFFF" w:themeFill="background1"/>
            <w:tcMar>
              <w:top w:w="72" w:type="dxa"/>
              <w:left w:w="144" w:type="dxa"/>
              <w:bottom w:w="72" w:type="dxa"/>
              <w:right w:w="144" w:type="dxa"/>
            </w:tcMar>
            <w:hideMark/>
          </w:tcPr>
          <w:p w14:paraId="15378B43" w14:textId="77777777" w:rsidR="004C5976" w:rsidRPr="00444084" w:rsidRDefault="004C5976" w:rsidP="00074CE0">
            <w:pPr>
              <w:spacing w:after="0"/>
              <w:rPr>
                <w:rFonts w:ascii="Arial" w:hAnsi="Arial" w:cs="Arial"/>
                <w:sz w:val="18"/>
                <w:szCs w:val="18"/>
              </w:rPr>
            </w:pPr>
            <w:r w:rsidRPr="00444084">
              <w:rPr>
                <w:rFonts w:ascii="Arial" w:hAnsi="Arial" w:cs="Arial"/>
                <w:sz w:val="18"/>
                <w:szCs w:val="18"/>
              </w:rPr>
              <w:t>0%</w:t>
            </w:r>
          </w:p>
        </w:tc>
      </w:tr>
    </w:tbl>
    <w:p w14:paraId="32BD83D5" w14:textId="77777777" w:rsidR="004C5976" w:rsidRPr="0053791F" w:rsidRDefault="004C5976" w:rsidP="00C342C2">
      <w:pPr>
        <w:spacing w:after="0"/>
        <w:rPr>
          <w:rFonts w:ascii="Arial" w:hAnsi="Arial" w:cs="Arial"/>
          <w:sz w:val="16"/>
        </w:rPr>
      </w:pPr>
      <w:r w:rsidRPr="0053791F">
        <w:rPr>
          <w:rFonts w:ascii="Arial" w:hAnsi="Arial" w:cs="Arial"/>
          <w:sz w:val="16"/>
        </w:rPr>
        <w:t>Notes: HR = High risk, sexually active in the past year with a non-regular partner</w:t>
      </w:r>
    </w:p>
    <w:bookmarkEnd w:id="126"/>
    <w:p w14:paraId="667F0B29" w14:textId="77777777" w:rsidR="001A2CAA" w:rsidRDefault="001A2CAA" w:rsidP="00444084">
      <w:pPr>
        <w:spacing w:after="0"/>
      </w:pPr>
    </w:p>
    <w:p w14:paraId="3A8096E3" w14:textId="29E98BC5" w:rsidR="00991EFE" w:rsidRPr="00A7659D" w:rsidRDefault="00E229CA" w:rsidP="00A7659D">
      <w:pPr>
        <w:pStyle w:val="Heading2"/>
        <w:rPr>
          <w:rFonts w:ascii="Arial" w:hAnsi="Arial" w:cs="Arial"/>
          <w:b/>
          <w:bCs/>
        </w:rPr>
      </w:pPr>
      <w:bookmarkStart w:id="127" w:name="_Toc57035220"/>
      <w:r w:rsidRPr="00A7659D">
        <w:rPr>
          <w:rFonts w:ascii="Arial" w:hAnsi="Arial" w:cs="Arial"/>
          <w:b/>
          <w:bCs/>
        </w:rPr>
        <w:t>Modeling assumptions</w:t>
      </w:r>
      <w:r w:rsidR="00714721">
        <w:rPr>
          <w:rFonts w:ascii="Arial" w:hAnsi="Arial" w:cs="Arial"/>
          <w:b/>
          <w:bCs/>
        </w:rPr>
        <w:t>: AGYW prevention scale-up</w:t>
      </w:r>
      <w:bookmarkEnd w:id="127"/>
    </w:p>
    <w:p w14:paraId="450A379C" w14:textId="340423C1" w:rsidR="00E229CA" w:rsidRDefault="00E229CA" w:rsidP="001A2CAA">
      <w:pPr>
        <w:spacing w:after="0"/>
      </w:pPr>
    </w:p>
    <w:p w14:paraId="1DDC72EA" w14:textId="0F8F6FD6" w:rsidR="00E229CA" w:rsidRDefault="00C342C2" w:rsidP="001A2CAA">
      <w:pPr>
        <w:spacing w:after="0"/>
        <w:rPr>
          <w:rFonts w:ascii="Arial" w:hAnsi="Arial" w:cs="Arial"/>
        </w:rPr>
      </w:pPr>
      <w:r w:rsidRPr="00C342C2">
        <w:rPr>
          <w:rFonts w:ascii="Arial" w:hAnsi="Arial" w:cs="Arial"/>
        </w:rPr>
        <w:t>To asse</w:t>
      </w:r>
      <w:r w:rsidR="001A2CAA">
        <w:rPr>
          <w:rFonts w:ascii="Arial" w:hAnsi="Arial" w:cs="Arial"/>
        </w:rPr>
        <w:t>s</w:t>
      </w:r>
      <w:r w:rsidRPr="00C342C2">
        <w:rPr>
          <w:rFonts w:ascii="Arial" w:hAnsi="Arial" w:cs="Arial"/>
        </w:rPr>
        <w:t xml:space="preserve">s the costs and impact of this AGYW program scale-up, the AGYW prevention package scale-up was modeled independently of scaling up other interventions. </w:t>
      </w:r>
      <w:r>
        <w:rPr>
          <w:rFonts w:ascii="Arial" w:hAnsi="Arial" w:cs="Arial"/>
        </w:rPr>
        <w:t xml:space="preserve">Treatment </w:t>
      </w:r>
      <w:r w:rsidR="005C0BFE">
        <w:rPr>
          <w:rFonts w:ascii="Arial" w:hAnsi="Arial" w:cs="Arial"/>
        </w:rPr>
        <w:t>n</w:t>
      </w:r>
      <w:r>
        <w:rPr>
          <w:rFonts w:ascii="Arial" w:hAnsi="Arial" w:cs="Arial"/>
        </w:rPr>
        <w:t xml:space="preserve">or testing </w:t>
      </w:r>
      <w:r w:rsidR="005C0BFE">
        <w:rPr>
          <w:rFonts w:ascii="Arial" w:hAnsi="Arial" w:cs="Arial"/>
        </w:rPr>
        <w:t>were</w:t>
      </w:r>
      <w:r>
        <w:rPr>
          <w:rFonts w:ascii="Arial" w:hAnsi="Arial" w:cs="Arial"/>
        </w:rPr>
        <w:t xml:space="preserve"> scaled</w:t>
      </w:r>
      <w:r w:rsidR="005C0BFE">
        <w:rPr>
          <w:rFonts w:ascii="Arial" w:hAnsi="Arial" w:cs="Arial"/>
        </w:rPr>
        <w:t xml:space="preserve"> beyond </w:t>
      </w:r>
      <w:r w:rsidR="007C4173">
        <w:rPr>
          <w:rFonts w:ascii="Arial" w:hAnsi="Arial" w:cs="Arial"/>
        </w:rPr>
        <w:t>Constant Coverage</w:t>
      </w:r>
      <w:r w:rsidR="005C0BFE">
        <w:rPr>
          <w:rFonts w:ascii="Arial" w:hAnsi="Arial" w:cs="Arial"/>
        </w:rPr>
        <w:t xml:space="preserve"> levels.</w:t>
      </w:r>
    </w:p>
    <w:p w14:paraId="5D0F186D" w14:textId="77777777" w:rsidR="001A2CAA" w:rsidRDefault="001A2CAA" w:rsidP="001A2CAA">
      <w:pPr>
        <w:spacing w:after="0"/>
        <w:rPr>
          <w:rFonts w:ascii="Arial" w:hAnsi="Arial" w:cs="Arial"/>
        </w:rPr>
      </w:pPr>
    </w:p>
    <w:p w14:paraId="3BBCED98" w14:textId="6856A663" w:rsidR="00C342C2" w:rsidRPr="00C342C2" w:rsidRDefault="00C342C2" w:rsidP="00276364">
      <w:pPr>
        <w:spacing w:after="0"/>
        <w:rPr>
          <w:rFonts w:ascii="Arial" w:hAnsi="Arial" w:cs="Arial"/>
          <w:i/>
          <w:sz w:val="18"/>
        </w:rPr>
      </w:pPr>
      <w:r w:rsidRPr="00C342C2">
        <w:rPr>
          <w:rFonts w:ascii="Arial" w:hAnsi="Arial" w:cs="Arial"/>
          <w:i/>
          <w:sz w:val="18"/>
        </w:rPr>
        <w:t>F</w:t>
      </w:r>
      <w:r w:rsidR="00813E82">
        <w:rPr>
          <w:rFonts w:ascii="Arial" w:hAnsi="Arial" w:cs="Arial"/>
          <w:i/>
          <w:sz w:val="18"/>
        </w:rPr>
        <w:t>i</w:t>
      </w:r>
      <w:r w:rsidRPr="00C342C2">
        <w:rPr>
          <w:rFonts w:ascii="Arial" w:hAnsi="Arial" w:cs="Arial"/>
          <w:i/>
          <w:sz w:val="18"/>
        </w:rPr>
        <w:t xml:space="preserve">gure </w:t>
      </w:r>
      <w:r w:rsidR="005C0BFE">
        <w:rPr>
          <w:rFonts w:ascii="Arial" w:hAnsi="Arial" w:cs="Arial"/>
          <w:i/>
          <w:sz w:val="18"/>
        </w:rPr>
        <w:t>8-6</w:t>
      </w:r>
      <w:r w:rsidRPr="00C342C2">
        <w:rPr>
          <w:rFonts w:ascii="Arial" w:hAnsi="Arial" w:cs="Arial"/>
          <w:i/>
          <w:sz w:val="18"/>
        </w:rPr>
        <w:t xml:space="preserve"> Modeling assumptions for AGYW</w:t>
      </w:r>
    </w:p>
    <w:tbl>
      <w:tblPr>
        <w:tblpPr w:leftFromText="180" w:rightFromText="180" w:vertAnchor="text" w:horzAnchor="margin" w:tblpY="164"/>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25"/>
        <w:gridCol w:w="4500"/>
        <w:gridCol w:w="2302"/>
      </w:tblGrid>
      <w:tr w:rsidR="00C342C2" w:rsidRPr="00C342C2" w14:paraId="4401CE88" w14:textId="77777777" w:rsidTr="00311475">
        <w:trPr>
          <w:trHeight w:val="336"/>
        </w:trPr>
        <w:tc>
          <w:tcPr>
            <w:tcW w:w="2425" w:type="dxa"/>
            <w:shd w:val="clear" w:color="auto" w:fill="FFFFFF" w:themeFill="background1"/>
            <w:vAlign w:val="center"/>
          </w:tcPr>
          <w:p w14:paraId="36249A6F" w14:textId="77777777" w:rsidR="00C342C2" w:rsidRPr="00C342C2" w:rsidRDefault="00C342C2" w:rsidP="00074CE0">
            <w:pPr>
              <w:spacing w:after="0"/>
              <w:rPr>
                <w:rFonts w:ascii="Arial" w:hAnsi="Arial" w:cs="Arial"/>
                <w:b/>
                <w:sz w:val="18"/>
              </w:rPr>
            </w:pPr>
            <w:r w:rsidRPr="00C342C2">
              <w:rPr>
                <w:rFonts w:ascii="Arial" w:hAnsi="Arial" w:cs="Arial"/>
                <w:b/>
                <w:sz w:val="18"/>
              </w:rPr>
              <w:t>Abbreviation</w:t>
            </w:r>
          </w:p>
        </w:tc>
        <w:tc>
          <w:tcPr>
            <w:tcW w:w="6802" w:type="dxa"/>
            <w:gridSpan w:val="2"/>
            <w:shd w:val="clear" w:color="auto" w:fill="FFFFFF" w:themeFill="background1"/>
            <w:vAlign w:val="center"/>
          </w:tcPr>
          <w:p w14:paraId="354570B6" w14:textId="1AA603E0" w:rsidR="00C342C2" w:rsidRPr="00C342C2" w:rsidRDefault="00C342C2" w:rsidP="00074CE0">
            <w:pPr>
              <w:spacing w:after="0"/>
              <w:rPr>
                <w:rFonts w:ascii="Arial" w:hAnsi="Arial" w:cs="Arial"/>
                <w:sz w:val="18"/>
              </w:rPr>
            </w:pPr>
            <w:r w:rsidRPr="00C342C2">
              <w:rPr>
                <w:rFonts w:ascii="Arial" w:hAnsi="Arial" w:cs="Arial"/>
                <w:sz w:val="18"/>
              </w:rPr>
              <w:t>AGYW</w:t>
            </w:r>
          </w:p>
        </w:tc>
      </w:tr>
      <w:tr w:rsidR="00C342C2" w:rsidRPr="00C342C2" w14:paraId="38F2BF89" w14:textId="77777777" w:rsidTr="00311475">
        <w:trPr>
          <w:trHeight w:val="336"/>
        </w:trPr>
        <w:tc>
          <w:tcPr>
            <w:tcW w:w="2425" w:type="dxa"/>
            <w:shd w:val="clear" w:color="auto" w:fill="FFFFFF" w:themeFill="background1"/>
            <w:vAlign w:val="center"/>
          </w:tcPr>
          <w:p w14:paraId="145D1E23" w14:textId="77777777" w:rsidR="00C342C2" w:rsidRPr="00C342C2" w:rsidRDefault="00C342C2" w:rsidP="00074CE0">
            <w:pPr>
              <w:spacing w:after="0"/>
              <w:rPr>
                <w:rFonts w:ascii="Arial" w:hAnsi="Arial" w:cs="Arial"/>
                <w:b/>
                <w:sz w:val="18"/>
              </w:rPr>
            </w:pPr>
            <w:r w:rsidRPr="00C342C2">
              <w:rPr>
                <w:rFonts w:ascii="Arial" w:hAnsi="Arial" w:cs="Arial"/>
                <w:b/>
                <w:sz w:val="18"/>
              </w:rPr>
              <w:t>Coverage or funding- driven?</w:t>
            </w:r>
          </w:p>
        </w:tc>
        <w:tc>
          <w:tcPr>
            <w:tcW w:w="6802" w:type="dxa"/>
            <w:gridSpan w:val="2"/>
            <w:shd w:val="clear" w:color="auto" w:fill="FFFFFF" w:themeFill="background1"/>
            <w:vAlign w:val="center"/>
          </w:tcPr>
          <w:p w14:paraId="5359D950" w14:textId="33B268CA" w:rsidR="00C342C2" w:rsidRPr="00C342C2" w:rsidRDefault="00C342C2" w:rsidP="00074CE0">
            <w:pPr>
              <w:spacing w:after="0"/>
              <w:rPr>
                <w:rFonts w:ascii="Arial" w:hAnsi="Arial" w:cs="Arial"/>
                <w:sz w:val="18"/>
              </w:rPr>
            </w:pPr>
            <w:r w:rsidRPr="00C342C2">
              <w:rPr>
                <w:rFonts w:ascii="Arial" w:hAnsi="Arial" w:cs="Arial"/>
                <w:sz w:val="18"/>
              </w:rPr>
              <w:t>Coverage-driven</w:t>
            </w:r>
            <w:r w:rsidR="005C0BFE">
              <w:rPr>
                <w:rFonts w:ascii="Arial" w:hAnsi="Arial" w:cs="Arial"/>
                <w:sz w:val="18"/>
              </w:rPr>
              <w:t xml:space="preserve"> for AGYW; All other interventions kept at </w:t>
            </w:r>
            <w:r w:rsidR="007C4173">
              <w:rPr>
                <w:rFonts w:ascii="Arial" w:hAnsi="Arial" w:cs="Arial"/>
                <w:sz w:val="18"/>
              </w:rPr>
              <w:t>Constant Coverage</w:t>
            </w:r>
            <w:r w:rsidR="005C0BFE">
              <w:rPr>
                <w:rFonts w:ascii="Arial" w:hAnsi="Arial" w:cs="Arial"/>
                <w:sz w:val="18"/>
              </w:rPr>
              <w:t xml:space="preserve"> levels</w:t>
            </w:r>
          </w:p>
        </w:tc>
      </w:tr>
      <w:tr w:rsidR="00C342C2" w:rsidRPr="00C342C2" w14:paraId="6CB6243C" w14:textId="77777777" w:rsidTr="00311475">
        <w:trPr>
          <w:trHeight w:val="237"/>
        </w:trPr>
        <w:tc>
          <w:tcPr>
            <w:tcW w:w="2425" w:type="dxa"/>
            <w:shd w:val="clear" w:color="auto" w:fill="FFFFFF" w:themeFill="background1"/>
            <w:vAlign w:val="center"/>
          </w:tcPr>
          <w:p w14:paraId="53AAACB5" w14:textId="77777777" w:rsidR="00C342C2" w:rsidRPr="00C342C2" w:rsidRDefault="00C342C2" w:rsidP="00074CE0">
            <w:pPr>
              <w:spacing w:after="0"/>
              <w:rPr>
                <w:rFonts w:ascii="Arial" w:hAnsi="Arial" w:cs="Arial"/>
                <w:b/>
                <w:sz w:val="18"/>
              </w:rPr>
            </w:pPr>
            <w:r w:rsidRPr="00C342C2">
              <w:rPr>
                <w:rFonts w:ascii="Arial" w:hAnsi="Arial" w:cs="Arial"/>
                <w:b/>
                <w:sz w:val="18"/>
              </w:rPr>
              <w:t>Coverage target</w:t>
            </w:r>
          </w:p>
        </w:tc>
        <w:tc>
          <w:tcPr>
            <w:tcW w:w="6802" w:type="dxa"/>
            <w:gridSpan w:val="2"/>
            <w:shd w:val="clear" w:color="auto" w:fill="FFFFFF" w:themeFill="background1"/>
            <w:vAlign w:val="center"/>
          </w:tcPr>
          <w:p w14:paraId="55B06F99" w14:textId="44F949A0" w:rsidR="00C342C2" w:rsidRPr="00C342C2" w:rsidRDefault="00C342C2" w:rsidP="00074CE0">
            <w:pPr>
              <w:spacing w:after="0"/>
              <w:rPr>
                <w:rFonts w:ascii="Arial" w:hAnsi="Arial" w:cs="Arial"/>
                <w:sz w:val="18"/>
              </w:rPr>
            </w:pPr>
            <w:r w:rsidRPr="00C342C2">
              <w:rPr>
                <w:rFonts w:ascii="Arial" w:hAnsi="Arial" w:cs="Arial"/>
                <w:sz w:val="18"/>
              </w:rPr>
              <w:t xml:space="preserve">See </w:t>
            </w:r>
            <w:r w:rsidR="00607E5F" w:rsidRPr="00607E5F">
              <w:rPr>
                <w:rFonts w:ascii="Arial" w:hAnsi="Arial" w:cs="Arial"/>
                <w:i/>
                <w:sz w:val="18"/>
              </w:rPr>
              <w:t>Figure 8-5</w:t>
            </w:r>
            <w:r>
              <w:rPr>
                <w:rFonts w:ascii="Arial" w:hAnsi="Arial" w:cs="Arial"/>
                <w:sz w:val="18"/>
              </w:rPr>
              <w:t xml:space="preserve"> above</w:t>
            </w:r>
          </w:p>
        </w:tc>
      </w:tr>
      <w:tr w:rsidR="00C342C2" w:rsidRPr="00C342C2" w14:paraId="1BB5F41A" w14:textId="77777777" w:rsidTr="00311475">
        <w:trPr>
          <w:trHeight w:val="224"/>
        </w:trPr>
        <w:tc>
          <w:tcPr>
            <w:tcW w:w="2425" w:type="dxa"/>
            <w:vMerge w:val="restart"/>
            <w:shd w:val="clear" w:color="auto" w:fill="FFFFFF" w:themeFill="background1"/>
            <w:vAlign w:val="center"/>
          </w:tcPr>
          <w:p w14:paraId="229901F7" w14:textId="77777777" w:rsidR="00C342C2" w:rsidRPr="00C342C2" w:rsidRDefault="00C342C2" w:rsidP="00074CE0">
            <w:pPr>
              <w:spacing w:after="0"/>
              <w:rPr>
                <w:rFonts w:ascii="Arial" w:hAnsi="Arial" w:cs="Arial"/>
                <w:b/>
                <w:sz w:val="18"/>
              </w:rPr>
            </w:pPr>
            <w:r w:rsidRPr="00C342C2">
              <w:rPr>
                <w:rFonts w:ascii="Arial" w:hAnsi="Arial" w:cs="Arial"/>
                <w:b/>
                <w:sz w:val="18"/>
              </w:rPr>
              <w:t>Funding constraint</w:t>
            </w:r>
          </w:p>
        </w:tc>
        <w:tc>
          <w:tcPr>
            <w:tcW w:w="4500" w:type="dxa"/>
            <w:shd w:val="clear" w:color="auto" w:fill="FFFFFF" w:themeFill="background1"/>
            <w:vAlign w:val="center"/>
          </w:tcPr>
          <w:p w14:paraId="62ED376C" w14:textId="77777777" w:rsidR="00C342C2" w:rsidRPr="00C342C2" w:rsidRDefault="00C342C2" w:rsidP="00074CE0">
            <w:pPr>
              <w:spacing w:after="0"/>
              <w:rPr>
                <w:rFonts w:ascii="Arial" w:hAnsi="Arial" w:cs="Arial"/>
                <w:i/>
                <w:sz w:val="18"/>
              </w:rPr>
            </w:pPr>
            <w:r w:rsidRPr="00C342C2">
              <w:rPr>
                <w:rFonts w:ascii="Arial" w:hAnsi="Arial" w:cs="Arial"/>
                <w:i/>
                <w:sz w:val="18"/>
              </w:rPr>
              <w:t>PEPFAR</w:t>
            </w:r>
          </w:p>
        </w:tc>
        <w:tc>
          <w:tcPr>
            <w:tcW w:w="2302" w:type="dxa"/>
            <w:shd w:val="clear" w:color="auto" w:fill="FFFFFF" w:themeFill="background1"/>
            <w:vAlign w:val="center"/>
          </w:tcPr>
          <w:p w14:paraId="41740A25" w14:textId="1CEFDD92" w:rsidR="00C342C2" w:rsidRPr="00C342C2" w:rsidRDefault="00C342C2" w:rsidP="00074CE0">
            <w:pPr>
              <w:spacing w:after="0"/>
              <w:rPr>
                <w:rFonts w:ascii="Arial" w:hAnsi="Arial" w:cs="Arial"/>
                <w:sz w:val="18"/>
              </w:rPr>
            </w:pPr>
            <w:r w:rsidRPr="00C342C2">
              <w:rPr>
                <w:rFonts w:ascii="Arial" w:hAnsi="Arial" w:cs="Arial"/>
                <w:sz w:val="18"/>
              </w:rPr>
              <w:t>N</w:t>
            </w:r>
            <w:r w:rsidR="00F8464F">
              <w:rPr>
                <w:rFonts w:ascii="Arial" w:hAnsi="Arial" w:cs="Arial"/>
                <w:sz w:val="18"/>
              </w:rPr>
              <w:t>A</w:t>
            </w:r>
            <w:r w:rsidR="0022303B">
              <w:rPr>
                <w:rFonts w:ascii="Arial" w:hAnsi="Arial" w:cs="Arial"/>
                <w:sz w:val="18"/>
              </w:rPr>
              <w:t xml:space="preserve"> (not funding-driven)</w:t>
            </w:r>
          </w:p>
        </w:tc>
      </w:tr>
      <w:tr w:rsidR="00C342C2" w:rsidRPr="00C342C2" w14:paraId="2906DA05" w14:textId="77777777" w:rsidTr="00311475">
        <w:trPr>
          <w:trHeight w:val="229"/>
        </w:trPr>
        <w:tc>
          <w:tcPr>
            <w:tcW w:w="2425" w:type="dxa"/>
            <w:vMerge/>
            <w:shd w:val="clear" w:color="auto" w:fill="FFFFFF" w:themeFill="background1"/>
            <w:vAlign w:val="center"/>
          </w:tcPr>
          <w:p w14:paraId="2E6247F0" w14:textId="77777777" w:rsidR="00C342C2" w:rsidRPr="00C342C2" w:rsidRDefault="00C342C2" w:rsidP="00074CE0">
            <w:pPr>
              <w:spacing w:after="0"/>
              <w:rPr>
                <w:rFonts w:ascii="Arial" w:hAnsi="Arial" w:cs="Arial"/>
                <w:b/>
                <w:sz w:val="18"/>
              </w:rPr>
            </w:pPr>
          </w:p>
        </w:tc>
        <w:tc>
          <w:tcPr>
            <w:tcW w:w="4500" w:type="dxa"/>
            <w:shd w:val="clear" w:color="auto" w:fill="FFFFFF" w:themeFill="background1"/>
            <w:vAlign w:val="center"/>
          </w:tcPr>
          <w:p w14:paraId="0B6E8866" w14:textId="77777777" w:rsidR="00C342C2" w:rsidRPr="00C342C2" w:rsidRDefault="00C342C2" w:rsidP="00074CE0">
            <w:pPr>
              <w:spacing w:after="0"/>
              <w:rPr>
                <w:rFonts w:ascii="Arial" w:hAnsi="Arial" w:cs="Arial"/>
                <w:i/>
                <w:sz w:val="18"/>
              </w:rPr>
            </w:pPr>
            <w:r w:rsidRPr="00C342C2">
              <w:rPr>
                <w:rFonts w:ascii="Arial" w:hAnsi="Arial" w:cs="Arial"/>
                <w:i/>
                <w:sz w:val="18"/>
              </w:rPr>
              <w:t>Global Fund</w:t>
            </w:r>
          </w:p>
        </w:tc>
        <w:tc>
          <w:tcPr>
            <w:tcW w:w="2302" w:type="dxa"/>
            <w:shd w:val="clear" w:color="auto" w:fill="FFFFFF" w:themeFill="background1"/>
            <w:vAlign w:val="center"/>
          </w:tcPr>
          <w:p w14:paraId="2A736C1A" w14:textId="76BD6FB3" w:rsidR="00C342C2" w:rsidRPr="00C342C2" w:rsidRDefault="00C342C2" w:rsidP="00074CE0">
            <w:pPr>
              <w:spacing w:after="0"/>
              <w:rPr>
                <w:rFonts w:ascii="Arial" w:hAnsi="Arial" w:cs="Arial"/>
                <w:sz w:val="18"/>
              </w:rPr>
            </w:pPr>
            <w:r w:rsidRPr="00C342C2">
              <w:rPr>
                <w:rFonts w:ascii="Arial" w:hAnsi="Arial" w:cs="Arial"/>
                <w:sz w:val="18"/>
              </w:rPr>
              <w:t>NA</w:t>
            </w:r>
          </w:p>
        </w:tc>
      </w:tr>
      <w:tr w:rsidR="00C342C2" w:rsidRPr="00C342C2" w14:paraId="54CC4C76" w14:textId="77777777" w:rsidTr="00311475">
        <w:trPr>
          <w:trHeight w:val="227"/>
        </w:trPr>
        <w:tc>
          <w:tcPr>
            <w:tcW w:w="2425" w:type="dxa"/>
            <w:vMerge/>
            <w:shd w:val="clear" w:color="auto" w:fill="FFFFFF" w:themeFill="background1"/>
            <w:vAlign w:val="center"/>
          </w:tcPr>
          <w:p w14:paraId="06E6AA9E" w14:textId="77777777" w:rsidR="00C342C2" w:rsidRPr="00C342C2" w:rsidRDefault="00C342C2" w:rsidP="00074CE0">
            <w:pPr>
              <w:spacing w:after="0"/>
              <w:rPr>
                <w:rFonts w:ascii="Arial" w:hAnsi="Arial" w:cs="Arial"/>
                <w:b/>
                <w:sz w:val="18"/>
              </w:rPr>
            </w:pPr>
          </w:p>
        </w:tc>
        <w:tc>
          <w:tcPr>
            <w:tcW w:w="4500" w:type="dxa"/>
            <w:shd w:val="clear" w:color="auto" w:fill="FFFFFF" w:themeFill="background1"/>
            <w:vAlign w:val="center"/>
          </w:tcPr>
          <w:p w14:paraId="5A2C16BC" w14:textId="77777777" w:rsidR="00C342C2" w:rsidRPr="00C342C2" w:rsidRDefault="00C342C2" w:rsidP="00074CE0">
            <w:pPr>
              <w:spacing w:after="0"/>
              <w:rPr>
                <w:rFonts w:ascii="Arial" w:hAnsi="Arial" w:cs="Arial"/>
                <w:i/>
                <w:sz w:val="18"/>
              </w:rPr>
            </w:pPr>
            <w:r w:rsidRPr="00C342C2">
              <w:rPr>
                <w:rFonts w:ascii="Arial" w:hAnsi="Arial" w:cs="Arial"/>
                <w:i/>
                <w:sz w:val="18"/>
              </w:rPr>
              <w:t>Domestic</w:t>
            </w:r>
          </w:p>
        </w:tc>
        <w:tc>
          <w:tcPr>
            <w:tcW w:w="2302" w:type="dxa"/>
            <w:shd w:val="clear" w:color="auto" w:fill="FFFFFF" w:themeFill="background1"/>
            <w:vAlign w:val="center"/>
          </w:tcPr>
          <w:p w14:paraId="687111FF" w14:textId="791DD615" w:rsidR="00C342C2" w:rsidRPr="00C342C2" w:rsidRDefault="00C342C2" w:rsidP="00074CE0">
            <w:pPr>
              <w:spacing w:after="0"/>
              <w:rPr>
                <w:rFonts w:ascii="Arial" w:hAnsi="Arial" w:cs="Arial"/>
                <w:sz w:val="18"/>
              </w:rPr>
            </w:pPr>
            <w:r w:rsidRPr="00C342C2">
              <w:rPr>
                <w:rFonts w:ascii="Arial" w:hAnsi="Arial" w:cs="Arial"/>
                <w:sz w:val="18"/>
              </w:rPr>
              <w:t>NA</w:t>
            </w:r>
          </w:p>
        </w:tc>
      </w:tr>
      <w:tr w:rsidR="00C342C2" w:rsidRPr="00C342C2" w14:paraId="11B6D71A" w14:textId="77777777" w:rsidTr="00311475">
        <w:trPr>
          <w:trHeight w:val="227"/>
        </w:trPr>
        <w:tc>
          <w:tcPr>
            <w:tcW w:w="2425" w:type="dxa"/>
            <w:vMerge/>
            <w:shd w:val="clear" w:color="auto" w:fill="FFFFFF" w:themeFill="background1"/>
            <w:vAlign w:val="center"/>
          </w:tcPr>
          <w:p w14:paraId="3C9E2921" w14:textId="77777777" w:rsidR="00C342C2" w:rsidRPr="00C342C2" w:rsidRDefault="00C342C2" w:rsidP="00074CE0">
            <w:pPr>
              <w:spacing w:after="0"/>
              <w:rPr>
                <w:rFonts w:ascii="Arial" w:hAnsi="Arial" w:cs="Arial"/>
                <w:b/>
                <w:sz w:val="18"/>
              </w:rPr>
            </w:pPr>
          </w:p>
        </w:tc>
        <w:tc>
          <w:tcPr>
            <w:tcW w:w="4500" w:type="dxa"/>
            <w:shd w:val="clear" w:color="auto" w:fill="FFFFFF" w:themeFill="background1"/>
            <w:vAlign w:val="center"/>
          </w:tcPr>
          <w:p w14:paraId="1A9C9DCC" w14:textId="77777777" w:rsidR="00C342C2" w:rsidRPr="00C342C2" w:rsidRDefault="00C342C2" w:rsidP="00074CE0">
            <w:pPr>
              <w:spacing w:after="0"/>
              <w:rPr>
                <w:rFonts w:ascii="Arial" w:hAnsi="Arial" w:cs="Arial"/>
                <w:sz w:val="18"/>
              </w:rPr>
            </w:pPr>
            <w:r w:rsidRPr="00C342C2">
              <w:rPr>
                <w:rFonts w:ascii="Arial" w:hAnsi="Arial" w:cs="Arial"/>
                <w:sz w:val="18"/>
              </w:rPr>
              <w:t>2030 funding level</w:t>
            </w:r>
          </w:p>
        </w:tc>
        <w:tc>
          <w:tcPr>
            <w:tcW w:w="2302" w:type="dxa"/>
            <w:shd w:val="clear" w:color="auto" w:fill="FFFFFF" w:themeFill="background1"/>
            <w:vAlign w:val="center"/>
          </w:tcPr>
          <w:p w14:paraId="055E678A" w14:textId="28921537" w:rsidR="00C342C2" w:rsidRPr="00C342C2" w:rsidRDefault="00C342C2" w:rsidP="00074CE0">
            <w:pPr>
              <w:spacing w:after="0"/>
              <w:rPr>
                <w:rFonts w:ascii="Arial" w:hAnsi="Arial" w:cs="Arial"/>
                <w:sz w:val="18"/>
              </w:rPr>
            </w:pPr>
            <w:r w:rsidRPr="00C342C2">
              <w:rPr>
                <w:rFonts w:ascii="Arial" w:hAnsi="Arial" w:cs="Arial"/>
                <w:sz w:val="18"/>
              </w:rPr>
              <w:t>NA</w:t>
            </w:r>
          </w:p>
        </w:tc>
      </w:tr>
      <w:tr w:rsidR="00C342C2" w:rsidRPr="00C342C2" w14:paraId="4459E5B7" w14:textId="77777777" w:rsidTr="00311475">
        <w:trPr>
          <w:trHeight w:val="227"/>
        </w:trPr>
        <w:tc>
          <w:tcPr>
            <w:tcW w:w="2425" w:type="dxa"/>
            <w:vMerge/>
            <w:shd w:val="clear" w:color="auto" w:fill="FFFFFF" w:themeFill="background1"/>
            <w:vAlign w:val="center"/>
          </w:tcPr>
          <w:p w14:paraId="2E66BC3D" w14:textId="77777777" w:rsidR="00C342C2" w:rsidRPr="00C342C2" w:rsidRDefault="00C342C2" w:rsidP="00074CE0">
            <w:pPr>
              <w:spacing w:after="0"/>
              <w:rPr>
                <w:rFonts w:ascii="Arial" w:hAnsi="Arial" w:cs="Arial"/>
                <w:b/>
                <w:sz w:val="18"/>
              </w:rPr>
            </w:pPr>
          </w:p>
        </w:tc>
        <w:tc>
          <w:tcPr>
            <w:tcW w:w="4500" w:type="dxa"/>
            <w:shd w:val="clear" w:color="auto" w:fill="FFFFFF" w:themeFill="background1"/>
            <w:vAlign w:val="center"/>
          </w:tcPr>
          <w:p w14:paraId="3650480D" w14:textId="70F13DE8" w:rsidR="00C342C2" w:rsidRPr="00C342C2" w:rsidRDefault="00C342C2" w:rsidP="00074CE0">
            <w:pPr>
              <w:spacing w:after="0"/>
              <w:rPr>
                <w:rFonts w:ascii="Arial" w:hAnsi="Arial" w:cs="Arial"/>
                <w:sz w:val="18"/>
              </w:rPr>
            </w:pPr>
            <w:r w:rsidRPr="00C342C2">
              <w:rPr>
                <w:rFonts w:ascii="Arial" w:hAnsi="Arial" w:cs="Arial"/>
                <w:sz w:val="18"/>
              </w:rPr>
              <w:t>Cumulative funding</w:t>
            </w:r>
            <w:r w:rsidR="0022303B">
              <w:rPr>
                <w:rFonts w:ascii="Arial" w:hAnsi="Arial" w:cs="Arial"/>
                <w:sz w:val="18"/>
              </w:rPr>
              <w:t xml:space="preserve"> (2019-203)</w:t>
            </w:r>
          </w:p>
        </w:tc>
        <w:tc>
          <w:tcPr>
            <w:tcW w:w="2302" w:type="dxa"/>
            <w:shd w:val="clear" w:color="auto" w:fill="FFFFFF" w:themeFill="background1"/>
            <w:vAlign w:val="center"/>
          </w:tcPr>
          <w:p w14:paraId="40E8F709" w14:textId="7650615A" w:rsidR="00C342C2" w:rsidRPr="00C342C2" w:rsidRDefault="00C342C2" w:rsidP="00074CE0">
            <w:pPr>
              <w:spacing w:after="0"/>
              <w:rPr>
                <w:rFonts w:ascii="Arial" w:hAnsi="Arial" w:cs="Arial"/>
                <w:sz w:val="18"/>
              </w:rPr>
            </w:pPr>
            <w:r w:rsidRPr="00C342C2">
              <w:rPr>
                <w:rFonts w:ascii="Arial" w:hAnsi="Arial" w:cs="Arial"/>
                <w:sz w:val="18"/>
              </w:rPr>
              <w:t>NA</w:t>
            </w:r>
          </w:p>
        </w:tc>
      </w:tr>
      <w:tr w:rsidR="00C342C2" w:rsidRPr="00C342C2" w14:paraId="0DA5AB71" w14:textId="77777777" w:rsidTr="00311475">
        <w:trPr>
          <w:trHeight w:val="237"/>
        </w:trPr>
        <w:tc>
          <w:tcPr>
            <w:tcW w:w="2425" w:type="dxa"/>
            <w:shd w:val="clear" w:color="auto" w:fill="FFFFFF" w:themeFill="background1"/>
            <w:vAlign w:val="center"/>
          </w:tcPr>
          <w:p w14:paraId="47CE8854" w14:textId="07DE7957" w:rsidR="00C342C2" w:rsidRPr="00C342C2" w:rsidRDefault="00311475" w:rsidP="00074CE0">
            <w:pPr>
              <w:spacing w:after="0"/>
              <w:rPr>
                <w:rFonts w:ascii="Arial" w:hAnsi="Arial" w:cs="Arial"/>
                <w:b/>
                <w:sz w:val="18"/>
              </w:rPr>
            </w:pPr>
            <w:r>
              <w:rPr>
                <w:rFonts w:ascii="Arial" w:hAnsi="Arial" w:cs="Arial"/>
                <w:b/>
                <w:sz w:val="18"/>
              </w:rPr>
              <w:t>Optimization</w:t>
            </w:r>
          </w:p>
        </w:tc>
        <w:tc>
          <w:tcPr>
            <w:tcW w:w="6802" w:type="dxa"/>
            <w:gridSpan w:val="2"/>
            <w:shd w:val="clear" w:color="auto" w:fill="FFFFFF" w:themeFill="background1"/>
            <w:vAlign w:val="center"/>
          </w:tcPr>
          <w:p w14:paraId="5950D91A" w14:textId="79E73A14" w:rsidR="00C342C2" w:rsidRPr="00C342C2" w:rsidRDefault="00C342C2" w:rsidP="00074CE0">
            <w:pPr>
              <w:spacing w:after="0"/>
              <w:rPr>
                <w:rFonts w:ascii="Arial" w:hAnsi="Arial" w:cs="Arial"/>
                <w:sz w:val="18"/>
              </w:rPr>
            </w:pPr>
            <w:r w:rsidRPr="00C342C2">
              <w:rPr>
                <w:rFonts w:ascii="Arial" w:hAnsi="Arial" w:cs="Arial"/>
                <w:sz w:val="18"/>
              </w:rPr>
              <w:t xml:space="preserve">No </w:t>
            </w:r>
            <w:r w:rsidR="00311475">
              <w:rPr>
                <w:rFonts w:ascii="Arial" w:hAnsi="Arial" w:cs="Arial"/>
                <w:sz w:val="18"/>
              </w:rPr>
              <w:t>scale-up of other interventions/efficiencies beyond AGYW package</w:t>
            </w:r>
            <w:r w:rsidR="0022303B">
              <w:rPr>
                <w:rFonts w:ascii="Arial" w:hAnsi="Arial" w:cs="Arial"/>
                <w:sz w:val="18"/>
              </w:rPr>
              <w:t xml:space="preserve"> </w:t>
            </w:r>
          </w:p>
        </w:tc>
      </w:tr>
    </w:tbl>
    <w:p w14:paraId="218035AC" w14:textId="77777777" w:rsidR="005C0BFE" w:rsidRPr="00A7659D" w:rsidRDefault="005C0BFE" w:rsidP="00A7659D">
      <w:pPr>
        <w:pStyle w:val="Heading2"/>
        <w:rPr>
          <w:b/>
          <w:bCs/>
          <w:iCs/>
          <w:color w:val="000000" w:themeColor="text1"/>
        </w:rPr>
      </w:pPr>
    </w:p>
    <w:p w14:paraId="722947EC" w14:textId="50443F9C" w:rsidR="00991EFE" w:rsidRDefault="00945F3C" w:rsidP="00A7659D">
      <w:pPr>
        <w:pStyle w:val="Heading2"/>
        <w:rPr>
          <w:rFonts w:ascii="Arial" w:hAnsi="Arial" w:cs="Arial"/>
          <w:i/>
          <w:color w:val="000000" w:themeColor="text1"/>
        </w:rPr>
      </w:pPr>
      <w:bookmarkStart w:id="128" w:name="_Toc57035221"/>
      <w:r w:rsidRPr="00A7659D">
        <w:rPr>
          <w:rFonts w:ascii="Arial" w:hAnsi="Arial" w:cs="Arial"/>
          <w:b/>
          <w:bCs/>
          <w:iCs/>
          <w:color w:val="000000" w:themeColor="text1"/>
        </w:rPr>
        <w:t xml:space="preserve">Impact of </w:t>
      </w:r>
      <w:r w:rsidR="00714721">
        <w:rPr>
          <w:rFonts w:ascii="Arial" w:hAnsi="Arial" w:cs="Arial"/>
          <w:b/>
          <w:bCs/>
          <w:iCs/>
          <w:color w:val="000000" w:themeColor="text1"/>
        </w:rPr>
        <w:t xml:space="preserve">AGYW program </w:t>
      </w:r>
      <w:r w:rsidRPr="00A7659D">
        <w:rPr>
          <w:rFonts w:ascii="Arial" w:hAnsi="Arial" w:cs="Arial"/>
          <w:b/>
          <w:bCs/>
          <w:iCs/>
          <w:color w:val="000000" w:themeColor="text1"/>
        </w:rPr>
        <w:t>scale-up</w:t>
      </w:r>
      <w:bookmarkEnd w:id="128"/>
    </w:p>
    <w:p w14:paraId="3A33C384" w14:textId="6EE081B5" w:rsidR="00C342C2" w:rsidRDefault="00C342C2" w:rsidP="00074CE0">
      <w:pPr>
        <w:spacing w:after="0"/>
      </w:pPr>
    </w:p>
    <w:p w14:paraId="35DCE607" w14:textId="7007B1DF" w:rsidR="00C342C2" w:rsidRPr="00C342C2" w:rsidRDefault="00C342C2" w:rsidP="00074CE0">
      <w:pPr>
        <w:spacing w:after="0"/>
        <w:rPr>
          <w:rFonts w:ascii="Arial" w:hAnsi="Arial" w:cs="Arial"/>
        </w:rPr>
      </w:pPr>
      <w:r w:rsidRPr="00C342C2">
        <w:rPr>
          <w:rFonts w:ascii="Arial" w:hAnsi="Arial" w:cs="Arial"/>
        </w:rPr>
        <w:t xml:space="preserve">Compared to the </w:t>
      </w:r>
      <w:r w:rsidR="00C527FE">
        <w:rPr>
          <w:rFonts w:ascii="Arial" w:hAnsi="Arial" w:cs="Arial"/>
        </w:rPr>
        <w:t>CC</w:t>
      </w:r>
      <w:r w:rsidRPr="00C342C2">
        <w:rPr>
          <w:rFonts w:ascii="Arial" w:hAnsi="Arial" w:cs="Arial"/>
        </w:rPr>
        <w:t>, the AGYW scenario would avert 3</w:t>
      </w:r>
      <w:r w:rsidR="002F43BE">
        <w:rPr>
          <w:rFonts w:ascii="Arial" w:hAnsi="Arial" w:cs="Arial"/>
        </w:rPr>
        <w:t xml:space="preserve">3,000 </w:t>
      </w:r>
      <w:r w:rsidRPr="00C342C2">
        <w:rPr>
          <w:rFonts w:ascii="Arial" w:hAnsi="Arial" w:cs="Arial"/>
        </w:rPr>
        <w:t xml:space="preserve">new infections among adolescents and young adults, about 20% of those that would occur under the </w:t>
      </w:r>
      <w:r w:rsidR="00C527FE">
        <w:rPr>
          <w:rFonts w:ascii="Arial" w:hAnsi="Arial" w:cs="Arial"/>
        </w:rPr>
        <w:t>CC</w:t>
      </w:r>
      <w:r w:rsidRPr="00C342C2">
        <w:rPr>
          <w:rFonts w:ascii="Arial" w:hAnsi="Arial" w:cs="Arial"/>
        </w:rPr>
        <w:t>.</w:t>
      </w:r>
      <w:r>
        <w:rPr>
          <w:rFonts w:ascii="Arial" w:hAnsi="Arial" w:cs="Arial"/>
        </w:rPr>
        <w:t xml:space="preserve"> </w:t>
      </w:r>
      <w:r w:rsidR="002A36BE">
        <w:rPr>
          <w:rFonts w:ascii="Arial" w:hAnsi="Arial" w:cs="Arial"/>
        </w:rPr>
        <w:t>This</w:t>
      </w:r>
      <w:r>
        <w:rPr>
          <w:rFonts w:ascii="Arial" w:hAnsi="Arial" w:cs="Arial"/>
        </w:rPr>
        <w:t xml:space="preserve"> package alone would not avert as many infections as the NS or O-</w:t>
      </w:r>
      <w:r w:rsidR="00C527FE">
        <w:rPr>
          <w:rFonts w:ascii="Arial" w:hAnsi="Arial" w:cs="Arial"/>
        </w:rPr>
        <w:t>CC</w:t>
      </w:r>
      <w:r>
        <w:rPr>
          <w:rFonts w:ascii="Arial" w:hAnsi="Arial" w:cs="Arial"/>
        </w:rPr>
        <w:t xml:space="preserve">F scenarios since ART scale-up is not assumed.  </w:t>
      </w:r>
    </w:p>
    <w:p w14:paraId="07C8DF19" w14:textId="77777777" w:rsidR="00D04C2B" w:rsidRDefault="00D04C2B" w:rsidP="00074CE0">
      <w:pPr>
        <w:spacing w:after="0"/>
        <w:rPr>
          <w:rFonts w:ascii="Arial" w:hAnsi="Arial" w:cs="Arial"/>
          <w:i/>
          <w:sz w:val="18"/>
        </w:rPr>
      </w:pPr>
    </w:p>
    <w:p w14:paraId="6A625F8B" w14:textId="77777777" w:rsidR="00CC2044" w:rsidRDefault="00CC2044">
      <w:pPr>
        <w:rPr>
          <w:rFonts w:ascii="Arial" w:hAnsi="Arial" w:cs="Arial"/>
          <w:i/>
          <w:sz w:val="18"/>
        </w:rPr>
      </w:pPr>
      <w:r>
        <w:rPr>
          <w:rFonts w:ascii="Arial" w:hAnsi="Arial" w:cs="Arial"/>
          <w:i/>
          <w:sz w:val="18"/>
        </w:rPr>
        <w:br w:type="page"/>
      </w:r>
    </w:p>
    <w:p w14:paraId="746D9BC7" w14:textId="13A2DF6F" w:rsidR="00945F3C" w:rsidRDefault="00E229CA" w:rsidP="00074CE0">
      <w:pPr>
        <w:spacing w:after="0"/>
      </w:pPr>
      <w:r w:rsidRPr="00E229CA">
        <w:rPr>
          <w:rFonts w:ascii="Arial" w:hAnsi="Arial" w:cs="Arial"/>
          <w:i/>
          <w:sz w:val="18"/>
        </w:rPr>
        <w:t xml:space="preserve">Figure </w:t>
      </w:r>
      <w:r w:rsidR="005C0BFE">
        <w:rPr>
          <w:rFonts w:ascii="Arial" w:hAnsi="Arial" w:cs="Arial"/>
          <w:i/>
          <w:sz w:val="18"/>
        </w:rPr>
        <w:t>8-7</w:t>
      </w:r>
      <w:r w:rsidRPr="00E229CA">
        <w:rPr>
          <w:rFonts w:ascii="Arial" w:hAnsi="Arial" w:cs="Arial"/>
          <w:i/>
          <w:sz w:val="18"/>
        </w:rPr>
        <w:t>. New infections among AGYW 2019-2030</w:t>
      </w:r>
    </w:p>
    <w:p w14:paraId="21220990" w14:textId="6EEFB001" w:rsidR="00A24FFC" w:rsidRPr="00C342C2" w:rsidRDefault="00E229CA" w:rsidP="00444084">
      <w:pPr>
        <w:rPr>
          <w:rFonts w:ascii="Arial" w:hAnsi="Arial" w:cs="Arial"/>
          <w:color w:val="000000" w:themeColor="text1"/>
        </w:rPr>
      </w:pPr>
      <w:r w:rsidRPr="00A24FFC">
        <w:rPr>
          <w:rFonts w:ascii="Arial" w:hAnsi="Arial" w:cs="Arial"/>
          <w:noProof/>
        </w:rPr>
        <w:drawing>
          <wp:inline distT="0" distB="0" distL="0" distR="0" wp14:anchorId="1FCA5B6C" wp14:editId="24CC4BD8">
            <wp:extent cx="5603875" cy="2404533"/>
            <wp:effectExtent l="0" t="0" r="15875" b="15240"/>
            <wp:docPr id="132" name="Chart 132">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1472E1" w14:textId="363AD27F" w:rsidR="00811ACF" w:rsidRPr="00A7659D" w:rsidRDefault="00991EFE" w:rsidP="00A7659D">
      <w:pPr>
        <w:pStyle w:val="Heading2"/>
        <w:rPr>
          <w:rFonts w:ascii="Arial" w:hAnsi="Arial" w:cs="Arial"/>
          <w:b/>
          <w:bCs/>
          <w:color w:val="000000" w:themeColor="text1"/>
        </w:rPr>
      </w:pPr>
      <w:r w:rsidRPr="00A7659D">
        <w:rPr>
          <w:rFonts w:ascii="Arial" w:hAnsi="Arial" w:cs="Arial"/>
          <w:b/>
          <w:bCs/>
          <w:color w:val="000000" w:themeColor="text1"/>
        </w:rPr>
        <w:t xml:space="preserve"> </w:t>
      </w:r>
      <w:bookmarkStart w:id="129" w:name="_Toc57035222"/>
      <w:r w:rsidR="00945F3C" w:rsidRPr="00A7659D">
        <w:rPr>
          <w:rFonts w:ascii="Arial" w:hAnsi="Arial" w:cs="Arial"/>
          <w:b/>
          <w:bCs/>
          <w:color w:val="000000" w:themeColor="text1"/>
        </w:rPr>
        <w:t xml:space="preserve">Costs of </w:t>
      </w:r>
      <w:r w:rsidR="00714721">
        <w:rPr>
          <w:rFonts w:ascii="Arial" w:hAnsi="Arial" w:cs="Arial"/>
          <w:b/>
          <w:bCs/>
          <w:color w:val="000000" w:themeColor="text1"/>
        </w:rPr>
        <w:t xml:space="preserve">AGYW prevention </w:t>
      </w:r>
      <w:r w:rsidR="00945F3C" w:rsidRPr="00A7659D">
        <w:rPr>
          <w:rFonts w:ascii="Arial" w:hAnsi="Arial" w:cs="Arial"/>
          <w:b/>
          <w:bCs/>
          <w:color w:val="000000" w:themeColor="text1"/>
        </w:rPr>
        <w:t>scale-up</w:t>
      </w:r>
      <w:bookmarkEnd w:id="129"/>
    </w:p>
    <w:p w14:paraId="4D58FC8F" w14:textId="69DDD9C8" w:rsidR="00074CE0" w:rsidRDefault="00074CE0" w:rsidP="00444084">
      <w:pPr>
        <w:spacing w:after="0"/>
      </w:pPr>
    </w:p>
    <w:p w14:paraId="7EF8B3B4" w14:textId="094818E5" w:rsidR="00074CE0" w:rsidRDefault="00074CE0" w:rsidP="00074CE0">
      <w:pPr>
        <w:rPr>
          <w:rFonts w:ascii="Arial" w:hAnsi="Arial" w:cs="Arial"/>
        </w:rPr>
      </w:pPr>
      <w:r w:rsidRPr="00074CE0">
        <w:rPr>
          <w:rFonts w:ascii="Arial" w:hAnsi="Arial" w:cs="Arial"/>
        </w:rPr>
        <w:t xml:space="preserve">As expected, the costs of the AGYW scale-up would be expensive—even with assuming </w:t>
      </w:r>
      <w:r w:rsidR="007C4173">
        <w:rPr>
          <w:rFonts w:ascii="Arial" w:hAnsi="Arial" w:cs="Arial"/>
        </w:rPr>
        <w:t>constant</w:t>
      </w:r>
      <w:r w:rsidRPr="00074CE0">
        <w:rPr>
          <w:rFonts w:ascii="Arial" w:hAnsi="Arial" w:cs="Arial"/>
        </w:rPr>
        <w:t xml:space="preserve"> ART coverage, the total costs </w:t>
      </w:r>
      <w:r w:rsidR="00197248">
        <w:rPr>
          <w:rFonts w:ascii="Arial" w:hAnsi="Arial" w:cs="Arial"/>
        </w:rPr>
        <w:t>would start at over USD 150 M annually in 2030 and then would reach USD 275 M annually by 2030.</w:t>
      </w:r>
    </w:p>
    <w:p w14:paraId="155309D6" w14:textId="63CB3DBC" w:rsidR="00A24FFC" w:rsidRPr="00585A95" w:rsidRDefault="00074CE0" w:rsidP="00A24FFC">
      <w:pPr>
        <w:rPr>
          <w:rFonts w:ascii="Arial" w:hAnsi="Arial" w:cs="Arial"/>
          <w:i/>
          <w:sz w:val="18"/>
        </w:rPr>
      </w:pPr>
      <w:r w:rsidRPr="00074CE0">
        <w:rPr>
          <w:rFonts w:ascii="Arial" w:hAnsi="Arial" w:cs="Arial"/>
          <w:i/>
          <w:sz w:val="18"/>
        </w:rPr>
        <w:t xml:space="preserve">Figure </w:t>
      </w:r>
      <w:r w:rsidR="005C0BFE">
        <w:rPr>
          <w:rFonts w:ascii="Arial" w:hAnsi="Arial" w:cs="Arial"/>
          <w:i/>
          <w:sz w:val="18"/>
        </w:rPr>
        <w:t>8-</w:t>
      </w:r>
      <w:r w:rsidR="00585A95">
        <w:rPr>
          <w:rFonts w:ascii="Arial" w:hAnsi="Arial" w:cs="Arial"/>
          <w:i/>
          <w:sz w:val="18"/>
        </w:rPr>
        <w:t>8</w:t>
      </w:r>
      <w:r w:rsidR="005C0BFE">
        <w:rPr>
          <w:rFonts w:ascii="Arial" w:hAnsi="Arial" w:cs="Arial"/>
          <w:i/>
          <w:sz w:val="18"/>
        </w:rPr>
        <w:t>.</w:t>
      </w:r>
      <w:r w:rsidRPr="00074CE0">
        <w:rPr>
          <w:rFonts w:ascii="Arial" w:hAnsi="Arial" w:cs="Arial"/>
          <w:i/>
          <w:sz w:val="18"/>
        </w:rPr>
        <w:t xml:space="preserve"> Costs of AGYW scenario compared to </w:t>
      </w:r>
      <w:r w:rsidR="007C4173">
        <w:rPr>
          <w:rFonts w:ascii="Arial" w:hAnsi="Arial" w:cs="Arial"/>
          <w:i/>
          <w:sz w:val="18"/>
        </w:rPr>
        <w:t>CC</w:t>
      </w:r>
      <w:r w:rsidRPr="00074CE0">
        <w:rPr>
          <w:rFonts w:ascii="Arial" w:hAnsi="Arial" w:cs="Arial"/>
          <w:i/>
          <w:sz w:val="18"/>
        </w:rPr>
        <w:t>, NS, and O-</w:t>
      </w:r>
      <w:r w:rsidR="007C4173">
        <w:rPr>
          <w:rFonts w:ascii="Arial" w:hAnsi="Arial" w:cs="Arial"/>
          <w:i/>
          <w:sz w:val="18"/>
        </w:rPr>
        <w:t>CC</w:t>
      </w:r>
      <w:r w:rsidRPr="00074CE0">
        <w:rPr>
          <w:rFonts w:ascii="Arial" w:hAnsi="Arial" w:cs="Arial"/>
          <w:i/>
          <w:sz w:val="18"/>
        </w:rPr>
        <w:t>F</w:t>
      </w:r>
    </w:p>
    <w:p w14:paraId="562684A3" w14:textId="7C400601" w:rsidR="00074CE0" w:rsidRDefault="00A24FFC" w:rsidP="00444084">
      <w:r w:rsidRPr="00A24FFC">
        <w:rPr>
          <w:noProof/>
        </w:rPr>
        <w:drawing>
          <wp:inline distT="0" distB="0" distL="0" distR="0" wp14:anchorId="0CB90F14" wp14:editId="1A2D40AF">
            <wp:extent cx="5562600" cy="2493818"/>
            <wp:effectExtent l="0" t="0" r="0" b="1905"/>
            <wp:docPr id="129" name="Chart 129">
              <a:extLst xmlns:a="http://schemas.openxmlformats.org/drawingml/2006/main">
                <a:ext uri="{FF2B5EF4-FFF2-40B4-BE49-F238E27FC236}">
                  <a16:creationId xmlns:a16="http://schemas.microsoft.com/office/drawing/2014/main" id="{DA7348F0-181E-4E61-A1EC-6DE3331D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9FFCB1" w14:textId="79182958" w:rsidR="00074CE0" w:rsidRDefault="00074CE0" w:rsidP="00945F3C">
      <w:pPr>
        <w:rPr>
          <w:rFonts w:ascii="Arial" w:hAnsi="Arial" w:cs="Arial"/>
        </w:rPr>
      </w:pPr>
      <w:r w:rsidRPr="00801142">
        <w:rPr>
          <w:rFonts w:ascii="Arial" w:hAnsi="Arial" w:cs="Arial"/>
        </w:rPr>
        <w:t xml:space="preserve">The costs of the different program components are shown below in </w:t>
      </w:r>
      <w:r w:rsidRPr="00585A95">
        <w:rPr>
          <w:rFonts w:ascii="Arial" w:hAnsi="Arial" w:cs="Arial"/>
          <w:i/>
        </w:rPr>
        <w:t xml:space="preserve">Figure </w:t>
      </w:r>
      <w:r w:rsidR="005C0BFE" w:rsidRPr="00585A95">
        <w:rPr>
          <w:rFonts w:ascii="Arial" w:hAnsi="Arial" w:cs="Arial"/>
          <w:i/>
        </w:rPr>
        <w:t>8-</w:t>
      </w:r>
      <w:r w:rsidR="00585A95" w:rsidRPr="00585A95">
        <w:rPr>
          <w:rFonts w:ascii="Arial" w:hAnsi="Arial" w:cs="Arial"/>
          <w:i/>
        </w:rPr>
        <w:t>9</w:t>
      </w:r>
      <w:r w:rsidRPr="00585A95">
        <w:rPr>
          <w:rFonts w:ascii="Arial" w:hAnsi="Arial" w:cs="Arial"/>
          <w:i/>
        </w:rPr>
        <w:t>.</w:t>
      </w:r>
      <w:r w:rsidR="00801142">
        <w:rPr>
          <w:rFonts w:ascii="Arial" w:hAnsi="Arial" w:cs="Arial"/>
        </w:rPr>
        <w:t xml:space="preserve"> Cash transfers would cost more than half the program (55%) at USD 1.4 B</w:t>
      </w:r>
      <w:r w:rsidRPr="00801142">
        <w:rPr>
          <w:rFonts w:ascii="Arial" w:hAnsi="Arial" w:cs="Arial"/>
        </w:rPr>
        <w:t xml:space="preserve"> </w:t>
      </w:r>
      <w:r w:rsidR="00801142">
        <w:rPr>
          <w:rFonts w:ascii="Arial" w:hAnsi="Arial" w:cs="Arial"/>
        </w:rPr>
        <w:t xml:space="preserve">from 2019-2030. PrEP would represent more than a third of the program’s costs at USD 852 M. VMMC, condoms, and sexuality education would </w:t>
      </w:r>
      <w:r w:rsidR="00C75DB1">
        <w:rPr>
          <w:rFonts w:ascii="Arial" w:hAnsi="Arial" w:cs="Arial"/>
        </w:rPr>
        <w:t>account for</w:t>
      </w:r>
      <w:r w:rsidR="00801142">
        <w:rPr>
          <w:rFonts w:ascii="Arial" w:hAnsi="Arial" w:cs="Arial"/>
        </w:rPr>
        <w:t xml:space="preserve"> less than 5% of the costs. </w:t>
      </w:r>
    </w:p>
    <w:p w14:paraId="7A6A2684" w14:textId="51033A60" w:rsidR="00801142" w:rsidRDefault="00801142" w:rsidP="00945F3C">
      <w:pPr>
        <w:rPr>
          <w:rFonts w:ascii="Arial" w:hAnsi="Arial" w:cs="Arial"/>
        </w:rPr>
      </w:pPr>
      <w:r>
        <w:rPr>
          <w:rFonts w:ascii="Arial" w:hAnsi="Arial" w:cs="Arial"/>
        </w:rPr>
        <w:t xml:space="preserve">The costs of this set of interventions under </w:t>
      </w:r>
      <w:r w:rsidR="005C0BFE">
        <w:rPr>
          <w:rFonts w:ascii="Arial" w:hAnsi="Arial" w:cs="Arial"/>
        </w:rPr>
        <w:t xml:space="preserve">no </w:t>
      </w:r>
      <w:r>
        <w:rPr>
          <w:rFonts w:ascii="Arial" w:hAnsi="Arial" w:cs="Arial"/>
        </w:rPr>
        <w:t xml:space="preserve">AGYW program scale-up are shown in the </w:t>
      </w:r>
      <w:r w:rsidR="005C0BFE">
        <w:rPr>
          <w:rFonts w:ascii="Arial" w:hAnsi="Arial" w:cs="Arial"/>
        </w:rPr>
        <w:t>far-</w:t>
      </w:r>
      <w:r>
        <w:rPr>
          <w:rFonts w:ascii="Arial" w:hAnsi="Arial" w:cs="Arial"/>
        </w:rPr>
        <w:t>right column. These are the costs that would be seen</w:t>
      </w:r>
      <w:r w:rsidR="005C0BFE">
        <w:rPr>
          <w:rFonts w:ascii="Arial" w:hAnsi="Arial" w:cs="Arial"/>
        </w:rPr>
        <w:t xml:space="preserve"> for AGYW interventions</w:t>
      </w:r>
      <w:r>
        <w:rPr>
          <w:rFonts w:ascii="Arial" w:hAnsi="Arial" w:cs="Arial"/>
        </w:rPr>
        <w:t xml:space="preserve"> under </w:t>
      </w:r>
      <w:r w:rsidR="00C527FE">
        <w:rPr>
          <w:rFonts w:ascii="Arial" w:hAnsi="Arial" w:cs="Arial"/>
        </w:rPr>
        <w:t>CC</w:t>
      </w:r>
      <w:r>
        <w:rPr>
          <w:rFonts w:ascii="Arial" w:hAnsi="Arial" w:cs="Arial"/>
        </w:rPr>
        <w:t>. In comparison</w:t>
      </w:r>
      <w:r w:rsidR="005C0BFE">
        <w:rPr>
          <w:rFonts w:ascii="Arial" w:hAnsi="Arial" w:cs="Arial"/>
        </w:rPr>
        <w:t xml:space="preserve"> to the </w:t>
      </w:r>
      <w:r w:rsidR="00C527FE">
        <w:rPr>
          <w:rFonts w:ascii="Arial" w:hAnsi="Arial" w:cs="Arial"/>
        </w:rPr>
        <w:t>CC</w:t>
      </w:r>
      <w:r w:rsidR="005C0BFE">
        <w:rPr>
          <w:rFonts w:ascii="Arial" w:hAnsi="Arial" w:cs="Arial"/>
        </w:rPr>
        <w:t xml:space="preserve"> package of AGYW interventions,</w:t>
      </w:r>
      <w:r>
        <w:rPr>
          <w:rFonts w:ascii="Arial" w:hAnsi="Arial" w:cs="Arial"/>
        </w:rPr>
        <w:t xml:space="preserve"> the AGYW scale-up would cost</w:t>
      </w:r>
      <w:r w:rsidR="00B34410">
        <w:rPr>
          <w:rFonts w:ascii="Arial" w:hAnsi="Arial" w:cs="Arial"/>
        </w:rPr>
        <w:t xml:space="preserve"> almost</w:t>
      </w:r>
      <w:r>
        <w:rPr>
          <w:rFonts w:ascii="Arial" w:hAnsi="Arial" w:cs="Arial"/>
        </w:rPr>
        <w:t xml:space="preserve"> USD 2.0 B more</w:t>
      </w:r>
      <w:r w:rsidR="00F8464F">
        <w:rPr>
          <w:rFonts w:ascii="Arial" w:hAnsi="Arial" w:cs="Arial"/>
        </w:rPr>
        <w:t xml:space="preserve"> from 2019-2030.</w:t>
      </w:r>
    </w:p>
    <w:p w14:paraId="4ED2E6FB" w14:textId="0BF41848" w:rsidR="002F43BE" w:rsidRDefault="002F43BE" w:rsidP="00945F3C">
      <w:pPr>
        <w:rPr>
          <w:rFonts w:ascii="Arial" w:hAnsi="Arial" w:cs="Arial"/>
        </w:rPr>
      </w:pPr>
    </w:p>
    <w:p w14:paraId="2E54479E" w14:textId="77777777" w:rsidR="002F43BE" w:rsidRPr="00801142" w:rsidRDefault="002F43BE" w:rsidP="00945F3C">
      <w:pPr>
        <w:rPr>
          <w:rFonts w:ascii="Arial" w:hAnsi="Arial" w:cs="Arial"/>
        </w:rPr>
      </w:pPr>
    </w:p>
    <w:p w14:paraId="312D65D4" w14:textId="7EDCB490" w:rsidR="00074CE0" w:rsidRPr="00801142" w:rsidRDefault="00801142" w:rsidP="00945F3C">
      <w:pPr>
        <w:rPr>
          <w:rFonts w:ascii="Arial" w:hAnsi="Arial" w:cs="Arial"/>
          <w:i/>
          <w:sz w:val="18"/>
        </w:rPr>
      </w:pPr>
      <w:r w:rsidRPr="00801142">
        <w:rPr>
          <w:rFonts w:ascii="Arial" w:hAnsi="Arial" w:cs="Arial"/>
          <w:i/>
          <w:sz w:val="18"/>
        </w:rPr>
        <w:t xml:space="preserve">Figure </w:t>
      </w:r>
      <w:r w:rsidR="005C0BFE">
        <w:rPr>
          <w:rFonts w:ascii="Arial" w:hAnsi="Arial" w:cs="Arial"/>
          <w:i/>
          <w:sz w:val="18"/>
        </w:rPr>
        <w:t>8-</w:t>
      </w:r>
      <w:r w:rsidR="00585A95">
        <w:rPr>
          <w:rFonts w:ascii="Arial" w:hAnsi="Arial" w:cs="Arial"/>
          <w:i/>
          <w:sz w:val="18"/>
        </w:rPr>
        <w:t>9</w:t>
      </w:r>
      <w:r w:rsidR="005C0BFE">
        <w:rPr>
          <w:rFonts w:ascii="Arial" w:hAnsi="Arial" w:cs="Arial"/>
          <w:i/>
          <w:sz w:val="18"/>
        </w:rPr>
        <w:t>.</w:t>
      </w:r>
      <w:r w:rsidRPr="00801142">
        <w:rPr>
          <w:rFonts w:ascii="Arial" w:hAnsi="Arial" w:cs="Arial"/>
          <w:i/>
          <w:sz w:val="18"/>
        </w:rPr>
        <w:t xml:space="preserve"> AGYW scale-up costs broken down by intervention</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046"/>
        <w:gridCol w:w="1059"/>
        <w:gridCol w:w="1067"/>
        <w:gridCol w:w="1602"/>
        <w:gridCol w:w="971"/>
        <w:gridCol w:w="1482"/>
        <w:gridCol w:w="1215"/>
      </w:tblGrid>
      <w:tr w:rsidR="00074CE0" w:rsidRPr="00074CE0" w14:paraId="1C484824" w14:textId="77777777" w:rsidTr="00667C88">
        <w:trPr>
          <w:trHeight w:val="358"/>
        </w:trPr>
        <w:tc>
          <w:tcPr>
            <w:tcW w:w="1178" w:type="dxa"/>
            <w:shd w:val="clear" w:color="auto" w:fill="C00000"/>
            <w:noWrap/>
            <w:vAlign w:val="center"/>
            <w:hideMark/>
          </w:tcPr>
          <w:p w14:paraId="6A6ABF29" w14:textId="5B07D804" w:rsidR="00074CE0" w:rsidRPr="00F8464F" w:rsidRDefault="00801142"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(USD M)</w:t>
            </w:r>
          </w:p>
        </w:tc>
        <w:tc>
          <w:tcPr>
            <w:tcW w:w="969" w:type="dxa"/>
            <w:shd w:val="clear" w:color="auto" w:fill="C00000"/>
            <w:noWrap/>
            <w:vAlign w:val="center"/>
            <w:hideMark/>
          </w:tcPr>
          <w:p w14:paraId="1C3477C4" w14:textId="77777777"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Condoms</w:t>
            </w:r>
          </w:p>
        </w:tc>
        <w:tc>
          <w:tcPr>
            <w:tcW w:w="1059" w:type="dxa"/>
            <w:shd w:val="clear" w:color="auto" w:fill="C00000"/>
            <w:noWrap/>
            <w:vAlign w:val="center"/>
            <w:hideMark/>
          </w:tcPr>
          <w:p w14:paraId="23E36BF4" w14:textId="77777777"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PrEP</w:t>
            </w:r>
          </w:p>
        </w:tc>
        <w:tc>
          <w:tcPr>
            <w:tcW w:w="1010" w:type="dxa"/>
            <w:shd w:val="clear" w:color="auto" w:fill="C00000"/>
            <w:noWrap/>
            <w:vAlign w:val="center"/>
            <w:hideMark/>
          </w:tcPr>
          <w:p w14:paraId="0D5CAD5C" w14:textId="77777777"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 xml:space="preserve">Sexuality </w:t>
            </w:r>
          </w:p>
          <w:p w14:paraId="66B129A2" w14:textId="1D958D5B"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education</w:t>
            </w:r>
          </w:p>
        </w:tc>
        <w:tc>
          <w:tcPr>
            <w:tcW w:w="1602" w:type="dxa"/>
            <w:shd w:val="clear" w:color="auto" w:fill="C00000"/>
            <w:noWrap/>
            <w:vAlign w:val="center"/>
            <w:hideMark/>
          </w:tcPr>
          <w:p w14:paraId="27CF5A13" w14:textId="77777777" w:rsidR="00B0220B" w:rsidRDefault="00B0220B" w:rsidP="00F8464F">
            <w:pPr>
              <w:spacing w:after="0" w:line="240" w:lineRule="auto"/>
              <w:rPr>
                <w:rFonts w:ascii="Arial" w:eastAsia="Times New Roman" w:hAnsi="Arial" w:cs="Arial"/>
                <w:b/>
                <w:color w:val="FFFFFF" w:themeColor="background1"/>
                <w:sz w:val="18"/>
                <w:szCs w:val="22"/>
              </w:rPr>
            </w:pPr>
            <w:r>
              <w:rPr>
                <w:rFonts w:ascii="Arial" w:eastAsia="Times New Roman" w:hAnsi="Arial" w:cs="Arial"/>
                <w:b/>
                <w:color w:val="FFFFFF" w:themeColor="background1"/>
                <w:sz w:val="18"/>
                <w:szCs w:val="22"/>
              </w:rPr>
              <w:t>Economic empowerment</w:t>
            </w:r>
          </w:p>
          <w:p w14:paraId="35971C52" w14:textId="4199DDEB" w:rsidR="00074CE0" w:rsidRPr="00F8464F" w:rsidRDefault="00B0220B" w:rsidP="00F8464F">
            <w:pPr>
              <w:spacing w:after="0" w:line="240" w:lineRule="auto"/>
              <w:rPr>
                <w:rFonts w:ascii="Arial" w:eastAsia="Times New Roman" w:hAnsi="Arial" w:cs="Arial"/>
                <w:b/>
                <w:color w:val="FFFFFF" w:themeColor="background1"/>
                <w:sz w:val="18"/>
                <w:szCs w:val="22"/>
              </w:rPr>
            </w:pPr>
            <w:r>
              <w:rPr>
                <w:rFonts w:ascii="Arial" w:eastAsia="Times New Roman" w:hAnsi="Arial" w:cs="Arial"/>
                <w:b/>
                <w:color w:val="FFFFFF" w:themeColor="background1"/>
                <w:sz w:val="18"/>
                <w:szCs w:val="22"/>
              </w:rPr>
              <w:t>(</w:t>
            </w:r>
            <w:r w:rsidR="00074CE0" w:rsidRPr="00F8464F">
              <w:rPr>
                <w:rFonts w:ascii="Arial" w:eastAsia="Times New Roman" w:hAnsi="Arial" w:cs="Arial"/>
                <w:b/>
                <w:color w:val="FFFFFF" w:themeColor="background1"/>
                <w:sz w:val="18"/>
                <w:szCs w:val="22"/>
              </w:rPr>
              <w:t>Cash transfers</w:t>
            </w:r>
            <w:r>
              <w:rPr>
                <w:rFonts w:ascii="Arial" w:eastAsia="Times New Roman" w:hAnsi="Arial" w:cs="Arial"/>
                <w:b/>
                <w:color w:val="FFFFFF" w:themeColor="background1"/>
                <w:sz w:val="18"/>
                <w:szCs w:val="22"/>
              </w:rPr>
              <w:t>)</w:t>
            </w:r>
          </w:p>
        </w:tc>
        <w:tc>
          <w:tcPr>
            <w:tcW w:w="971" w:type="dxa"/>
            <w:shd w:val="clear" w:color="auto" w:fill="C00000"/>
            <w:noWrap/>
            <w:vAlign w:val="center"/>
            <w:hideMark/>
          </w:tcPr>
          <w:p w14:paraId="012641EC" w14:textId="77777777"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VMMC</w:t>
            </w:r>
          </w:p>
        </w:tc>
        <w:tc>
          <w:tcPr>
            <w:tcW w:w="1482" w:type="dxa"/>
            <w:tcBorders>
              <w:right w:val="single" w:sz="36" w:space="0" w:color="auto"/>
            </w:tcBorders>
            <w:shd w:val="clear" w:color="auto" w:fill="C00000"/>
            <w:noWrap/>
            <w:vAlign w:val="center"/>
            <w:hideMark/>
          </w:tcPr>
          <w:p w14:paraId="33BB9CD4" w14:textId="28A26604"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Total</w:t>
            </w:r>
            <w:r w:rsidR="00F8464F">
              <w:rPr>
                <w:rFonts w:ascii="Arial" w:eastAsia="Times New Roman" w:hAnsi="Arial" w:cs="Arial"/>
                <w:b/>
                <w:color w:val="FFFFFF" w:themeColor="background1"/>
                <w:sz w:val="18"/>
                <w:szCs w:val="22"/>
              </w:rPr>
              <w:t xml:space="preserve"> </w:t>
            </w:r>
            <w:r w:rsidRPr="00F8464F">
              <w:rPr>
                <w:rFonts w:ascii="Arial" w:eastAsia="Times New Roman" w:hAnsi="Arial" w:cs="Arial"/>
                <w:b/>
                <w:color w:val="FFFFFF" w:themeColor="background1"/>
                <w:sz w:val="18"/>
                <w:szCs w:val="22"/>
              </w:rPr>
              <w:t>AGYW</w:t>
            </w:r>
          </w:p>
        </w:tc>
        <w:tc>
          <w:tcPr>
            <w:tcW w:w="1215" w:type="dxa"/>
            <w:tcBorders>
              <w:left w:val="single" w:sz="36" w:space="0" w:color="auto"/>
            </w:tcBorders>
            <w:shd w:val="clear" w:color="auto" w:fill="C00000"/>
            <w:noWrap/>
            <w:vAlign w:val="center"/>
            <w:hideMark/>
          </w:tcPr>
          <w:p w14:paraId="3F7C3D4B" w14:textId="331B3772" w:rsidR="00074CE0" w:rsidRPr="00F8464F" w:rsidRDefault="00074CE0" w:rsidP="00F8464F">
            <w:pPr>
              <w:spacing w:after="0" w:line="240" w:lineRule="auto"/>
              <w:rPr>
                <w:rFonts w:ascii="Arial" w:eastAsia="Times New Roman" w:hAnsi="Arial" w:cs="Arial"/>
                <w:b/>
                <w:color w:val="FFFFFF" w:themeColor="background1"/>
                <w:sz w:val="18"/>
                <w:szCs w:val="22"/>
              </w:rPr>
            </w:pPr>
            <w:r w:rsidRPr="00F8464F">
              <w:rPr>
                <w:rFonts w:ascii="Arial" w:eastAsia="Times New Roman" w:hAnsi="Arial" w:cs="Arial"/>
                <w:b/>
                <w:color w:val="FFFFFF" w:themeColor="background1"/>
                <w:sz w:val="18"/>
                <w:szCs w:val="22"/>
              </w:rPr>
              <w:t>No Scale-up</w:t>
            </w:r>
          </w:p>
        </w:tc>
      </w:tr>
      <w:tr w:rsidR="00074CE0" w:rsidRPr="00074CE0" w14:paraId="0603B2D1" w14:textId="77777777" w:rsidTr="00667C88">
        <w:trPr>
          <w:trHeight w:val="358"/>
        </w:trPr>
        <w:tc>
          <w:tcPr>
            <w:tcW w:w="1178" w:type="dxa"/>
            <w:shd w:val="clear" w:color="auto" w:fill="auto"/>
            <w:noWrap/>
            <w:vAlign w:val="center"/>
            <w:hideMark/>
          </w:tcPr>
          <w:p w14:paraId="1D936B4F"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2019</w:t>
            </w:r>
          </w:p>
        </w:tc>
        <w:tc>
          <w:tcPr>
            <w:tcW w:w="969" w:type="dxa"/>
            <w:shd w:val="clear" w:color="auto" w:fill="auto"/>
            <w:noWrap/>
            <w:vAlign w:val="center"/>
            <w:hideMark/>
          </w:tcPr>
          <w:p w14:paraId="3B886A4D"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w:t>
            </w:r>
          </w:p>
        </w:tc>
        <w:tc>
          <w:tcPr>
            <w:tcW w:w="1059" w:type="dxa"/>
            <w:shd w:val="clear" w:color="auto" w:fill="auto"/>
            <w:noWrap/>
            <w:vAlign w:val="center"/>
            <w:hideMark/>
          </w:tcPr>
          <w:p w14:paraId="7B62D31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0</w:t>
            </w:r>
          </w:p>
        </w:tc>
        <w:tc>
          <w:tcPr>
            <w:tcW w:w="1010" w:type="dxa"/>
            <w:shd w:val="clear" w:color="auto" w:fill="auto"/>
            <w:noWrap/>
            <w:vAlign w:val="center"/>
            <w:hideMark/>
          </w:tcPr>
          <w:p w14:paraId="19488E92"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w:t>
            </w:r>
          </w:p>
        </w:tc>
        <w:tc>
          <w:tcPr>
            <w:tcW w:w="1602" w:type="dxa"/>
            <w:shd w:val="clear" w:color="auto" w:fill="auto"/>
            <w:noWrap/>
            <w:vAlign w:val="center"/>
            <w:hideMark/>
          </w:tcPr>
          <w:p w14:paraId="0F922486"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971" w:type="dxa"/>
            <w:shd w:val="clear" w:color="auto" w:fill="auto"/>
            <w:noWrap/>
            <w:vAlign w:val="center"/>
            <w:hideMark/>
          </w:tcPr>
          <w:p w14:paraId="748FE5F8"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19</w:t>
            </w:r>
          </w:p>
        </w:tc>
        <w:tc>
          <w:tcPr>
            <w:tcW w:w="1482" w:type="dxa"/>
            <w:tcBorders>
              <w:right w:val="single" w:sz="36" w:space="0" w:color="auto"/>
            </w:tcBorders>
            <w:shd w:val="clear" w:color="auto" w:fill="auto"/>
            <w:noWrap/>
            <w:vAlign w:val="center"/>
            <w:hideMark/>
          </w:tcPr>
          <w:p w14:paraId="4F764B4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31</w:t>
            </w:r>
          </w:p>
        </w:tc>
        <w:tc>
          <w:tcPr>
            <w:tcW w:w="1215" w:type="dxa"/>
            <w:tcBorders>
              <w:left w:val="single" w:sz="36" w:space="0" w:color="auto"/>
            </w:tcBorders>
            <w:shd w:val="clear" w:color="auto" w:fill="auto"/>
            <w:noWrap/>
            <w:vAlign w:val="center"/>
            <w:hideMark/>
          </w:tcPr>
          <w:p w14:paraId="08322009"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37</w:t>
            </w:r>
          </w:p>
        </w:tc>
      </w:tr>
      <w:tr w:rsidR="00074CE0" w:rsidRPr="00074CE0" w14:paraId="190E828B" w14:textId="77777777" w:rsidTr="00667C88">
        <w:trPr>
          <w:trHeight w:val="358"/>
        </w:trPr>
        <w:tc>
          <w:tcPr>
            <w:tcW w:w="1178" w:type="dxa"/>
            <w:shd w:val="clear" w:color="auto" w:fill="auto"/>
            <w:noWrap/>
            <w:vAlign w:val="center"/>
            <w:hideMark/>
          </w:tcPr>
          <w:p w14:paraId="56EFC295"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2020</w:t>
            </w:r>
          </w:p>
        </w:tc>
        <w:tc>
          <w:tcPr>
            <w:tcW w:w="969" w:type="dxa"/>
            <w:shd w:val="clear" w:color="auto" w:fill="auto"/>
            <w:noWrap/>
            <w:vAlign w:val="center"/>
            <w:hideMark/>
          </w:tcPr>
          <w:p w14:paraId="4708B2F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w:t>
            </w:r>
          </w:p>
        </w:tc>
        <w:tc>
          <w:tcPr>
            <w:tcW w:w="1059" w:type="dxa"/>
            <w:shd w:val="clear" w:color="auto" w:fill="auto"/>
            <w:noWrap/>
            <w:vAlign w:val="center"/>
            <w:hideMark/>
          </w:tcPr>
          <w:p w14:paraId="33C733C1"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19</w:t>
            </w:r>
          </w:p>
        </w:tc>
        <w:tc>
          <w:tcPr>
            <w:tcW w:w="1010" w:type="dxa"/>
            <w:shd w:val="clear" w:color="auto" w:fill="auto"/>
            <w:noWrap/>
            <w:vAlign w:val="center"/>
            <w:hideMark/>
          </w:tcPr>
          <w:p w14:paraId="7C19548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602" w:type="dxa"/>
            <w:shd w:val="clear" w:color="auto" w:fill="auto"/>
            <w:noWrap/>
            <w:vAlign w:val="center"/>
            <w:hideMark/>
          </w:tcPr>
          <w:p w14:paraId="72CC513F"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106</w:t>
            </w:r>
          </w:p>
        </w:tc>
        <w:tc>
          <w:tcPr>
            <w:tcW w:w="971" w:type="dxa"/>
            <w:shd w:val="clear" w:color="auto" w:fill="auto"/>
            <w:noWrap/>
            <w:vAlign w:val="center"/>
            <w:hideMark/>
          </w:tcPr>
          <w:p w14:paraId="2355E37C"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20</w:t>
            </w:r>
          </w:p>
        </w:tc>
        <w:tc>
          <w:tcPr>
            <w:tcW w:w="1482" w:type="dxa"/>
            <w:tcBorders>
              <w:right w:val="single" w:sz="36" w:space="0" w:color="auto"/>
            </w:tcBorders>
            <w:shd w:val="clear" w:color="auto" w:fill="auto"/>
            <w:noWrap/>
            <w:vAlign w:val="center"/>
            <w:hideMark/>
          </w:tcPr>
          <w:p w14:paraId="3104E0C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153</w:t>
            </w:r>
          </w:p>
        </w:tc>
        <w:tc>
          <w:tcPr>
            <w:tcW w:w="1215" w:type="dxa"/>
            <w:tcBorders>
              <w:left w:val="single" w:sz="36" w:space="0" w:color="auto"/>
            </w:tcBorders>
            <w:shd w:val="clear" w:color="auto" w:fill="auto"/>
            <w:noWrap/>
            <w:vAlign w:val="center"/>
            <w:hideMark/>
          </w:tcPr>
          <w:p w14:paraId="23308FEF"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38</w:t>
            </w:r>
          </w:p>
        </w:tc>
      </w:tr>
      <w:tr w:rsidR="00074CE0" w:rsidRPr="00074CE0" w14:paraId="497DF3F4" w14:textId="77777777" w:rsidTr="00667C88">
        <w:trPr>
          <w:trHeight w:val="358"/>
        </w:trPr>
        <w:tc>
          <w:tcPr>
            <w:tcW w:w="1178" w:type="dxa"/>
            <w:shd w:val="clear" w:color="auto" w:fill="auto"/>
            <w:noWrap/>
            <w:vAlign w:val="center"/>
            <w:hideMark/>
          </w:tcPr>
          <w:p w14:paraId="5CB2C33F"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2021</w:t>
            </w:r>
          </w:p>
        </w:tc>
        <w:tc>
          <w:tcPr>
            <w:tcW w:w="969" w:type="dxa"/>
            <w:shd w:val="clear" w:color="auto" w:fill="auto"/>
            <w:noWrap/>
            <w:vAlign w:val="center"/>
            <w:hideMark/>
          </w:tcPr>
          <w:p w14:paraId="50F91CEE"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w:t>
            </w:r>
          </w:p>
        </w:tc>
        <w:tc>
          <w:tcPr>
            <w:tcW w:w="1059" w:type="dxa"/>
            <w:shd w:val="clear" w:color="auto" w:fill="auto"/>
            <w:noWrap/>
            <w:vAlign w:val="center"/>
            <w:hideMark/>
          </w:tcPr>
          <w:p w14:paraId="7FD7B68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34</w:t>
            </w:r>
          </w:p>
        </w:tc>
        <w:tc>
          <w:tcPr>
            <w:tcW w:w="1010" w:type="dxa"/>
            <w:shd w:val="clear" w:color="auto" w:fill="auto"/>
            <w:noWrap/>
            <w:vAlign w:val="center"/>
            <w:hideMark/>
          </w:tcPr>
          <w:p w14:paraId="1181E0E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602" w:type="dxa"/>
            <w:shd w:val="clear" w:color="auto" w:fill="auto"/>
            <w:noWrap/>
            <w:vAlign w:val="center"/>
            <w:hideMark/>
          </w:tcPr>
          <w:p w14:paraId="3E9E2755"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109</w:t>
            </w:r>
          </w:p>
        </w:tc>
        <w:tc>
          <w:tcPr>
            <w:tcW w:w="971" w:type="dxa"/>
            <w:shd w:val="clear" w:color="auto" w:fill="auto"/>
            <w:noWrap/>
            <w:vAlign w:val="center"/>
            <w:hideMark/>
          </w:tcPr>
          <w:p w14:paraId="5457B5CE"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7</w:t>
            </w:r>
          </w:p>
        </w:tc>
        <w:tc>
          <w:tcPr>
            <w:tcW w:w="1482" w:type="dxa"/>
            <w:tcBorders>
              <w:right w:val="single" w:sz="36" w:space="0" w:color="auto"/>
            </w:tcBorders>
            <w:shd w:val="clear" w:color="auto" w:fill="auto"/>
            <w:noWrap/>
            <w:vAlign w:val="center"/>
            <w:hideMark/>
          </w:tcPr>
          <w:p w14:paraId="43E6761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160</w:t>
            </w:r>
          </w:p>
        </w:tc>
        <w:tc>
          <w:tcPr>
            <w:tcW w:w="1215" w:type="dxa"/>
            <w:tcBorders>
              <w:left w:val="single" w:sz="36" w:space="0" w:color="auto"/>
            </w:tcBorders>
            <w:shd w:val="clear" w:color="auto" w:fill="auto"/>
            <w:noWrap/>
            <w:vAlign w:val="center"/>
            <w:hideMark/>
          </w:tcPr>
          <w:p w14:paraId="7B4CB9B9"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39</w:t>
            </w:r>
          </w:p>
        </w:tc>
      </w:tr>
      <w:tr w:rsidR="00074CE0" w:rsidRPr="00074CE0" w14:paraId="12DA47FD" w14:textId="77777777" w:rsidTr="00667C88">
        <w:trPr>
          <w:trHeight w:val="358"/>
        </w:trPr>
        <w:tc>
          <w:tcPr>
            <w:tcW w:w="1178" w:type="dxa"/>
            <w:shd w:val="clear" w:color="auto" w:fill="auto"/>
            <w:noWrap/>
            <w:vAlign w:val="center"/>
            <w:hideMark/>
          </w:tcPr>
          <w:p w14:paraId="0004BA53"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2022</w:t>
            </w:r>
          </w:p>
        </w:tc>
        <w:tc>
          <w:tcPr>
            <w:tcW w:w="969" w:type="dxa"/>
            <w:shd w:val="clear" w:color="auto" w:fill="auto"/>
            <w:noWrap/>
            <w:vAlign w:val="center"/>
            <w:hideMark/>
          </w:tcPr>
          <w:p w14:paraId="506CBE18"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w:t>
            </w:r>
          </w:p>
        </w:tc>
        <w:tc>
          <w:tcPr>
            <w:tcW w:w="1059" w:type="dxa"/>
            <w:shd w:val="clear" w:color="auto" w:fill="auto"/>
            <w:noWrap/>
            <w:vAlign w:val="center"/>
            <w:hideMark/>
          </w:tcPr>
          <w:p w14:paraId="76C5848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47</w:t>
            </w:r>
          </w:p>
        </w:tc>
        <w:tc>
          <w:tcPr>
            <w:tcW w:w="1010" w:type="dxa"/>
            <w:shd w:val="clear" w:color="auto" w:fill="auto"/>
            <w:noWrap/>
            <w:vAlign w:val="center"/>
            <w:hideMark/>
          </w:tcPr>
          <w:p w14:paraId="127AD0C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602" w:type="dxa"/>
            <w:shd w:val="clear" w:color="auto" w:fill="auto"/>
            <w:noWrap/>
            <w:vAlign w:val="center"/>
            <w:hideMark/>
          </w:tcPr>
          <w:p w14:paraId="0CA8BECF"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113</w:t>
            </w:r>
          </w:p>
        </w:tc>
        <w:tc>
          <w:tcPr>
            <w:tcW w:w="971" w:type="dxa"/>
            <w:shd w:val="clear" w:color="auto" w:fill="auto"/>
            <w:noWrap/>
            <w:vAlign w:val="center"/>
            <w:hideMark/>
          </w:tcPr>
          <w:p w14:paraId="40ACD47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8</w:t>
            </w:r>
          </w:p>
        </w:tc>
        <w:tc>
          <w:tcPr>
            <w:tcW w:w="1482" w:type="dxa"/>
            <w:tcBorders>
              <w:right w:val="single" w:sz="36" w:space="0" w:color="auto"/>
            </w:tcBorders>
            <w:shd w:val="clear" w:color="auto" w:fill="auto"/>
            <w:noWrap/>
            <w:vAlign w:val="center"/>
            <w:hideMark/>
          </w:tcPr>
          <w:p w14:paraId="41603EE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177</w:t>
            </w:r>
          </w:p>
        </w:tc>
        <w:tc>
          <w:tcPr>
            <w:tcW w:w="1215" w:type="dxa"/>
            <w:tcBorders>
              <w:left w:val="single" w:sz="36" w:space="0" w:color="auto"/>
            </w:tcBorders>
            <w:shd w:val="clear" w:color="auto" w:fill="auto"/>
            <w:noWrap/>
            <w:vAlign w:val="center"/>
            <w:hideMark/>
          </w:tcPr>
          <w:p w14:paraId="245959E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40</w:t>
            </w:r>
          </w:p>
        </w:tc>
      </w:tr>
      <w:tr w:rsidR="00074CE0" w:rsidRPr="00074CE0" w14:paraId="26F224FA" w14:textId="77777777" w:rsidTr="00667C88">
        <w:trPr>
          <w:trHeight w:val="358"/>
        </w:trPr>
        <w:tc>
          <w:tcPr>
            <w:tcW w:w="1178" w:type="dxa"/>
            <w:shd w:val="clear" w:color="auto" w:fill="auto"/>
            <w:noWrap/>
            <w:vAlign w:val="center"/>
            <w:hideMark/>
          </w:tcPr>
          <w:p w14:paraId="5B086550"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2023</w:t>
            </w:r>
          </w:p>
        </w:tc>
        <w:tc>
          <w:tcPr>
            <w:tcW w:w="969" w:type="dxa"/>
            <w:shd w:val="clear" w:color="auto" w:fill="auto"/>
            <w:noWrap/>
            <w:vAlign w:val="center"/>
            <w:hideMark/>
          </w:tcPr>
          <w:p w14:paraId="6C2394F0"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059" w:type="dxa"/>
            <w:shd w:val="clear" w:color="auto" w:fill="auto"/>
            <w:noWrap/>
            <w:vAlign w:val="center"/>
            <w:hideMark/>
          </w:tcPr>
          <w:p w14:paraId="2C15A417"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84</w:t>
            </w:r>
          </w:p>
        </w:tc>
        <w:tc>
          <w:tcPr>
            <w:tcW w:w="1010" w:type="dxa"/>
            <w:shd w:val="clear" w:color="auto" w:fill="auto"/>
            <w:noWrap/>
            <w:vAlign w:val="center"/>
            <w:hideMark/>
          </w:tcPr>
          <w:p w14:paraId="5544C538"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602" w:type="dxa"/>
            <w:shd w:val="clear" w:color="auto" w:fill="auto"/>
            <w:noWrap/>
            <w:vAlign w:val="center"/>
            <w:hideMark/>
          </w:tcPr>
          <w:p w14:paraId="4A4EDE65"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117</w:t>
            </w:r>
          </w:p>
        </w:tc>
        <w:tc>
          <w:tcPr>
            <w:tcW w:w="971" w:type="dxa"/>
            <w:shd w:val="clear" w:color="auto" w:fill="auto"/>
            <w:noWrap/>
            <w:vAlign w:val="center"/>
            <w:hideMark/>
          </w:tcPr>
          <w:p w14:paraId="4EB6957E"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8</w:t>
            </w:r>
          </w:p>
        </w:tc>
        <w:tc>
          <w:tcPr>
            <w:tcW w:w="1482" w:type="dxa"/>
            <w:tcBorders>
              <w:right w:val="single" w:sz="36" w:space="0" w:color="auto"/>
            </w:tcBorders>
            <w:shd w:val="clear" w:color="auto" w:fill="auto"/>
            <w:noWrap/>
            <w:vAlign w:val="center"/>
            <w:hideMark/>
          </w:tcPr>
          <w:p w14:paraId="4D91E395"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219</w:t>
            </w:r>
          </w:p>
        </w:tc>
        <w:tc>
          <w:tcPr>
            <w:tcW w:w="1215" w:type="dxa"/>
            <w:tcBorders>
              <w:left w:val="single" w:sz="36" w:space="0" w:color="auto"/>
            </w:tcBorders>
            <w:shd w:val="clear" w:color="auto" w:fill="auto"/>
            <w:noWrap/>
            <w:vAlign w:val="center"/>
            <w:hideMark/>
          </w:tcPr>
          <w:p w14:paraId="70D498AD"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42</w:t>
            </w:r>
          </w:p>
        </w:tc>
      </w:tr>
      <w:tr w:rsidR="00074CE0" w:rsidRPr="00074CE0" w14:paraId="2813F6ED" w14:textId="77777777" w:rsidTr="00667C88">
        <w:trPr>
          <w:trHeight w:val="358"/>
        </w:trPr>
        <w:tc>
          <w:tcPr>
            <w:tcW w:w="1178" w:type="dxa"/>
            <w:shd w:val="clear" w:color="auto" w:fill="auto"/>
            <w:noWrap/>
            <w:vAlign w:val="center"/>
            <w:hideMark/>
          </w:tcPr>
          <w:p w14:paraId="328155AD"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2024</w:t>
            </w:r>
          </w:p>
        </w:tc>
        <w:tc>
          <w:tcPr>
            <w:tcW w:w="969" w:type="dxa"/>
            <w:shd w:val="clear" w:color="auto" w:fill="auto"/>
            <w:noWrap/>
            <w:vAlign w:val="center"/>
            <w:hideMark/>
          </w:tcPr>
          <w:p w14:paraId="26C092EF"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059" w:type="dxa"/>
            <w:shd w:val="clear" w:color="auto" w:fill="auto"/>
            <w:noWrap/>
            <w:vAlign w:val="center"/>
            <w:hideMark/>
          </w:tcPr>
          <w:p w14:paraId="44D1A06F"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87</w:t>
            </w:r>
          </w:p>
        </w:tc>
        <w:tc>
          <w:tcPr>
            <w:tcW w:w="1010" w:type="dxa"/>
            <w:shd w:val="clear" w:color="auto" w:fill="auto"/>
            <w:noWrap/>
            <w:vAlign w:val="center"/>
            <w:hideMark/>
          </w:tcPr>
          <w:p w14:paraId="39049259"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602" w:type="dxa"/>
            <w:shd w:val="clear" w:color="auto" w:fill="auto"/>
            <w:noWrap/>
            <w:vAlign w:val="center"/>
            <w:hideMark/>
          </w:tcPr>
          <w:p w14:paraId="7F6F39DE"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121</w:t>
            </w:r>
          </w:p>
        </w:tc>
        <w:tc>
          <w:tcPr>
            <w:tcW w:w="971" w:type="dxa"/>
            <w:shd w:val="clear" w:color="auto" w:fill="auto"/>
            <w:noWrap/>
            <w:vAlign w:val="center"/>
            <w:hideMark/>
          </w:tcPr>
          <w:p w14:paraId="690BFC2C"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9</w:t>
            </w:r>
          </w:p>
        </w:tc>
        <w:tc>
          <w:tcPr>
            <w:tcW w:w="1482" w:type="dxa"/>
            <w:tcBorders>
              <w:right w:val="single" w:sz="36" w:space="0" w:color="auto"/>
            </w:tcBorders>
            <w:shd w:val="clear" w:color="auto" w:fill="auto"/>
            <w:noWrap/>
            <w:vAlign w:val="center"/>
            <w:hideMark/>
          </w:tcPr>
          <w:p w14:paraId="0BD60E0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227</w:t>
            </w:r>
          </w:p>
        </w:tc>
        <w:tc>
          <w:tcPr>
            <w:tcW w:w="1215" w:type="dxa"/>
            <w:tcBorders>
              <w:left w:val="single" w:sz="36" w:space="0" w:color="auto"/>
            </w:tcBorders>
            <w:shd w:val="clear" w:color="auto" w:fill="auto"/>
            <w:noWrap/>
            <w:vAlign w:val="center"/>
            <w:hideMark/>
          </w:tcPr>
          <w:p w14:paraId="2DE43D6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43</w:t>
            </w:r>
          </w:p>
        </w:tc>
      </w:tr>
      <w:tr w:rsidR="00074CE0" w:rsidRPr="00074CE0" w14:paraId="210A9861" w14:textId="77777777" w:rsidTr="00667C88">
        <w:trPr>
          <w:trHeight w:val="358"/>
        </w:trPr>
        <w:tc>
          <w:tcPr>
            <w:tcW w:w="1178" w:type="dxa"/>
            <w:shd w:val="clear" w:color="auto" w:fill="auto"/>
            <w:noWrap/>
            <w:vAlign w:val="center"/>
            <w:hideMark/>
          </w:tcPr>
          <w:p w14:paraId="20F4B485"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2025</w:t>
            </w:r>
          </w:p>
        </w:tc>
        <w:tc>
          <w:tcPr>
            <w:tcW w:w="969" w:type="dxa"/>
            <w:shd w:val="clear" w:color="auto" w:fill="auto"/>
            <w:noWrap/>
            <w:vAlign w:val="center"/>
            <w:hideMark/>
          </w:tcPr>
          <w:p w14:paraId="66BE24A9"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059" w:type="dxa"/>
            <w:shd w:val="clear" w:color="auto" w:fill="auto"/>
            <w:noWrap/>
            <w:vAlign w:val="center"/>
            <w:hideMark/>
          </w:tcPr>
          <w:p w14:paraId="2791592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90</w:t>
            </w:r>
          </w:p>
        </w:tc>
        <w:tc>
          <w:tcPr>
            <w:tcW w:w="1010" w:type="dxa"/>
            <w:shd w:val="clear" w:color="auto" w:fill="auto"/>
            <w:noWrap/>
            <w:vAlign w:val="center"/>
            <w:hideMark/>
          </w:tcPr>
          <w:p w14:paraId="0E156338"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602" w:type="dxa"/>
            <w:shd w:val="clear" w:color="auto" w:fill="auto"/>
            <w:noWrap/>
            <w:vAlign w:val="center"/>
            <w:hideMark/>
          </w:tcPr>
          <w:p w14:paraId="658C041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125</w:t>
            </w:r>
          </w:p>
        </w:tc>
        <w:tc>
          <w:tcPr>
            <w:tcW w:w="971" w:type="dxa"/>
            <w:shd w:val="clear" w:color="auto" w:fill="auto"/>
            <w:noWrap/>
            <w:vAlign w:val="center"/>
            <w:hideMark/>
          </w:tcPr>
          <w:p w14:paraId="4786527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9</w:t>
            </w:r>
          </w:p>
        </w:tc>
        <w:tc>
          <w:tcPr>
            <w:tcW w:w="1482" w:type="dxa"/>
            <w:tcBorders>
              <w:right w:val="single" w:sz="36" w:space="0" w:color="auto"/>
            </w:tcBorders>
            <w:shd w:val="clear" w:color="auto" w:fill="auto"/>
            <w:noWrap/>
            <w:vAlign w:val="center"/>
            <w:hideMark/>
          </w:tcPr>
          <w:p w14:paraId="07161365"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235</w:t>
            </w:r>
          </w:p>
        </w:tc>
        <w:tc>
          <w:tcPr>
            <w:tcW w:w="1215" w:type="dxa"/>
            <w:tcBorders>
              <w:left w:val="single" w:sz="36" w:space="0" w:color="auto"/>
            </w:tcBorders>
            <w:shd w:val="clear" w:color="auto" w:fill="auto"/>
            <w:noWrap/>
            <w:vAlign w:val="center"/>
            <w:hideMark/>
          </w:tcPr>
          <w:p w14:paraId="74F2C8B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45</w:t>
            </w:r>
          </w:p>
        </w:tc>
      </w:tr>
      <w:tr w:rsidR="00074CE0" w:rsidRPr="00074CE0" w14:paraId="64804D70" w14:textId="77777777" w:rsidTr="00667C88">
        <w:trPr>
          <w:trHeight w:val="358"/>
        </w:trPr>
        <w:tc>
          <w:tcPr>
            <w:tcW w:w="1178" w:type="dxa"/>
            <w:shd w:val="clear" w:color="auto" w:fill="auto"/>
            <w:noWrap/>
            <w:vAlign w:val="center"/>
            <w:hideMark/>
          </w:tcPr>
          <w:p w14:paraId="2E8485CD"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2026</w:t>
            </w:r>
          </w:p>
        </w:tc>
        <w:tc>
          <w:tcPr>
            <w:tcW w:w="969" w:type="dxa"/>
            <w:shd w:val="clear" w:color="auto" w:fill="auto"/>
            <w:noWrap/>
            <w:vAlign w:val="center"/>
            <w:hideMark/>
          </w:tcPr>
          <w:p w14:paraId="2D0DC4A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059" w:type="dxa"/>
            <w:shd w:val="clear" w:color="auto" w:fill="auto"/>
            <w:noWrap/>
            <w:vAlign w:val="center"/>
            <w:hideMark/>
          </w:tcPr>
          <w:p w14:paraId="043E9AA2"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93</w:t>
            </w:r>
          </w:p>
        </w:tc>
        <w:tc>
          <w:tcPr>
            <w:tcW w:w="1010" w:type="dxa"/>
            <w:shd w:val="clear" w:color="auto" w:fill="auto"/>
            <w:noWrap/>
            <w:vAlign w:val="center"/>
            <w:hideMark/>
          </w:tcPr>
          <w:p w14:paraId="70BEE967"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602" w:type="dxa"/>
            <w:shd w:val="clear" w:color="auto" w:fill="auto"/>
            <w:noWrap/>
            <w:vAlign w:val="center"/>
            <w:hideMark/>
          </w:tcPr>
          <w:p w14:paraId="670D093B"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129</w:t>
            </w:r>
          </w:p>
        </w:tc>
        <w:tc>
          <w:tcPr>
            <w:tcW w:w="971" w:type="dxa"/>
            <w:shd w:val="clear" w:color="auto" w:fill="auto"/>
            <w:noWrap/>
            <w:vAlign w:val="center"/>
            <w:hideMark/>
          </w:tcPr>
          <w:p w14:paraId="7A27FD2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10</w:t>
            </w:r>
          </w:p>
        </w:tc>
        <w:tc>
          <w:tcPr>
            <w:tcW w:w="1482" w:type="dxa"/>
            <w:tcBorders>
              <w:right w:val="single" w:sz="36" w:space="0" w:color="auto"/>
            </w:tcBorders>
            <w:shd w:val="clear" w:color="auto" w:fill="auto"/>
            <w:noWrap/>
            <w:vAlign w:val="center"/>
            <w:hideMark/>
          </w:tcPr>
          <w:p w14:paraId="6B282134"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243</w:t>
            </w:r>
          </w:p>
        </w:tc>
        <w:tc>
          <w:tcPr>
            <w:tcW w:w="1215" w:type="dxa"/>
            <w:tcBorders>
              <w:left w:val="single" w:sz="36" w:space="0" w:color="auto"/>
            </w:tcBorders>
            <w:shd w:val="clear" w:color="auto" w:fill="auto"/>
            <w:noWrap/>
            <w:vAlign w:val="center"/>
            <w:hideMark/>
          </w:tcPr>
          <w:p w14:paraId="7D8EA5EC"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46</w:t>
            </w:r>
          </w:p>
        </w:tc>
      </w:tr>
      <w:tr w:rsidR="00074CE0" w:rsidRPr="00074CE0" w14:paraId="0B8A8F10" w14:textId="77777777" w:rsidTr="00667C88">
        <w:trPr>
          <w:trHeight w:val="358"/>
        </w:trPr>
        <w:tc>
          <w:tcPr>
            <w:tcW w:w="1178" w:type="dxa"/>
            <w:shd w:val="clear" w:color="auto" w:fill="auto"/>
            <w:noWrap/>
            <w:vAlign w:val="center"/>
            <w:hideMark/>
          </w:tcPr>
          <w:p w14:paraId="2927A186"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2027</w:t>
            </w:r>
          </w:p>
        </w:tc>
        <w:tc>
          <w:tcPr>
            <w:tcW w:w="969" w:type="dxa"/>
            <w:shd w:val="clear" w:color="auto" w:fill="auto"/>
            <w:noWrap/>
            <w:vAlign w:val="center"/>
            <w:hideMark/>
          </w:tcPr>
          <w:p w14:paraId="706C515E"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w:t>
            </w:r>
          </w:p>
        </w:tc>
        <w:tc>
          <w:tcPr>
            <w:tcW w:w="1059" w:type="dxa"/>
            <w:shd w:val="clear" w:color="auto" w:fill="auto"/>
            <w:noWrap/>
            <w:vAlign w:val="center"/>
            <w:hideMark/>
          </w:tcPr>
          <w:p w14:paraId="067A6C20"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95</w:t>
            </w:r>
          </w:p>
        </w:tc>
        <w:tc>
          <w:tcPr>
            <w:tcW w:w="1010" w:type="dxa"/>
            <w:shd w:val="clear" w:color="auto" w:fill="auto"/>
            <w:noWrap/>
            <w:vAlign w:val="center"/>
            <w:hideMark/>
          </w:tcPr>
          <w:p w14:paraId="2192CD89"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602" w:type="dxa"/>
            <w:shd w:val="clear" w:color="auto" w:fill="auto"/>
            <w:noWrap/>
            <w:vAlign w:val="center"/>
            <w:hideMark/>
          </w:tcPr>
          <w:p w14:paraId="17E3C64E"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133</w:t>
            </w:r>
          </w:p>
        </w:tc>
        <w:tc>
          <w:tcPr>
            <w:tcW w:w="971" w:type="dxa"/>
            <w:shd w:val="clear" w:color="auto" w:fill="auto"/>
            <w:noWrap/>
            <w:vAlign w:val="center"/>
            <w:hideMark/>
          </w:tcPr>
          <w:p w14:paraId="183B6765"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11</w:t>
            </w:r>
          </w:p>
        </w:tc>
        <w:tc>
          <w:tcPr>
            <w:tcW w:w="1482" w:type="dxa"/>
            <w:tcBorders>
              <w:right w:val="single" w:sz="36" w:space="0" w:color="auto"/>
            </w:tcBorders>
            <w:shd w:val="clear" w:color="auto" w:fill="auto"/>
            <w:noWrap/>
            <w:vAlign w:val="center"/>
            <w:hideMark/>
          </w:tcPr>
          <w:p w14:paraId="39FA44FD"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251</w:t>
            </w:r>
          </w:p>
        </w:tc>
        <w:tc>
          <w:tcPr>
            <w:tcW w:w="1215" w:type="dxa"/>
            <w:tcBorders>
              <w:left w:val="single" w:sz="36" w:space="0" w:color="auto"/>
            </w:tcBorders>
            <w:shd w:val="clear" w:color="auto" w:fill="auto"/>
            <w:noWrap/>
            <w:vAlign w:val="center"/>
            <w:hideMark/>
          </w:tcPr>
          <w:p w14:paraId="513579B2"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48</w:t>
            </w:r>
          </w:p>
        </w:tc>
      </w:tr>
      <w:tr w:rsidR="00074CE0" w:rsidRPr="00074CE0" w14:paraId="4173B2BF" w14:textId="77777777" w:rsidTr="00667C88">
        <w:trPr>
          <w:trHeight w:val="358"/>
        </w:trPr>
        <w:tc>
          <w:tcPr>
            <w:tcW w:w="1178" w:type="dxa"/>
            <w:shd w:val="clear" w:color="auto" w:fill="auto"/>
            <w:noWrap/>
            <w:vAlign w:val="center"/>
            <w:hideMark/>
          </w:tcPr>
          <w:p w14:paraId="5D9F13C8"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2028</w:t>
            </w:r>
          </w:p>
        </w:tc>
        <w:tc>
          <w:tcPr>
            <w:tcW w:w="969" w:type="dxa"/>
            <w:shd w:val="clear" w:color="auto" w:fill="auto"/>
            <w:noWrap/>
            <w:vAlign w:val="center"/>
            <w:hideMark/>
          </w:tcPr>
          <w:p w14:paraId="3AC6B79F"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059" w:type="dxa"/>
            <w:shd w:val="clear" w:color="auto" w:fill="auto"/>
            <w:noWrap/>
            <w:vAlign w:val="center"/>
            <w:hideMark/>
          </w:tcPr>
          <w:p w14:paraId="747F320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98</w:t>
            </w:r>
          </w:p>
        </w:tc>
        <w:tc>
          <w:tcPr>
            <w:tcW w:w="1010" w:type="dxa"/>
            <w:shd w:val="clear" w:color="auto" w:fill="auto"/>
            <w:noWrap/>
            <w:vAlign w:val="center"/>
            <w:hideMark/>
          </w:tcPr>
          <w:p w14:paraId="4EAF9D52"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602" w:type="dxa"/>
            <w:shd w:val="clear" w:color="auto" w:fill="auto"/>
            <w:noWrap/>
            <w:vAlign w:val="center"/>
            <w:hideMark/>
          </w:tcPr>
          <w:p w14:paraId="42333E0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137</w:t>
            </w:r>
          </w:p>
        </w:tc>
        <w:tc>
          <w:tcPr>
            <w:tcW w:w="971" w:type="dxa"/>
            <w:shd w:val="clear" w:color="auto" w:fill="auto"/>
            <w:noWrap/>
            <w:vAlign w:val="center"/>
            <w:hideMark/>
          </w:tcPr>
          <w:p w14:paraId="42DED028"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11</w:t>
            </w:r>
          </w:p>
        </w:tc>
        <w:tc>
          <w:tcPr>
            <w:tcW w:w="1482" w:type="dxa"/>
            <w:tcBorders>
              <w:right w:val="single" w:sz="36" w:space="0" w:color="auto"/>
            </w:tcBorders>
            <w:shd w:val="clear" w:color="auto" w:fill="auto"/>
            <w:noWrap/>
            <w:vAlign w:val="center"/>
            <w:hideMark/>
          </w:tcPr>
          <w:p w14:paraId="78E46AE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259</w:t>
            </w:r>
          </w:p>
        </w:tc>
        <w:tc>
          <w:tcPr>
            <w:tcW w:w="1215" w:type="dxa"/>
            <w:tcBorders>
              <w:left w:val="single" w:sz="36" w:space="0" w:color="auto"/>
            </w:tcBorders>
            <w:shd w:val="clear" w:color="auto" w:fill="auto"/>
            <w:noWrap/>
            <w:vAlign w:val="center"/>
            <w:hideMark/>
          </w:tcPr>
          <w:p w14:paraId="6DE691C9"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49</w:t>
            </w:r>
          </w:p>
        </w:tc>
      </w:tr>
      <w:tr w:rsidR="00074CE0" w:rsidRPr="00074CE0" w14:paraId="7F92189C" w14:textId="77777777" w:rsidTr="00667C88">
        <w:trPr>
          <w:trHeight w:val="358"/>
        </w:trPr>
        <w:tc>
          <w:tcPr>
            <w:tcW w:w="1178" w:type="dxa"/>
            <w:shd w:val="clear" w:color="auto" w:fill="auto"/>
            <w:noWrap/>
            <w:vAlign w:val="center"/>
            <w:hideMark/>
          </w:tcPr>
          <w:p w14:paraId="0E9D246E"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2029</w:t>
            </w:r>
          </w:p>
        </w:tc>
        <w:tc>
          <w:tcPr>
            <w:tcW w:w="969" w:type="dxa"/>
            <w:shd w:val="clear" w:color="auto" w:fill="auto"/>
            <w:noWrap/>
            <w:vAlign w:val="center"/>
            <w:hideMark/>
          </w:tcPr>
          <w:p w14:paraId="3D8B37AC"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059" w:type="dxa"/>
            <w:shd w:val="clear" w:color="auto" w:fill="auto"/>
            <w:noWrap/>
            <w:vAlign w:val="center"/>
            <w:hideMark/>
          </w:tcPr>
          <w:p w14:paraId="20E3A5A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101</w:t>
            </w:r>
          </w:p>
        </w:tc>
        <w:tc>
          <w:tcPr>
            <w:tcW w:w="1010" w:type="dxa"/>
            <w:shd w:val="clear" w:color="auto" w:fill="auto"/>
            <w:noWrap/>
            <w:vAlign w:val="center"/>
            <w:hideMark/>
          </w:tcPr>
          <w:p w14:paraId="58573EFA"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7</w:t>
            </w:r>
          </w:p>
        </w:tc>
        <w:tc>
          <w:tcPr>
            <w:tcW w:w="1602" w:type="dxa"/>
            <w:shd w:val="clear" w:color="auto" w:fill="auto"/>
            <w:noWrap/>
            <w:vAlign w:val="center"/>
            <w:hideMark/>
          </w:tcPr>
          <w:p w14:paraId="2617DCF5"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141</w:t>
            </w:r>
          </w:p>
        </w:tc>
        <w:tc>
          <w:tcPr>
            <w:tcW w:w="971" w:type="dxa"/>
            <w:shd w:val="clear" w:color="auto" w:fill="auto"/>
            <w:noWrap/>
            <w:vAlign w:val="center"/>
            <w:hideMark/>
          </w:tcPr>
          <w:p w14:paraId="7C84583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12</w:t>
            </w:r>
          </w:p>
        </w:tc>
        <w:tc>
          <w:tcPr>
            <w:tcW w:w="1482" w:type="dxa"/>
            <w:tcBorders>
              <w:right w:val="single" w:sz="36" w:space="0" w:color="auto"/>
            </w:tcBorders>
            <w:shd w:val="clear" w:color="auto" w:fill="auto"/>
            <w:noWrap/>
            <w:vAlign w:val="center"/>
            <w:hideMark/>
          </w:tcPr>
          <w:p w14:paraId="7C389B61"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267</w:t>
            </w:r>
          </w:p>
        </w:tc>
        <w:tc>
          <w:tcPr>
            <w:tcW w:w="1215" w:type="dxa"/>
            <w:tcBorders>
              <w:left w:val="single" w:sz="36" w:space="0" w:color="auto"/>
            </w:tcBorders>
            <w:shd w:val="clear" w:color="auto" w:fill="auto"/>
            <w:noWrap/>
            <w:vAlign w:val="center"/>
            <w:hideMark/>
          </w:tcPr>
          <w:p w14:paraId="22ADC60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50</w:t>
            </w:r>
          </w:p>
        </w:tc>
      </w:tr>
      <w:tr w:rsidR="00074CE0" w:rsidRPr="00074CE0" w14:paraId="5D009926" w14:textId="77777777" w:rsidTr="00667C88">
        <w:trPr>
          <w:trHeight w:val="358"/>
        </w:trPr>
        <w:tc>
          <w:tcPr>
            <w:tcW w:w="1178" w:type="dxa"/>
            <w:shd w:val="clear" w:color="auto" w:fill="auto"/>
            <w:noWrap/>
            <w:vAlign w:val="center"/>
            <w:hideMark/>
          </w:tcPr>
          <w:p w14:paraId="22C7095E" w14:textId="77777777"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2030</w:t>
            </w:r>
          </w:p>
        </w:tc>
        <w:tc>
          <w:tcPr>
            <w:tcW w:w="969" w:type="dxa"/>
            <w:shd w:val="clear" w:color="auto" w:fill="auto"/>
            <w:noWrap/>
            <w:vAlign w:val="center"/>
            <w:hideMark/>
          </w:tcPr>
          <w:p w14:paraId="48BF15D1"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6</w:t>
            </w:r>
          </w:p>
        </w:tc>
        <w:tc>
          <w:tcPr>
            <w:tcW w:w="1059" w:type="dxa"/>
            <w:shd w:val="clear" w:color="auto" w:fill="auto"/>
            <w:noWrap/>
            <w:vAlign w:val="center"/>
            <w:hideMark/>
          </w:tcPr>
          <w:p w14:paraId="65B4D561"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104</w:t>
            </w:r>
          </w:p>
        </w:tc>
        <w:tc>
          <w:tcPr>
            <w:tcW w:w="1010" w:type="dxa"/>
            <w:shd w:val="clear" w:color="auto" w:fill="auto"/>
            <w:noWrap/>
            <w:vAlign w:val="center"/>
            <w:hideMark/>
          </w:tcPr>
          <w:p w14:paraId="656ADE00"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7</w:t>
            </w:r>
          </w:p>
        </w:tc>
        <w:tc>
          <w:tcPr>
            <w:tcW w:w="1602" w:type="dxa"/>
            <w:shd w:val="clear" w:color="auto" w:fill="auto"/>
            <w:noWrap/>
            <w:vAlign w:val="center"/>
            <w:hideMark/>
          </w:tcPr>
          <w:p w14:paraId="4FD39831"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145</w:t>
            </w:r>
          </w:p>
        </w:tc>
        <w:tc>
          <w:tcPr>
            <w:tcW w:w="971" w:type="dxa"/>
            <w:shd w:val="clear" w:color="auto" w:fill="auto"/>
            <w:noWrap/>
            <w:vAlign w:val="center"/>
            <w:hideMark/>
          </w:tcPr>
          <w:p w14:paraId="038262C0"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13</w:t>
            </w:r>
          </w:p>
        </w:tc>
        <w:tc>
          <w:tcPr>
            <w:tcW w:w="1482" w:type="dxa"/>
            <w:tcBorders>
              <w:right w:val="single" w:sz="36" w:space="0" w:color="auto"/>
            </w:tcBorders>
            <w:shd w:val="clear" w:color="auto" w:fill="auto"/>
            <w:noWrap/>
            <w:vAlign w:val="center"/>
            <w:hideMark/>
          </w:tcPr>
          <w:p w14:paraId="3C131626"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274</w:t>
            </w:r>
          </w:p>
        </w:tc>
        <w:tc>
          <w:tcPr>
            <w:tcW w:w="1215" w:type="dxa"/>
            <w:tcBorders>
              <w:left w:val="single" w:sz="36" w:space="0" w:color="auto"/>
            </w:tcBorders>
            <w:shd w:val="clear" w:color="auto" w:fill="auto"/>
            <w:noWrap/>
            <w:vAlign w:val="center"/>
            <w:hideMark/>
          </w:tcPr>
          <w:p w14:paraId="434584B3" w14:textId="77777777" w:rsidR="00074CE0" w:rsidRPr="00074CE0" w:rsidRDefault="00074CE0" w:rsidP="00074CE0">
            <w:pPr>
              <w:spacing w:after="0" w:line="240" w:lineRule="auto"/>
              <w:rPr>
                <w:rFonts w:ascii="Arial" w:eastAsia="Times New Roman" w:hAnsi="Arial" w:cs="Arial"/>
                <w:color w:val="000000"/>
                <w:sz w:val="18"/>
                <w:szCs w:val="22"/>
              </w:rPr>
            </w:pPr>
            <w:r w:rsidRPr="00074CE0">
              <w:rPr>
                <w:rFonts w:ascii="Arial" w:eastAsia="Times New Roman" w:hAnsi="Arial" w:cs="Arial"/>
                <w:color w:val="000000"/>
                <w:sz w:val="18"/>
                <w:szCs w:val="22"/>
              </w:rPr>
              <w:t>52</w:t>
            </w:r>
          </w:p>
        </w:tc>
      </w:tr>
      <w:tr w:rsidR="00074CE0" w:rsidRPr="00074CE0" w14:paraId="01013C9F" w14:textId="77777777" w:rsidTr="00667C88">
        <w:trPr>
          <w:trHeight w:val="358"/>
        </w:trPr>
        <w:tc>
          <w:tcPr>
            <w:tcW w:w="1178" w:type="dxa"/>
            <w:shd w:val="clear" w:color="auto" w:fill="auto"/>
            <w:noWrap/>
            <w:vAlign w:val="center"/>
            <w:hideMark/>
          </w:tcPr>
          <w:p w14:paraId="7B0023A3" w14:textId="618A5953"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Total (%)</w:t>
            </w:r>
          </w:p>
        </w:tc>
        <w:tc>
          <w:tcPr>
            <w:tcW w:w="969" w:type="dxa"/>
            <w:shd w:val="clear" w:color="auto" w:fill="auto"/>
            <w:noWrap/>
            <w:vAlign w:val="center"/>
            <w:hideMark/>
          </w:tcPr>
          <w:p w14:paraId="4F642671" w14:textId="2C336DCE"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5</w:t>
            </w:r>
            <w:r w:rsidR="00801142">
              <w:rPr>
                <w:rFonts w:ascii="Arial" w:eastAsia="Times New Roman" w:hAnsi="Arial" w:cs="Arial"/>
                <w:b/>
                <w:color w:val="000000"/>
                <w:sz w:val="18"/>
                <w:szCs w:val="22"/>
              </w:rPr>
              <w:t>5</w:t>
            </w:r>
            <w:r w:rsidRPr="00074CE0">
              <w:rPr>
                <w:rFonts w:ascii="Arial" w:eastAsia="Times New Roman" w:hAnsi="Arial" w:cs="Arial"/>
                <w:b/>
                <w:color w:val="000000"/>
                <w:sz w:val="18"/>
                <w:szCs w:val="22"/>
              </w:rPr>
              <w:t xml:space="preserve"> (2%)</w:t>
            </w:r>
          </w:p>
        </w:tc>
        <w:tc>
          <w:tcPr>
            <w:tcW w:w="1059" w:type="dxa"/>
            <w:shd w:val="clear" w:color="auto" w:fill="auto"/>
            <w:noWrap/>
            <w:vAlign w:val="center"/>
            <w:hideMark/>
          </w:tcPr>
          <w:p w14:paraId="50238B33" w14:textId="117EE725"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852 (34%)</w:t>
            </w:r>
          </w:p>
        </w:tc>
        <w:tc>
          <w:tcPr>
            <w:tcW w:w="1010" w:type="dxa"/>
            <w:shd w:val="clear" w:color="auto" w:fill="auto"/>
            <w:noWrap/>
            <w:vAlign w:val="center"/>
            <w:hideMark/>
          </w:tcPr>
          <w:p w14:paraId="7EA00EAC" w14:textId="71A15286" w:rsidR="00074CE0" w:rsidRPr="00074CE0" w:rsidRDefault="00801142" w:rsidP="00074CE0">
            <w:pPr>
              <w:spacing w:after="0" w:line="240" w:lineRule="auto"/>
              <w:rPr>
                <w:rFonts w:ascii="Arial" w:eastAsia="Times New Roman" w:hAnsi="Arial" w:cs="Arial"/>
                <w:b/>
                <w:color w:val="000000"/>
                <w:sz w:val="18"/>
                <w:szCs w:val="22"/>
              </w:rPr>
            </w:pPr>
            <w:r>
              <w:rPr>
                <w:rFonts w:ascii="Arial" w:eastAsia="Times New Roman" w:hAnsi="Arial" w:cs="Arial"/>
                <w:b/>
                <w:color w:val="000000"/>
                <w:sz w:val="18"/>
                <w:szCs w:val="22"/>
              </w:rPr>
              <w:t>69</w:t>
            </w:r>
            <w:r w:rsidR="00074CE0" w:rsidRPr="00074CE0">
              <w:rPr>
                <w:rFonts w:ascii="Arial" w:eastAsia="Times New Roman" w:hAnsi="Arial" w:cs="Arial"/>
                <w:b/>
                <w:color w:val="000000"/>
                <w:sz w:val="18"/>
                <w:szCs w:val="22"/>
              </w:rPr>
              <w:t xml:space="preserve"> (3%)</w:t>
            </w:r>
          </w:p>
        </w:tc>
        <w:tc>
          <w:tcPr>
            <w:tcW w:w="1602" w:type="dxa"/>
            <w:shd w:val="clear" w:color="auto" w:fill="auto"/>
            <w:noWrap/>
            <w:vAlign w:val="center"/>
            <w:hideMark/>
          </w:tcPr>
          <w:p w14:paraId="5D5FD2F2" w14:textId="5AB54002"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138</w:t>
            </w:r>
            <w:r w:rsidR="00801142">
              <w:rPr>
                <w:rFonts w:ascii="Arial" w:eastAsia="Times New Roman" w:hAnsi="Arial" w:cs="Arial"/>
                <w:b/>
                <w:color w:val="000000"/>
                <w:sz w:val="18"/>
                <w:szCs w:val="22"/>
              </w:rPr>
              <w:t>3</w:t>
            </w:r>
            <w:r w:rsidRPr="00074CE0">
              <w:rPr>
                <w:rFonts w:ascii="Arial" w:eastAsia="Times New Roman" w:hAnsi="Arial" w:cs="Arial"/>
                <w:b/>
                <w:color w:val="000000"/>
                <w:sz w:val="18"/>
                <w:szCs w:val="22"/>
              </w:rPr>
              <w:t xml:space="preserve"> (55%)</w:t>
            </w:r>
          </w:p>
        </w:tc>
        <w:tc>
          <w:tcPr>
            <w:tcW w:w="971" w:type="dxa"/>
            <w:shd w:val="clear" w:color="auto" w:fill="auto"/>
            <w:noWrap/>
            <w:vAlign w:val="center"/>
            <w:hideMark/>
          </w:tcPr>
          <w:p w14:paraId="402C6E7F" w14:textId="2D068A6A"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1</w:t>
            </w:r>
            <w:r w:rsidR="00801142">
              <w:rPr>
                <w:rFonts w:ascii="Arial" w:eastAsia="Times New Roman" w:hAnsi="Arial" w:cs="Arial"/>
                <w:b/>
                <w:color w:val="000000"/>
                <w:sz w:val="18"/>
                <w:szCs w:val="22"/>
              </w:rPr>
              <w:t>37</w:t>
            </w:r>
            <w:r w:rsidRPr="00074CE0">
              <w:rPr>
                <w:rFonts w:ascii="Arial" w:eastAsia="Times New Roman" w:hAnsi="Arial" w:cs="Arial"/>
                <w:b/>
                <w:color w:val="000000"/>
                <w:sz w:val="18"/>
                <w:szCs w:val="22"/>
              </w:rPr>
              <w:t xml:space="preserve"> (</w:t>
            </w:r>
            <w:r w:rsidR="00801142">
              <w:rPr>
                <w:rFonts w:ascii="Arial" w:eastAsia="Times New Roman" w:hAnsi="Arial" w:cs="Arial"/>
                <w:b/>
                <w:color w:val="000000"/>
                <w:sz w:val="18"/>
                <w:szCs w:val="22"/>
              </w:rPr>
              <w:t>5</w:t>
            </w:r>
            <w:r w:rsidRPr="00074CE0">
              <w:rPr>
                <w:rFonts w:ascii="Arial" w:eastAsia="Times New Roman" w:hAnsi="Arial" w:cs="Arial"/>
                <w:b/>
                <w:color w:val="000000"/>
                <w:sz w:val="18"/>
                <w:szCs w:val="22"/>
              </w:rPr>
              <w:t>%)</w:t>
            </w:r>
          </w:p>
        </w:tc>
        <w:tc>
          <w:tcPr>
            <w:tcW w:w="1482" w:type="dxa"/>
            <w:tcBorders>
              <w:right w:val="single" w:sz="36" w:space="0" w:color="auto"/>
            </w:tcBorders>
            <w:shd w:val="clear" w:color="auto" w:fill="auto"/>
            <w:noWrap/>
            <w:vAlign w:val="center"/>
            <w:hideMark/>
          </w:tcPr>
          <w:p w14:paraId="0397DD26" w14:textId="099B679C" w:rsidR="00074CE0" w:rsidRPr="00074CE0" w:rsidRDefault="00074CE0" w:rsidP="00074CE0">
            <w:pPr>
              <w:spacing w:after="0" w:line="240" w:lineRule="auto"/>
              <w:rPr>
                <w:rFonts w:ascii="Arial" w:eastAsia="Times New Roman" w:hAnsi="Arial" w:cs="Arial"/>
                <w:b/>
                <w:color w:val="000000"/>
                <w:sz w:val="18"/>
                <w:szCs w:val="22"/>
              </w:rPr>
            </w:pPr>
            <w:r w:rsidRPr="00074CE0">
              <w:rPr>
                <w:rFonts w:ascii="Arial" w:eastAsia="Times New Roman" w:hAnsi="Arial" w:cs="Arial"/>
                <w:b/>
                <w:color w:val="000000"/>
                <w:sz w:val="18"/>
                <w:szCs w:val="22"/>
              </w:rPr>
              <w:t>2,</w:t>
            </w:r>
            <w:r w:rsidR="00801142">
              <w:rPr>
                <w:rFonts w:ascii="Arial" w:eastAsia="Times New Roman" w:hAnsi="Arial" w:cs="Arial"/>
                <w:b/>
                <w:color w:val="000000"/>
                <w:sz w:val="18"/>
                <w:szCs w:val="22"/>
              </w:rPr>
              <w:t>496 (100%)</w:t>
            </w:r>
          </w:p>
        </w:tc>
        <w:tc>
          <w:tcPr>
            <w:tcW w:w="1215" w:type="dxa"/>
            <w:tcBorders>
              <w:left w:val="single" w:sz="36" w:space="0" w:color="auto"/>
            </w:tcBorders>
            <w:shd w:val="clear" w:color="auto" w:fill="auto"/>
            <w:noWrap/>
            <w:vAlign w:val="center"/>
            <w:hideMark/>
          </w:tcPr>
          <w:p w14:paraId="740BBA91" w14:textId="29E280A6" w:rsidR="00074CE0" w:rsidRPr="00074CE0" w:rsidRDefault="00074CE0" w:rsidP="00074CE0">
            <w:pPr>
              <w:spacing w:after="0" w:line="240" w:lineRule="auto"/>
              <w:rPr>
                <w:rFonts w:ascii="Arial" w:eastAsia="Times New Roman" w:hAnsi="Arial" w:cs="Arial"/>
                <w:b/>
                <w:sz w:val="18"/>
              </w:rPr>
            </w:pPr>
            <w:r w:rsidRPr="00074CE0">
              <w:rPr>
                <w:rFonts w:ascii="Arial" w:eastAsia="Times New Roman" w:hAnsi="Arial" w:cs="Arial"/>
                <w:b/>
                <w:sz w:val="18"/>
              </w:rPr>
              <w:t>5</w:t>
            </w:r>
            <w:r w:rsidR="00801142">
              <w:rPr>
                <w:rFonts w:ascii="Arial" w:eastAsia="Times New Roman" w:hAnsi="Arial" w:cs="Arial"/>
                <w:b/>
                <w:sz w:val="18"/>
              </w:rPr>
              <w:t>28</w:t>
            </w:r>
          </w:p>
        </w:tc>
      </w:tr>
    </w:tbl>
    <w:p w14:paraId="25D34F83" w14:textId="77777777" w:rsidR="00801142" w:rsidRDefault="00801142" w:rsidP="00F07840"/>
    <w:p w14:paraId="2E2E46A3" w14:textId="065DC133" w:rsidR="00801142" w:rsidRDefault="00801142" w:rsidP="005C0BFE">
      <w:pPr>
        <w:pStyle w:val="Heading3"/>
        <w:rPr>
          <w:rFonts w:ascii="Arial" w:hAnsi="Arial" w:cs="Arial"/>
          <w:i/>
          <w:color w:val="000000" w:themeColor="text1"/>
        </w:rPr>
      </w:pPr>
      <w:bookmarkStart w:id="130" w:name="_Toc57035223"/>
      <w:r>
        <w:rPr>
          <w:rFonts w:ascii="Arial" w:hAnsi="Arial" w:cs="Arial"/>
          <w:i/>
          <w:color w:val="000000" w:themeColor="text1"/>
        </w:rPr>
        <w:t xml:space="preserve">Cost-effectiveness of AGYW </w:t>
      </w:r>
      <w:r w:rsidR="00714721">
        <w:rPr>
          <w:rFonts w:ascii="Arial" w:hAnsi="Arial" w:cs="Arial"/>
          <w:i/>
          <w:color w:val="000000" w:themeColor="text1"/>
        </w:rPr>
        <w:t xml:space="preserve">prevention </w:t>
      </w:r>
      <w:r>
        <w:rPr>
          <w:rFonts w:ascii="Arial" w:hAnsi="Arial" w:cs="Arial"/>
          <w:i/>
          <w:color w:val="000000" w:themeColor="text1"/>
        </w:rPr>
        <w:t>scale-up</w:t>
      </w:r>
      <w:bookmarkEnd w:id="130"/>
    </w:p>
    <w:p w14:paraId="50A3E157" w14:textId="3A08B786" w:rsidR="00801142" w:rsidRDefault="00801142" w:rsidP="005C0BFE">
      <w:pPr>
        <w:spacing w:after="0"/>
      </w:pPr>
    </w:p>
    <w:p w14:paraId="51E8E036" w14:textId="4F199838" w:rsidR="00801142" w:rsidRDefault="00801142" w:rsidP="00801142">
      <w:pPr>
        <w:rPr>
          <w:rFonts w:ascii="Arial" w:hAnsi="Arial" w:cs="Arial"/>
        </w:rPr>
      </w:pPr>
      <w:r w:rsidRPr="00801142">
        <w:rPr>
          <w:rFonts w:ascii="Arial" w:hAnsi="Arial" w:cs="Arial"/>
        </w:rPr>
        <w:t xml:space="preserve">When compared to </w:t>
      </w:r>
      <w:r w:rsidR="00EC31E6">
        <w:rPr>
          <w:rFonts w:ascii="Arial" w:hAnsi="Arial" w:cs="Arial"/>
        </w:rPr>
        <w:t>CC</w:t>
      </w:r>
      <w:r w:rsidRPr="00801142">
        <w:rPr>
          <w:rFonts w:ascii="Arial" w:hAnsi="Arial" w:cs="Arial"/>
        </w:rPr>
        <w:t>, the cost per additional infection</w:t>
      </w:r>
      <w:r w:rsidR="00D127FC">
        <w:rPr>
          <w:rFonts w:ascii="Arial" w:hAnsi="Arial" w:cs="Arial"/>
        </w:rPr>
        <w:t xml:space="preserve"> among 15-24-years </w:t>
      </w:r>
      <w:r w:rsidRPr="00801142">
        <w:rPr>
          <w:rFonts w:ascii="Arial" w:hAnsi="Arial" w:cs="Arial"/>
        </w:rPr>
        <w:t xml:space="preserve">averted of the scaled up AGYW program would be USD </w:t>
      </w:r>
      <w:r w:rsidR="002F43BE">
        <w:rPr>
          <w:rFonts w:ascii="Arial" w:hAnsi="Arial" w:cs="Arial"/>
        </w:rPr>
        <w:t>56,636</w:t>
      </w:r>
      <w:r w:rsidRPr="00801142">
        <w:rPr>
          <w:rFonts w:ascii="Arial" w:hAnsi="Arial" w:cs="Arial"/>
        </w:rPr>
        <w:t>.</w:t>
      </w:r>
      <w:r>
        <w:rPr>
          <w:rFonts w:ascii="Arial" w:hAnsi="Arial" w:cs="Arial"/>
        </w:rPr>
        <w:t xml:space="preserve"> Th</w:t>
      </w:r>
      <w:r w:rsidR="00F8464F">
        <w:rPr>
          <w:rFonts w:ascii="Arial" w:hAnsi="Arial" w:cs="Arial"/>
        </w:rPr>
        <w:t>is incremental cost-effectiveness ratio is not favorable in Tanzania’s limited resource setting. But it must be emphasized that cost-effectiveness is not the only criteria for justifying investments. The disproportionate vulnerability of AGYW could justify these investments and to reach epidemic control, these investments may be necessary in the long-run.</w:t>
      </w:r>
    </w:p>
    <w:p w14:paraId="7A84A85D" w14:textId="710F2F1C" w:rsidR="005C0BFE" w:rsidRPr="005C0BFE" w:rsidRDefault="005C0BFE" w:rsidP="00801142">
      <w:pPr>
        <w:rPr>
          <w:rFonts w:ascii="Arial" w:hAnsi="Arial" w:cs="Arial"/>
          <w:i/>
        </w:rPr>
      </w:pPr>
      <w:r w:rsidRPr="005C0BFE">
        <w:rPr>
          <w:rFonts w:ascii="Arial" w:hAnsi="Arial" w:cs="Arial"/>
          <w:i/>
          <w:sz w:val="18"/>
        </w:rPr>
        <w:t>Figure 8-1</w:t>
      </w:r>
      <w:r w:rsidR="00585A95">
        <w:rPr>
          <w:rFonts w:ascii="Arial" w:hAnsi="Arial" w:cs="Arial"/>
          <w:i/>
          <w:sz w:val="18"/>
        </w:rPr>
        <w:t>0</w:t>
      </w:r>
      <w:r w:rsidRPr="005C0BFE">
        <w:rPr>
          <w:rFonts w:ascii="Arial" w:hAnsi="Arial" w:cs="Arial"/>
          <w:i/>
          <w:sz w:val="18"/>
        </w:rPr>
        <w:t>. Cost-effectiveness of AGYW scale-up</w:t>
      </w:r>
    </w:p>
    <w:tbl>
      <w:tblPr>
        <w:tblStyle w:val="TableGrid"/>
        <w:tblW w:w="9997" w:type="dxa"/>
        <w:tblLook w:val="04A0" w:firstRow="1" w:lastRow="0" w:firstColumn="1" w:lastColumn="0" w:noHBand="0" w:noVBand="1"/>
      </w:tblPr>
      <w:tblGrid>
        <w:gridCol w:w="1682"/>
        <w:gridCol w:w="1635"/>
        <w:gridCol w:w="1924"/>
        <w:gridCol w:w="1830"/>
        <w:gridCol w:w="1463"/>
        <w:gridCol w:w="1463"/>
      </w:tblGrid>
      <w:tr w:rsidR="00801142" w:rsidRPr="00801142" w14:paraId="086594BC" w14:textId="77777777" w:rsidTr="00F8464F">
        <w:trPr>
          <w:trHeight w:val="888"/>
        </w:trPr>
        <w:tc>
          <w:tcPr>
            <w:tcW w:w="1682" w:type="dxa"/>
            <w:shd w:val="clear" w:color="auto" w:fill="C00000"/>
            <w:vAlign w:val="center"/>
          </w:tcPr>
          <w:p w14:paraId="1B9219BD" w14:textId="716E23E3" w:rsidR="00801142" w:rsidRPr="00801142" w:rsidRDefault="00801142" w:rsidP="00801142">
            <w:pPr>
              <w:rPr>
                <w:rFonts w:ascii="Arial" w:hAnsi="Arial" w:cs="Arial"/>
                <w:b/>
                <w:sz w:val="18"/>
              </w:rPr>
            </w:pPr>
          </w:p>
        </w:tc>
        <w:tc>
          <w:tcPr>
            <w:tcW w:w="1635" w:type="dxa"/>
            <w:shd w:val="clear" w:color="auto" w:fill="C00000"/>
            <w:vAlign w:val="center"/>
          </w:tcPr>
          <w:p w14:paraId="4EF2349C" w14:textId="7CAFB618" w:rsidR="00801142" w:rsidRPr="00801142" w:rsidRDefault="00801142" w:rsidP="00801142">
            <w:pPr>
              <w:rPr>
                <w:rFonts w:ascii="Arial" w:hAnsi="Arial" w:cs="Arial"/>
                <w:b/>
                <w:sz w:val="18"/>
              </w:rPr>
            </w:pPr>
            <w:r w:rsidRPr="00801142">
              <w:rPr>
                <w:rFonts w:ascii="Arial" w:hAnsi="Arial" w:cs="Arial"/>
                <w:b/>
                <w:sz w:val="18"/>
              </w:rPr>
              <w:t>Costs</w:t>
            </w:r>
            <w:r w:rsidR="000807B2">
              <w:rPr>
                <w:rFonts w:ascii="Arial" w:hAnsi="Arial" w:cs="Arial"/>
                <w:b/>
                <w:sz w:val="18"/>
              </w:rPr>
              <w:t xml:space="preserve"> (USD)</w:t>
            </w:r>
          </w:p>
        </w:tc>
        <w:tc>
          <w:tcPr>
            <w:tcW w:w="1924" w:type="dxa"/>
            <w:shd w:val="clear" w:color="auto" w:fill="C00000"/>
            <w:vAlign w:val="center"/>
          </w:tcPr>
          <w:p w14:paraId="3CD9336B" w14:textId="236294E6" w:rsidR="00801142" w:rsidRPr="00801142" w:rsidRDefault="00801142" w:rsidP="00801142">
            <w:pPr>
              <w:rPr>
                <w:rFonts w:ascii="Arial" w:hAnsi="Arial" w:cs="Arial"/>
                <w:b/>
                <w:sz w:val="18"/>
              </w:rPr>
            </w:pPr>
            <w:r w:rsidRPr="00801142">
              <w:rPr>
                <w:rFonts w:ascii="Arial" w:hAnsi="Arial" w:cs="Arial"/>
                <w:b/>
                <w:sz w:val="18"/>
              </w:rPr>
              <w:t>Incremental costs</w:t>
            </w:r>
            <w:r w:rsidR="000807B2">
              <w:rPr>
                <w:rFonts w:ascii="Arial" w:hAnsi="Arial" w:cs="Arial"/>
                <w:b/>
                <w:sz w:val="18"/>
              </w:rPr>
              <w:t xml:space="preserve"> (USD)</w:t>
            </w:r>
            <w:r w:rsidRPr="00801142">
              <w:rPr>
                <w:rFonts w:ascii="Arial" w:hAnsi="Arial" w:cs="Arial"/>
                <w:b/>
                <w:sz w:val="18"/>
              </w:rPr>
              <w:t xml:space="preserve"> </w:t>
            </w:r>
          </w:p>
        </w:tc>
        <w:tc>
          <w:tcPr>
            <w:tcW w:w="1830" w:type="dxa"/>
            <w:shd w:val="clear" w:color="auto" w:fill="C00000"/>
            <w:vAlign w:val="center"/>
          </w:tcPr>
          <w:p w14:paraId="7396552D" w14:textId="1677DC29" w:rsidR="00801142" w:rsidRPr="00801142" w:rsidRDefault="00801142" w:rsidP="00801142">
            <w:pPr>
              <w:rPr>
                <w:rFonts w:ascii="Arial" w:hAnsi="Arial" w:cs="Arial"/>
                <w:b/>
                <w:sz w:val="18"/>
              </w:rPr>
            </w:pPr>
            <w:r w:rsidRPr="00801142">
              <w:rPr>
                <w:rFonts w:ascii="Arial" w:hAnsi="Arial" w:cs="Arial"/>
                <w:b/>
                <w:sz w:val="18"/>
              </w:rPr>
              <w:t>Infections averted</w:t>
            </w:r>
            <w:r w:rsidR="00D127FC">
              <w:rPr>
                <w:rFonts w:ascii="Arial" w:hAnsi="Arial" w:cs="Arial"/>
                <w:b/>
                <w:sz w:val="18"/>
              </w:rPr>
              <w:t xml:space="preserve"> 15-24 yrs</w:t>
            </w:r>
          </w:p>
        </w:tc>
        <w:tc>
          <w:tcPr>
            <w:tcW w:w="1463" w:type="dxa"/>
            <w:shd w:val="clear" w:color="auto" w:fill="C00000"/>
            <w:vAlign w:val="center"/>
          </w:tcPr>
          <w:p w14:paraId="580D47D5" w14:textId="77777777" w:rsidR="00D127FC" w:rsidRDefault="00801142" w:rsidP="00801142">
            <w:pPr>
              <w:rPr>
                <w:rFonts w:ascii="Arial" w:hAnsi="Arial" w:cs="Arial"/>
                <w:b/>
                <w:sz w:val="18"/>
              </w:rPr>
            </w:pPr>
            <w:r w:rsidRPr="00801142">
              <w:rPr>
                <w:rFonts w:ascii="Arial" w:hAnsi="Arial" w:cs="Arial"/>
                <w:b/>
                <w:sz w:val="18"/>
              </w:rPr>
              <w:t>Incremental infections averted</w:t>
            </w:r>
          </w:p>
          <w:p w14:paraId="136F0D82" w14:textId="7B932C09" w:rsidR="00801142" w:rsidRPr="00801142" w:rsidRDefault="00D127FC" w:rsidP="00801142">
            <w:pPr>
              <w:rPr>
                <w:rFonts w:ascii="Arial" w:hAnsi="Arial" w:cs="Arial"/>
                <w:b/>
                <w:sz w:val="18"/>
              </w:rPr>
            </w:pPr>
            <w:r>
              <w:rPr>
                <w:rFonts w:ascii="Arial" w:hAnsi="Arial" w:cs="Arial"/>
                <w:b/>
                <w:sz w:val="18"/>
              </w:rPr>
              <w:t xml:space="preserve"> 15-24 yrs</w:t>
            </w:r>
          </w:p>
        </w:tc>
        <w:tc>
          <w:tcPr>
            <w:tcW w:w="1463" w:type="dxa"/>
            <w:shd w:val="clear" w:color="auto" w:fill="C00000"/>
            <w:vAlign w:val="center"/>
          </w:tcPr>
          <w:p w14:paraId="35B3F154" w14:textId="531A7862" w:rsidR="00801142" w:rsidRPr="00801142" w:rsidRDefault="00801142" w:rsidP="00801142">
            <w:pPr>
              <w:rPr>
                <w:rFonts w:ascii="Arial" w:hAnsi="Arial" w:cs="Arial"/>
                <w:b/>
                <w:sz w:val="18"/>
              </w:rPr>
            </w:pPr>
            <w:r w:rsidRPr="00801142">
              <w:rPr>
                <w:rFonts w:ascii="Arial" w:hAnsi="Arial" w:cs="Arial"/>
                <w:b/>
                <w:sz w:val="18"/>
              </w:rPr>
              <w:t>Incremental cost per infection averted</w:t>
            </w:r>
            <w:r w:rsidR="000807B2">
              <w:rPr>
                <w:rFonts w:ascii="Arial" w:hAnsi="Arial" w:cs="Arial"/>
                <w:b/>
                <w:sz w:val="18"/>
              </w:rPr>
              <w:t xml:space="preserve"> (USD)</w:t>
            </w:r>
          </w:p>
        </w:tc>
      </w:tr>
      <w:tr w:rsidR="00801142" w:rsidRPr="00801142" w14:paraId="4365E465" w14:textId="77777777" w:rsidTr="00801142">
        <w:trPr>
          <w:trHeight w:val="221"/>
        </w:trPr>
        <w:tc>
          <w:tcPr>
            <w:tcW w:w="1682" w:type="dxa"/>
          </w:tcPr>
          <w:p w14:paraId="613EE33D" w14:textId="4928FF86" w:rsidR="00801142" w:rsidRPr="00801142" w:rsidRDefault="00C527FE" w:rsidP="00801142">
            <w:pPr>
              <w:rPr>
                <w:rFonts w:ascii="Arial" w:hAnsi="Arial" w:cs="Arial"/>
                <w:b/>
                <w:sz w:val="18"/>
              </w:rPr>
            </w:pPr>
            <w:r>
              <w:rPr>
                <w:rFonts w:ascii="Arial" w:hAnsi="Arial" w:cs="Arial"/>
                <w:b/>
                <w:sz w:val="18"/>
              </w:rPr>
              <w:t>CC</w:t>
            </w:r>
          </w:p>
        </w:tc>
        <w:tc>
          <w:tcPr>
            <w:tcW w:w="1635" w:type="dxa"/>
            <w:vAlign w:val="center"/>
          </w:tcPr>
          <w:p w14:paraId="44A07D77" w14:textId="1634D910" w:rsidR="00801142" w:rsidRPr="00801142" w:rsidRDefault="00801142" w:rsidP="00801142">
            <w:pPr>
              <w:jc w:val="center"/>
              <w:rPr>
                <w:rFonts w:ascii="Arial" w:hAnsi="Arial" w:cs="Arial"/>
                <w:sz w:val="18"/>
              </w:rPr>
            </w:pPr>
            <w:r w:rsidRPr="00801142">
              <w:rPr>
                <w:rFonts w:ascii="Arial" w:hAnsi="Arial" w:cs="Arial"/>
                <w:sz w:val="18"/>
              </w:rPr>
              <w:t>528 M</w:t>
            </w:r>
          </w:p>
        </w:tc>
        <w:tc>
          <w:tcPr>
            <w:tcW w:w="1924" w:type="dxa"/>
            <w:vAlign w:val="center"/>
          </w:tcPr>
          <w:p w14:paraId="5BFA240E" w14:textId="0297D715" w:rsidR="00801142" w:rsidRPr="00801142" w:rsidRDefault="00801142" w:rsidP="00801142">
            <w:pPr>
              <w:jc w:val="center"/>
              <w:rPr>
                <w:rFonts w:ascii="Arial" w:hAnsi="Arial" w:cs="Arial"/>
                <w:sz w:val="18"/>
              </w:rPr>
            </w:pPr>
            <w:r w:rsidRPr="00801142">
              <w:rPr>
                <w:rFonts w:ascii="Arial" w:hAnsi="Arial" w:cs="Arial"/>
                <w:sz w:val="18"/>
              </w:rPr>
              <w:t>-</w:t>
            </w:r>
          </w:p>
        </w:tc>
        <w:tc>
          <w:tcPr>
            <w:tcW w:w="1830" w:type="dxa"/>
            <w:vAlign w:val="center"/>
          </w:tcPr>
          <w:p w14:paraId="26462785" w14:textId="2D3AA7B4" w:rsidR="00801142" w:rsidRPr="00801142" w:rsidRDefault="00801142" w:rsidP="00801142">
            <w:pPr>
              <w:jc w:val="center"/>
              <w:rPr>
                <w:rFonts w:ascii="Arial" w:hAnsi="Arial" w:cs="Arial"/>
                <w:sz w:val="18"/>
              </w:rPr>
            </w:pPr>
            <w:r w:rsidRPr="00801142">
              <w:rPr>
                <w:rFonts w:ascii="Arial" w:hAnsi="Arial" w:cs="Arial"/>
                <w:sz w:val="18"/>
              </w:rPr>
              <w:t>164</w:t>
            </w:r>
            <w:r w:rsidR="002F43BE">
              <w:rPr>
                <w:rFonts w:ascii="Arial" w:hAnsi="Arial" w:cs="Arial"/>
                <w:sz w:val="18"/>
              </w:rPr>
              <w:t>,000</w:t>
            </w:r>
          </w:p>
        </w:tc>
        <w:tc>
          <w:tcPr>
            <w:tcW w:w="1463" w:type="dxa"/>
            <w:vAlign w:val="center"/>
          </w:tcPr>
          <w:p w14:paraId="3059A056" w14:textId="02C04EF3" w:rsidR="00801142" w:rsidRPr="00801142" w:rsidRDefault="00801142" w:rsidP="00801142">
            <w:pPr>
              <w:jc w:val="center"/>
              <w:rPr>
                <w:rFonts w:ascii="Arial" w:hAnsi="Arial" w:cs="Arial"/>
                <w:sz w:val="18"/>
              </w:rPr>
            </w:pPr>
            <w:r>
              <w:rPr>
                <w:rFonts w:ascii="Arial" w:hAnsi="Arial" w:cs="Arial"/>
                <w:sz w:val="18"/>
              </w:rPr>
              <w:t>-</w:t>
            </w:r>
          </w:p>
        </w:tc>
        <w:tc>
          <w:tcPr>
            <w:tcW w:w="1463" w:type="dxa"/>
          </w:tcPr>
          <w:p w14:paraId="091CA10A" w14:textId="77777777" w:rsidR="00801142" w:rsidRPr="00801142" w:rsidRDefault="00801142" w:rsidP="00801142">
            <w:pPr>
              <w:rPr>
                <w:rFonts w:ascii="Arial" w:hAnsi="Arial" w:cs="Arial"/>
                <w:sz w:val="18"/>
              </w:rPr>
            </w:pPr>
          </w:p>
        </w:tc>
      </w:tr>
      <w:tr w:rsidR="00801142" w:rsidRPr="00801142" w14:paraId="3FACDB48" w14:textId="77777777" w:rsidTr="00801142">
        <w:trPr>
          <w:trHeight w:val="221"/>
        </w:trPr>
        <w:tc>
          <w:tcPr>
            <w:tcW w:w="1682" w:type="dxa"/>
          </w:tcPr>
          <w:p w14:paraId="3C07A499" w14:textId="172C9189" w:rsidR="00801142" w:rsidRPr="00801142" w:rsidRDefault="00801142" w:rsidP="00801142">
            <w:pPr>
              <w:rPr>
                <w:rFonts w:ascii="Arial" w:hAnsi="Arial" w:cs="Arial"/>
                <w:b/>
                <w:sz w:val="18"/>
              </w:rPr>
            </w:pPr>
            <w:r w:rsidRPr="00801142">
              <w:rPr>
                <w:rFonts w:ascii="Arial" w:hAnsi="Arial" w:cs="Arial"/>
                <w:b/>
                <w:sz w:val="18"/>
              </w:rPr>
              <w:t>AGYW</w:t>
            </w:r>
          </w:p>
        </w:tc>
        <w:tc>
          <w:tcPr>
            <w:tcW w:w="1635" w:type="dxa"/>
            <w:vAlign w:val="center"/>
          </w:tcPr>
          <w:p w14:paraId="0C42532F" w14:textId="081BED29" w:rsidR="00801142" w:rsidRPr="00801142" w:rsidRDefault="00801142" w:rsidP="00801142">
            <w:pPr>
              <w:jc w:val="center"/>
              <w:rPr>
                <w:rFonts w:ascii="Arial" w:hAnsi="Arial" w:cs="Arial"/>
                <w:sz w:val="18"/>
              </w:rPr>
            </w:pPr>
            <w:r w:rsidRPr="00801142">
              <w:rPr>
                <w:rFonts w:ascii="Arial" w:hAnsi="Arial" w:cs="Arial"/>
                <w:sz w:val="18"/>
              </w:rPr>
              <w:t>2,496 M</w:t>
            </w:r>
          </w:p>
        </w:tc>
        <w:tc>
          <w:tcPr>
            <w:tcW w:w="1924" w:type="dxa"/>
            <w:vAlign w:val="center"/>
          </w:tcPr>
          <w:p w14:paraId="677DDE21" w14:textId="0D764957" w:rsidR="00801142" w:rsidRPr="00801142" w:rsidRDefault="00801142" w:rsidP="00801142">
            <w:pPr>
              <w:jc w:val="center"/>
              <w:rPr>
                <w:rFonts w:ascii="Arial" w:hAnsi="Arial" w:cs="Arial"/>
                <w:sz w:val="18"/>
              </w:rPr>
            </w:pPr>
            <w:r w:rsidRPr="00801142">
              <w:rPr>
                <w:rFonts w:ascii="Arial" w:hAnsi="Arial" w:cs="Arial"/>
                <w:sz w:val="18"/>
              </w:rPr>
              <w:t>1,968 M</w:t>
            </w:r>
          </w:p>
        </w:tc>
        <w:tc>
          <w:tcPr>
            <w:tcW w:w="1830" w:type="dxa"/>
            <w:vAlign w:val="center"/>
          </w:tcPr>
          <w:p w14:paraId="62BF90B2" w14:textId="3E406B46" w:rsidR="00801142" w:rsidRPr="00801142" w:rsidRDefault="00801142" w:rsidP="00801142">
            <w:pPr>
              <w:jc w:val="center"/>
              <w:rPr>
                <w:rFonts w:ascii="Arial" w:hAnsi="Arial" w:cs="Arial"/>
                <w:sz w:val="18"/>
              </w:rPr>
            </w:pPr>
            <w:r w:rsidRPr="00801142">
              <w:rPr>
                <w:rFonts w:ascii="Arial" w:hAnsi="Arial" w:cs="Arial"/>
                <w:sz w:val="18"/>
              </w:rPr>
              <w:t>13</w:t>
            </w:r>
            <w:r w:rsidR="002F43BE">
              <w:rPr>
                <w:rFonts w:ascii="Arial" w:hAnsi="Arial" w:cs="Arial"/>
                <w:sz w:val="18"/>
              </w:rPr>
              <w:t>1,000</w:t>
            </w:r>
          </w:p>
        </w:tc>
        <w:tc>
          <w:tcPr>
            <w:tcW w:w="1463" w:type="dxa"/>
            <w:vAlign w:val="center"/>
          </w:tcPr>
          <w:p w14:paraId="46A0042E" w14:textId="48602FD3" w:rsidR="00801142" w:rsidRPr="00801142" w:rsidRDefault="002F43BE" w:rsidP="00801142">
            <w:pPr>
              <w:jc w:val="center"/>
              <w:rPr>
                <w:rFonts w:ascii="Arial" w:hAnsi="Arial" w:cs="Arial"/>
                <w:sz w:val="18"/>
              </w:rPr>
            </w:pPr>
            <w:r>
              <w:rPr>
                <w:rFonts w:ascii="Arial" w:hAnsi="Arial" w:cs="Arial"/>
                <w:sz w:val="18"/>
              </w:rPr>
              <w:t>33,000</w:t>
            </w:r>
          </w:p>
        </w:tc>
        <w:tc>
          <w:tcPr>
            <w:tcW w:w="1463" w:type="dxa"/>
          </w:tcPr>
          <w:p w14:paraId="75F1BF05" w14:textId="2963B586" w:rsidR="00801142" w:rsidRPr="00801142" w:rsidRDefault="00801142" w:rsidP="00801142">
            <w:pPr>
              <w:rPr>
                <w:rFonts w:ascii="Arial" w:hAnsi="Arial" w:cs="Arial"/>
                <w:sz w:val="18"/>
              </w:rPr>
            </w:pPr>
            <w:r>
              <w:rPr>
                <w:rFonts w:ascii="Arial" w:hAnsi="Arial" w:cs="Arial"/>
                <w:sz w:val="18"/>
              </w:rPr>
              <w:t>5</w:t>
            </w:r>
            <w:r w:rsidR="002F43BE">
              <w:rPr>
                <w:rFonts w:ascii="Arial" w:hAnsi="Arial" w:cs="Arial"/>
                <w:sz w:val="18"/>
              </w:rPr>
              <w:t>6,636</w:t>
            </w:r>
          </w:p>
        </w:tc>
      </w:tr>
    </w:tbl>
    <w:p w14:paraId="6D76315C" w14:textId="77777777" w:rsidR="00801142" w:rsidRPr="00F8464F" w:rsidRDefault="00801142" w:rsidP="00945F3C">
      <w:pPr>
        <w:rPr>
          <w:rFonts w:ascii="Arial" w:hAnsi="Arial" w:cs="Arial"/>
          <w:color w:val="000000" w:themeColor="text1"/>
        </w:rPr>
      </w:pPr>
    </w:p>
    <w:p w14:paraId="28192EF3" w14:textId="3A977EF9" w:rsidR="00945F3C" w:rsidRPr="00A7659D" w:rsidRDefault="00A7659D" w:rsidP="00A7659D">
      <w:pPr>
        <w:pStyle w:val="Heading2"/>
        <w:rPr>
          <w:rFonts w:ascii="Arial" w:hAnsi="Arial" w:cs="Arial"/>
          <w:b/>
          <w:bCs/>
          <w:color w:val="000000" w:themeColor="text1"/>
        </w:rPr>
      </w:pPr>
      <w:bookmarkStart w:id="131" w:name="_Toc57035224"/>
      <w:r>
        <w:rPr>
          <w:rFonts w:ascii="Arial" w:hAnsi="Arial" w:cs="Arial"/>
          <w:b/>
          <w:bCs/>
          <w:color w:val="000000" w:themeColor="text1"/>
        </w:rPr>
        <w:t>Financing AGYW prevention scale-up: Cost-sharing</w:t>
      </w:r>
      <w:bookmarkEnd w:id="131"/>
    </w:p>
    <w:p w14:paraId="0726BD6F" w14:textId="743DED7D" w:rsidR="00A24FFC" w:rsidRPr="00F8464F" w:rsidRDefault="00A24FFC" w:rsidP="0081412F">
      <w:pPr>
        <w:spacing w:after="0"/>
        <w:rPr>
          <w:rFonts w:ascii="Arial" w:hAnsi="Arial" w:cs="Arial"/>
          <w:color w:val="000000" w:themeColor="text1"/>
        </w:rPr>
      </w:pPr>
    </w:p>
    <w:p w14:paraId="2413B4AD" w14:textId="09465997" w:rsidR="00F6329B" w:rsidRDefault="00F8464F" w:rsidP="0081412F">
      <w:pPr>
        <w:spacing w:after="0"/>
        <w:rPr>
          <w:rFonts w:ascii="Arial" w:hAnsi="Arial" w:cs="Arial"/>
          <w:color w:val="000000" w:themeColor="text1"/>
        </w:rPr>
      </w:pPr>
      <w:r>
        <w:rPr>
          <w:rFonts w:ascii="Arial" w:hAnsi="Arial" w:cs="Arial"/>
          <w:color w:val="000000" w:themeColor="text1"/>
        </w:rPr>
        <w:t>Another argument for AGYW investments is that the</w:t>
      </w:r>
      <w:r w:rsidR="00F6329B" w:rsidRPr="00F8464F">
        <w:rPr>
          <w:rFonts w:ascii="Arial" w:hAnsi="Arial" w:cs="Arial"/>
          <w:color w:val="000000" w:themeColor="text1"/>
        </w:rPr>
        <w:t xml:space="preserve"> costs of AGYW </w:t>
      </w:r>
      <w:r w:rsidR="003E7F59">
        <w:rPr>
          <w:rFonts w:ascii="Arial" w:hAnsi="Arial" w:cs="Arial"/>
          <w:color w:val="000000" w:themeColor="text1"/>
        </w:rPr>
        <w:t>should not</w:t>
      </w:r>
      <w:r w:rsidR="00F6329B" w:rsidRPr="00F8464F">
        <w:rPr>
          <w:rFonts w:ascii="Arial" w:hAnsi="Arial" w:cs="Arial"/>
          <w:color w:val="000000" w:themeColor="text1"/>
        </w:rPr>
        <w:t xml:space="preserve"> be borne by</w:t>
      </w:r>
      <w:r w:rsidR="003E7F59">
        <w:rPr>
          <w:rFonts w:ascii="Arial" w:hAnsi="Arial" w:cs="Arial"/>
          <w:color w:val="000000" w:themeColor="text1"/>
        </w:rPr>
        <w:t xml:space="preserve"> or attributed to</w:t>
      </w:r>
      <w:r w:rsidR="00F6329B" w:rsidRPr="00F8464F">
        <w:rPr>
          <w:rFonts w:ascii="Arial" w:hAnsi="Arial" w:cs="Arial"/>
          <w:color w:val="000000" w:themeColor="text1"/>
        </w:rPr>
        <w:t xml:space="preserve"> the HIV program alone.</w:t>
      </w:r>
      <w:r>
        <w:rPr>
          <w:rFonts w:ascii="Arial" w:hAnsi="Arial" w:cs="Arial"/>
          <w:color w:val="000000" w:themeColor="text1"/>
        </w:rPr>
        <w:t xml:space="preserve"> As shown in </w:t>
      </w:r>
      <w:r w:rsidR="00D127FC" w:rsidRPr="00585A95">
        <w:rPr>
          <w:rFonts w:ascii="Arial" w:hAnsi="Arial" w:cs="Arial"/>
          <w:i/>
          <w:color w:val="000000" w:themeColor="text1"/>
        </w:rPr>
        <w:t>Figure 8-2</w:t>
      </w:r>
      <w:r>
        <w:rPr>
          <w:rFonts w:ascii="Arial" w:hAnsi="Arial" w:cs="Arial"/>
          <w:color w:val="000000" w:themeColor="text1"/>
        </w:rPr>
        <w:t xml:space="preserve"> above, these HIV interventions have both direct HIV and indirect impacts that change the structural conditions for HIV transmission but may also have benefits to other social and economic programs.</w:t>
      </w:r>
    </w:p>
    <w:p w14:paraId="690B9243" w14:textId="77777777" w:rsidR="0081412F" w:rsidRPr="00F8464F" w:rsidRDefault="0081412F" w:rsidP="0081412F">
      <w:pPr>
        <w:spacing w:after="0"/>
        <w:rPr>
          <w:rFonts w:ascii="Arial" w:hAnsi="Arial" w:cs="Arial"/>
          <w:color w:val="000000" w:themeColor="text1"/>
        </w:rPr>
      </w:pPr>
    </w:p>
    <w:p w14:paraId="10B00159" w14:textId="7137AB78" w:rsidR="00F6329B" w:rsidRPr="00F6329B" w:rsidRDefault="00D127FC" w:rsidP="00F6329B">
      <w:pPr>
        <w:rPr>
          <w:rFonts w:ascii="Arial" w:hAnsi="Arial" w:cs="Arial"/>
        </w:rPr>
      </w:pPr>
      <w:r w:rsidRPr="00D127FC">
        <w:rPr>
          <w:rFonts w:ascii="Arial" w:hAnsi="Arial" w:cs="Arial"/>
          <w:color w:val="000000" w:themeColor="text1"/>
          <w:lang w:val="fr-FR"/>
        </w:rPr>
        <w:t xml:space="preserve">For example, </w:t>
      </w:r>
      <w:r w:rsidR="00F6329B" w:rsidRPr="00D127FC">
        <w:rPr>
          <w:rFonts w:ascii="Arial" w:hAnsi="Arial" w:cs="Arial"/>
          <w:color w:val="000000" w:themeColor="text1"/>
          <w:lang w:val="fr-FR"/>
        </w:rPr>
        <w:t xml:space="preserve">Remme </w:t>
      </w:r>
      <w:r w:rsidR="00F6329B" w:rsidRPr="00D127FC">
        <w:rPr>
          <w:rFonts w:ascii="Arial" w:hAnsi="Arial" w:cs="Arial"/>
          <w:iCs/>
          <w:lang w:val="fr-FR"/>
        </w:rPr>
        <w:t>et al</w:t>
      </w:r>
      <w:r w:rsidR="00F6329B" w:rsidRPr="00D127FC">
        <w:rPr>
          <w:rFonts w:ascii="Arial" w:hAnsi="Arial" w:cs="Arial"/>
          <w:i/>
          <w:iCs/>
          <w:lang w:val="fr-FR"/>
        </w:rPr>
        <w:t>.</w:t>
      </w:r>
      <w:r w:rsidR="00F6329B" w:rsidRPr="00D127FC">
        <w:rPr>
          <w:rFonts w:ascii="Arial" w:hAnsi="Arial" w:cs="Arial"/>
          <w:lang w:val="fr-FR"/>
        </w:rPr>
        <w:t xml:space="preserve"> </w:t>
      </w:r>
      <w:r w:rsidR="00F6329B" w:rsidRPr="00F6329B">
        <w:rPr>
          <w:rFonts w:ascii="Arial" w:hAnsi="Arial" w:cs="Arial"/>
        </w:rPr>
        <w:t>(2014) have argued that</w:t>
      </w:r>
      <w:r w:rsidR="00F8464F">
        <w:rPr>
          <w:rFonts w:ascii="Arial" w:hAnsi="Arial" w:cs="Arial"/>
        </w:rPr>
        <w:t xml:space="preserve"> HIV programs</w:t>
      </w:r>
      <w:r w:rsidR="00F6329B" w:rsidRPr="00F6329B">
        <w:rPr>
          <w:rFonts w:ascii="Arial" w:hAnsi="Arial" w:cs="Arial"/>
        </w:rPr>
        <w:t xml:space="preserve"> should be responsible for only part of the costs</w:t>
      </w:r>
      <w:r w:rsidR="00F8464F">
        <w:rPr>
          <w:rFonts w:ascii="Arial" w:hAnsi="Arial" w:cs="Arial"/>
        </w:rPr>
        <w:t xml:space="preserve"> of cash transfer programs</w:t>
      </w:r>
      <w:r w:rsidR="00F6329B" w:rsidRPr="00F6329B">
        <w:rPr>
          <w:rFonts w:ascii="Arial" w:hAnsi="Arial" w:cs="Arial"/>
        </w:rPr>
        <w:t>, since benefits also accrue to other sectors. The</w:t>
      </w:r>
      <w:r w:rsidR="00F8464F">
        <w:rPr>
          <w:rFonts w:ascii="Arial" w:hAnsi="Arial" w:cs="Arial"/>
        </w:rPr>
        <w:t>se authors</w:t>
      </w:r>
      <w:r w:rsidR="00F6329B" w:rsidRPr="00F6329B">
        <w:rPr>
          <w:rFonts w:ascii="Arial" w:hAnsi="Arial" w:cs="Arial"/>
        </w:rPr>
        <w:t xml:space="preserve"> suggest the fair share for HIV is about </w:t>
      </w:r>
      <w:r w:rsidR="000807B2">
        <w:rPr>
          <w:rFonts w:ascii="Arial" w:hAnsi="Arial" w:cs="Arial"/>
        </w:rPr>
        <w:t xml:space="preserve">USD </w:t>
      </w:r>
      <w:r w:rsidR="00F6329B" w:rsidRPr="00F6329B">
        <w:rPr>
          <w:rFonts w:ascii="Arial" w:hAnsi="Arial" w:cs="Arial"/>
        </w:rPr>
        <w:t xml:space="preserve">42 per person per year. </w:t>
      </w:r>
    </w:p>
    <w:p w14:paraId="6BF41F42" w14:textId="21833735" w:rsidR="00F6329B" w:rsidRDefault="00F6329B" w:rsidP="00F6329B">
      <w:pPr>
        <w:rPr>
          <w:rFonts w:ascii="Arial" w:hAnsi="Arial" w:cs="Arial"/>
        </w:rPr>
      </w:pPr>
      <w:r w:rsidRPr="00F6329B">
        <w:rPr>
          <w:rFonts w:ascii="Arial" w:hAnsi="Arial" w:cs="Arial"/>
        </w:rPr>
        <w:t xml:space="preserve">At </w:t>
      </w:r>
      <w:r w:rsidR="000807B2">
        <w:rPr>
          <w:rFonts w:ascii="Arial" w:hAnsi="Arial" w:cs="Arial"/>
        </w:rPr>
        <w:t xml:space="preserve">USD </w:t>
      </w:r>
      <w:r w:rsidRPr="00F6329B">
        <w:rPr>
          <w:rFonts w:ascii="Arial" w:hAnsi="Arial" w:cs="Arial"/>
        </w:rPr>
        <w:t xml:space="preserve">42 per person and focused on the 10% of districts with the highest incidence, cash transfers would be cost-effective at </w:t>
      </w:r>
      <w:r w:rsidR="000807B2">
        <w:rPr>
          <w:rFonts w:ascii="Arial" w:hAnsi="Arial" w:cs="Arial"/>
        </w:rPr>
        <w:t xml:space="preserve">USD </w:t>
      </w:r>
      <w:r w:rsidRPr="00F6329B">
        <w:rPr>
          <w:rFonts w:ascii="Arial" w:hAnsi="Arial" w:cs="Arial"/>
        </w:rPr>
        <w:t>2</w:t>
      </w:r>
      <w:r>
        <w:rPr>
          <w:rFonts w:ascii="Arial" w:hAnsi="Arial" w:cs="Arial"/>
        </w:rPr>
        <w:t>,</w:t>
      </w:r>
      <w:r w:rsidRPr="00F6329B">
        <w:rPr>
          <w:rFonts w:ascii="Arial" w:hAnsi="Arial" w:cs="Arial"/>
        </w:rPr>
        <w:t>350</w:t>
      </w:r>
      <w:r>
        <w:rPr>
          <w:rFonts w:ascii="Arial" w:hAnsi="Arial" w:cs="Arial"/>
        </w:rPr>
        <w:t>.</w:t>
      </w:r>
    </w:p>
    <w:p w14:paraId="1A7A18FA" w14:textId="070B60BA" w:rsidR="00A24FFC" w:rsidRPr="001A2CAA" w:rsidRDefault="00F8464F" w:rsidP="00A24FFC">
      <w:pPr>
        <w:rPr>
          <w:rFonts w:ascii="Arial" w:hAnsi="Arial" w:cs="Arial"/>
        </w:rPr>
      </w:pPr>
      <w:r>
        <w:rPr>
          <w:rFonts w:ascii="Arial" w:hAnsi="Arial" w:cs="Arial"/>
        </w:rPr>
        <w:t xml:space="preserve">Under this type of cost-sharing arrangement, the HIV resources required for the AGYW program would shrink to USD 1.5 B (by 25%). PrEP would then require the greatest share of resources. </w:t>
      </w:r>
      <w:r w:rsidR="001A2CAA">
        <w:rPr>
          <w:rFonts w:ascii="Arial" w:hAnsi="Arial" w:cs="Arial"/>
        </w:rPr>
        <w:t xml:space="preserve">Similar arguments could be made for other AGYW interventions. </w:t>
      </w:r>
    </w:p>
    <w:p w14:paraId="286F6066" w14:textId="0987C413" w:rsidR="00A24FFC" w:rsidRPr="0028213B" w:rsidRDefault="00F8464F" w:rsidP="00A24FFC">
      <w:pPr>
        <w:rPr>
          <w:rFonts w:ascii="Arial" w:hAnsi="Arial" w:cs="Arial"/>
          <w:i/>
          <w:sz w:val="18"/>
        </w:rPr>
      </w:pPr>
      <w:r w:rsidRPr="001A2CAA">
        <w:rPr>
          <w:rFonts w:ascii="Arial" w:hAnsi="Arial" w:cs="Arial"/>
          <w:i/>
          <w:sz w:val="18"/>
        </w:rPr>
        <w:t xml:space="preserve">Figure </w:t>
      </w:r>
      <w:r w:rsidR="00D127FC">
        <w:rPr>
          <w:rFonts w:ascii="Arial" w:hAnsi="Arial" w:cs="Arial"/>
          <w:i/>
          <w:sz w:val="18"/>
        </w:rPr>
        <w:t>8-1</w:t>
      </w:r>
      <w:r w:rsidR="00585A95">
        <w:rPr>
          <w:rFonts w:ascii="Arial" w:hAnsi="Arial" w:cs="Arial"/>
          <w:i/>
          <w:sz w:val="18"/>
        </w:rPr>
        <w:t>1</w:t>
      </w:r>
      <w:r w:rsidR="001A2CAA" w:rsidRPr="001A2CAA">
        <w:rPr>
          <w:rFonts w:ascii="Arial" w:hAnsi="Arial" w:cs="Arial"/>
          <w:i/>
          <w:sz w:val="18"/>
        </w:rPr>
        <w:t>. Resource requirements of HIV program under full and partial cost sharing of cash transfers</w:t>
      </w:r>
    </w:p>
    <w:p w14:paraId="38D7731C" w14:textId="284D504F" w:rsidR="00A24FFC" w:rsidRDefault="00A24FFC" w:rsidP="007806A2">
      <w:r w:rsidRPr="00A24FFC">
        <w:rPr>
          <w:noProof/>
        </w:rPr>
        <w:drawing>
          <wp:inline distT="0" distB="0" distL="0" distR="0" wp14:anchorId="390EB96C" wp14:editId="01334139">
            <wp:extent cx="5237018" cy="3643630"/>
            <wp:effectExtent l="0" t="0" r="1905" b="13970"/>
            <wp:docPr id="128" name="Chart 128">
              <a:extLst xmlns:a="http://schemas.openxmlformats.org/drawingml/2006/main">
                <a:ext uri="{FF2B5EF4-FFF2-40B4-BE49-F238E27FC236}">
                  <a16:creationId xmlns:a16="http://schemas.microsoft.com/office/drawing/2014/main" id="{27F860F6-7FE6-47C2-B207-FE8B3D1D7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C0600DC" w14:textId="17F64D0C" w:rsidR="0037530D" w:rsidRPr="008661A5" w:rsidRDefault="0037530D" w:rsidP="0037530D">
      <w:pPr>
        <w:pStyle w:val="Heading2"/>
        <w:rPr>
          <w:rFonts w:ascii="Arial" w:hAnsi="Arial" w:cs="Arial"/>
          <w:b/>
          <w:color w:val="000000" w:themeColor="text1"/>
        </w:rPr>
      </w:pPr>
      <w:bookmarkStart w:id="132" w:name="_Toc57035225"/>
      <w:r w:rsidRPr="008661A5">
        <w:rPr>
          <w:rFonts w:ascii="Arial" w:hAnsi="Arial" w:cs="Arial"/>
          <w:b/>
          <w:color w:val="000000" w:themeColor="text1"/>
        </w:rPr>
        <w:t>Takeaways</w:t>
      </w:r>
      <w:r w:rsidR="003A4872">
        <w:rPr>
          <w:rFonts w:ascii="Arial" w:hAnsi="Arial" w:cs="Arial"/>
          <w:b/>
          <w:color w:val="000000" w:themeColor="text1"/>
        </w:rPr>
        <w:t xml:space="preserve"> on AGYW </w:t>
      </w:r>
      <w:r w:rsidR="008E3262">
        <w:rPr>
          <w:rFonts w:ascii="Arial" w:hAnsi="Arial" w:cs="Arial"/>
          <w:b/>
          <w:color w:val="000000" w:themeColor="text1"/>
        </w:rPr>
        <w:t>prevention program scale-up</w:t>
      </w:r>
      <w:bookmarkEnd w:id="132"/>
    </w:p>
    <w:p w14:paraId="679C5091" w14:textId="72CBAF60" w:rsidR="0037530D" w:rsidRDefault="0037530D" w:rsidP="0037530D">
      <w:pPr>
        <w:spacing w:after="0"/>
      </w:pPr>
    </w:p>
    <w:p w14:paraId="33B51D8B" w14:textId="61035133" w:rsidR="003E7F59" w:rsidRDefault="008E3262" w:rsidP="0037530D">
      <w:pPr>
        <w:spacing w:after="0"/>
        <w:rPr>
          <w:rFonts w:ascii="Arial" w:hAnsi="Arial" w:cs="Arial"/>
        </w:rPr>
      </w:pPr>
      <w:r>
        <w:rPr>
          <w:rFonts w:ascii="Arial" w:hAnsi="Arial" w:cs="Arial"/>
        </w:rPr>
        <w:t>Reducing new infections among AGYW is an</w:t>
      </w:r>
      <w:r w:rsidR="0037530D" w:rsidRPr="0037530D">
        <w:rPr>
          <w:rFonts w:ascii="Arial" w:hAnsi="Arial" w:cs="Arial"/>
        </w:rPr>
        <w:t xml:space="preserve"> important program challenge that must be addressed</w:t>
      </w:r>
      <w:r>
        <w:rPr>
          <w:rFonts w:ascii="Arial" w:hAnsi="Arial" w:cs="Arial"/>
        </w:rPr>
        <w:t xml:space="preserve"> through expanding prevention efforts</w:t>
      </w:r>
      <w:r w:rsidR="0037530D">
        <w:rPr>
          <w:rFonts w:ascii="Arial" w:hAnsi="Arial" w:cs="Arial"/>
        </w:rPr>
        <w:t xml:space="preserve">. </w:t>
      </w:r>
      <w:r w:rsidR="00754A64">
        <w:rPr>
          <w:rFonts w:ascii="Arial" w:hAnsi="Arial" w:cs="Arial"/>
        </w:rPr>
        <w:t>For this package of interventions, it</w:t>
      </w:r>
      <w:r w:rsidR="005B5A2B">
        <w:rPr>
          <w:rFonts w:ascii="Arial" w:hAnsi="Arial" w:cs="Arial"/>
        </w:rPr>
        <w:t xml:space="preserve"> is not a matter of</w:t>
      </w:r>
      <w:r w:rsidR="00754A64">
        <w:rPr>
          <w:rFonts w:ascii="Arial" w:hAnsi="Arial" w:cs="Arial"/>
        </w:rPr>
        <w:t xml:space="preserve"> only</w:t>
      </w:r>
      <w:r w:rsidR="005B5A2B">
        <w:rPr>
          <w:rFonts w:ascii="Arial" w:hAnsi="Arial" w:cs="Arial"/>
        </w:rPr>
        <w:t xml:space="preserve"> maintaining current programs or </w:t>
      </w:r>
      <w:r w:rsidR="00754A64">
        <w:rPr>
          <w:rFonts w:ascii="Arial" w:hAnsi="Arial" w:cs="Arial"/>
        </w:rPr>
        <w:t>committing to a</w:t>
      </w:r>
      <w:r w:rsidR="005B5A2B">
        <w:rPr>
          <w:rFonts w:ascii="Arial" w:hAnsi="Arial" w:cs="Arial"/>
        </w:rPr>
        <w:t xml:space="preserve"> final push </w:t>
      </w:r>
      <w:r w:rsidR="003E7F59">
        <w:rPr>
          <w:rFonts w:ascii="Arial" w:hAnsi="Arial" w:cs="Arial"/>
        </w:rPr>
        <w:t>to close a small</w:t>
      </w:r>
      <w:r w:rsidR="005B5A2B">
        <w:rPr>
          <w:rFonts w:ascii="Arial" w:hAnsi="Arial" w:cs="Arial"/>
        </w:rPr>
        <w:t xml:space="preserve"> gap, but rather intense scale-up will be required. </w:t>
      </w:r>
      <w:r w:rsidR="0037530D">
        <w:rPr>
          <w:rFonts w:ascii="Arial" w:hAnsi="Arial" w:cs="Arial"/>
        </w:rPr>
        <w:t>Closing these</w:t>
      </w:r>
      <w:r w:rsidR="005B5A2B">
        <w:rPr>
          <w:rFonts w:ascii="Arial" w:hAnsi="Arial" w:cs="Arial"/>
        </w:rPr>
        <w:t xml:space="preserve"> large</w:t>
      </w:r>
      <w:r w:rsidR="0037530D">
        <w:rPr>
          <w:rFonts w:ascii="Arial" w:hAnsi="Arial" w:cs="Arial"/>
        </w:rPr>
        <w:t xml:space="preserve"> gaps will require additional investments</w:t>
      </w:r>
      <w:r w:rsidR="005B5A2B">
        <w:rPr>
          <w:rFonts w:ascii="Arial" w:hAnsi="Arial" w:cs="Arial"/>
        </w:rPr>
        <w:t xml:space="preserve"> beyond current spending</w:t>
      </w:r>
      <w:r w:rsidR="0037530D">
        <w:rPr>
          <w:rFonts w:ascii="Arial" w:hAnsi="Arial" w:cs="Arial"/>
        </w:rPr>
        <w:t xml:space="preserve">. </w:t>
      </w:r>
      <w:r w:rsidR="00087903">
        <w:rPr>
          <w:rFonts w:ascii="Arial" w:hAnsi="Arial" w:cs="Arial"/>
        </w:rPr>
        <w:t xml:space="preserve">Scaling </w:t>
      </w:r>
      <w:r w:rsidR="0037530D">
        <w:rPr>
          <w:rFonts w:ascii="Arial" w:hAnsi="Arial" w:cs="Arial"/>
        </w:rPr>
        <w:t>up a comprehensive</w:t>
      </w:r>
      <w:r w:rsidR="00087903">
        <w:rPr>
          <w:rFonts w:ascii="Arial" w:hAnsi="Arial" w:cs="Arial"/>
        </w:rPr>
        <w:t xml:space="preserve"> AGYW</w:t>
      </w:r>
      <w:r w:rsidR="0037530D">
        <w:rPr>
          <w:rFonts w:ascii="Arial" w:hAnsi="Arial" w:cs="Arial"/>
        </w:rPr>
        <w:t xml:space="preserve"> prevention package nationally w</w:t>
      </w:r>
      <w:r w:rsidR="00087903">
        <w:rPr>
          <w:rFonts w:ascii="Arial" w:hAnsi="Arial" w:cs="Arial"/>
        </w:rPr>
        <w:t>ill</w:t>
      </w:r>
      <w:r w:rsidR="0037530D">
        <w:rPr>
          <w:rFonts w:ascii="Arial" w:hAnsi="Arial" w:cs="Arial"/>
        </w:rPr>
        <w:t xml:space="preserve"> require a</w:t>
      </w:r>
      <w:r w:rsidR="00087903">
        <w:rPr>
          <w:rFonts w:ascii="Arial" w:hAnsi="Arial" w:cs="Arial"/>
        </w:rPr>
        <w:t>n intensive level</w:t>
      </w:r>
      <w:r w:rsidR="0037530D">
        <w:rPr>
          <w:rFonts w:ascii="Arial" w:hAnsi="Arial" w:cs="Arial"/>
        </w:rPr>
        <w:t xml:space="preserve"> of resources over time-</w:t>
      </w:r>
      <w:r w:rsidR="003E7F59">
        <w:rPr>
          <w:rFonts w:ascii="Arial" w:hAnsi="Arial" w:cs="Arial"/>
        </w:rPr>
        <w:t>– a cumulative total of more than USD 2.0 B over the next 12 years and an annual spending of USD 270 M in 2030</w:t>
      </w:r>
      <w:r w:rsidR="00B40003">
        <w:rPr>
          <w:rFonts w:ascii="Arial" w:hAnsi="Arial" w:cs="Arial"/>
        </w:rPr>
        <w:t>, about 4-times greater th</w:t>
      </w:r>
      <w:r w:rsidR="00E9785B">
        <w:rPr>
          <w:rFonts w:ascii="Arial" w:hAnsi="Arial" w:cs="Arial"/>
        </w:rPr>
        <w:t>a</w:t>
      </w:r>
      <w:r w:rsidR="00B40003">
        <w:rPr>
          <w:rFonts w:ascii="Arial" w:hAnsi="Arial" w:cs="Arial"/>
        </w:rPr>
        <w:t>n current annual spending</w:t>
      </w:r>
      <w:r w:rsidR="00E9785B">
        <w:rPr>
          <w:rFonts w:ascii="Arial" w:hAnsi="Arial" w:cs="Arial"/>
        </w:rPr>
        <w:t xml:space="preserve"> on AGYW prevention interventions.</w:t>
      </w:r>
    </w:p>
    <w:p w14:paraId="2130B5A2" w14:textId="77777777" w:rsidR="003E7F59" w:rsidRDefault="003E7F59" w:rsidP="003E7F59">
      <w:pPr>
        <w:spacing w:after="0"/>
        <w:rPr>
          <w:rFonts w:ascii="Arial" w:hAnsi="Arial" w:cs="Arial"/>
        </w:rPr>
      </w:pPr>
    </w:p>
    <w:p w14:paraId="64B4DCE5" w14:textId="2C84EF51" w:rsidR="003E7F59" w:rsidRPr="0037530D" w:rsidRDefault="003E7F59" w:rsidP="003E7F59">
      <w:pPr>
        <w:spacing w:after="0"/>
        <w:rPr>
          <w:rFonts w:ascii="Arial" w:hAnsi="Arial" w:cs="Arial"/>
        </w:rPr>
      </w:pPr>
      <w:r>
        <w:rPr>
          <w:rFonts w:ascii="Arial" w:hAnsi="Arial" w:cs="Arial"/>
        </w:rPr>
        <w:t xml:space="preserve">In the previous funding-constrained analyses, </w:t>
      </w:r>
      <w:r w:rsidR="00E9785B">
        <w:rPr>
          <w:rFonts w:ascii="Arial" w:hAnsi="Arial" w:cs="Arial"/>
        </w:rPr>
        <w:t>interventions apart of the AGYW prevention package, like PrEP and cash transfers, were</w:t>
      </w:r>
      <w:r>
        <w:rPr>
          <w:rFonts w:ascii="Arial" w:hAnsi="Arial" w:cs="Arial"/>
        </w:rPr>
        <w:t xml:space="preserve"> not prioritized given the competing need to maximize ART and overall infections averted</w:t>
      </w:r>
      <w:r w:rsidR="00E9785B">
        <w:rPr>
          <w:rFonts w:ascii="Arial" w:hAnsi="Arial" w:cs="Arial"/>
        </w:rPr>
        <w:t xml:space="preserve"> through very low-cost, highly effective interventions like VMMC and condoms. </w:t>
      </w:r>
      <w:r>
        <w:rPr>
          <w:rFonts w:ascii="Arial" w:hAnsi="Arial" w:cs="Arial"/>
        </w:rPr>
        <w:t xml:space="preserve">However, to ultimately reach epidemic control, </w:t>
      </w:r>
      <w:r w:rsidR="00E9785B">
        <w:rPr>
          <w:rFonts w:ascii="Arial" w:hAnsi="Arial" w:cs="Arial"/>
        </w:rPr>
        <w:t>AGYW</w:t>
      </w:r>
      <w:r>
        <w:rPr>
          <w:rFonts w:ascii="Arial" w:hAnsi="Arial" w:cs="Arial"/>
        </w:rPr>
        <w:t xml:space="preserve"> initiatives </w:t>
      </w:r>
      <w:r w:rsidR="00E9785B">
        <w:rPr>
          <w:rFonts w:ascii="Arial" w:hAnsi="Arial" w:cs="Arial"/>
        </w:rPr>
        <w:t xml:space="preserve">will </w:t>
      </w:r>
      <w:r>
        <w:rPr>
          <w:rFonts w:ascii="Arial" w:hAnsi="Arial" w:cs="Arial"/>
        </w:rPr>
        <w:t xml:space="preserve">have to be scaled as well.  </w:t>
      </w:r>
      <w:r w:rsidR="00E9785B">
        <w:rPr>
          <w:rFonts w:ascii="Arial" w:hAnsi="Arial" w:cs="Arial"/>
        </w:rPr>
        <w:t>T</w:t>
      </w:r>
      <w:r>
        <w:rPr>
          <w:rFonts w:ascii="Arial" w:hAnsi="Arial" w:cs="Arial"/>
        </w:rPr>
        <w:t xml:space="preserve">he large costs of expanding these activities </w:t>
      </w:r>
      <w:r w:rsidR="00E9785B">
        <w:rPr>
          <w:rFonts w:ascii="Arial" w:hAnsi="Arial" w:cs="Arial"/>
        </w:rPr>
        <w:t>will be</w:t>
      </w:r>
      <w:r>
        <w:rPr>
          <w:rFonts w:ascii="Arial" w:hAnsi="Arial" w:cs="Arial"/>
        </w:rPr>
        <w:t xml:space="preserve"> hard to finance and sustain in Tanzania in the current harsh funding environment</w:t>
      </w:r>
      <w:r w:rsidR="00E9785B">
        <w:rPr>
          <w:rFonts w:ascii="Arial" w:hAnsi="Arial" w:cs="Arial"/>
        </w:rPr>
        <w:t>, but solutions such as cost-sharing with other sectors should be explored. Moreover, as new opportunities for efficiency in ART delivery or testing come about, funding could also be re-allocated to the AGYW program.</w:t>
      </w:r>
    </w:p>
    <w:p w14:paraId="459E8850" w14:textId="7EB52E2C" w:rsidR="00916032" w:rsidRDefault="004B5772" w:rsidP="00916032">
      <w:pPr>
        <w:pStyle w:val="Heading1"/>
        <w:rPr>
          <w:rFonts w:ascii="Arial" w:eastAsia="Times New Roman" w:hAnsi="Arial" w:cs="Arial"/>
          <w:b/>
          <w:bCs/>
          <w:color w:val="C00000"/>
        </w:rPr>
      </w:pPr>
      <w:bookmarkStart w:id="133" w:name="_Toc57035226"/>
      <w:r>
        <w:rPr>
          <w:rFonts w:ascii="Arial" w:eastAsia="Times New Roman" w:hAnsi="Arial" w:cs="Arial"/>
          <w:b/>
          <w:bCs/>
          <w:color w:val="C00000"/>
        </w:rPr>
        <w:t>CHAPTER 9. CONCLUSIONS</w:t>
      </w:r>
      <w:bookmarkEnd w:id="133"/>
    </w:p>
    <w:p w14:paraId="58699914" w14:textId="66226B7B" w:rsidR="000B2682" w:rsidRDefault="000B2682" w:rsidP="00CC2044">
      <w:pPr>
        <w:spacing w:after="0"/>
      </w:pPr>
    </w:p>
    <w:p w14:paraId="51823802" w14:textId="4DC5F051" w:rsidR="000B2682" w:rsidRPr="00A178D1" w:rsidRDefault="00864D0C" w:rsidP="00A178D1">
      <w:pPr>
        <w:pStyle w:val="Heading2"/>
        <w:rPr>
          <w:rFonts w:ascii="Arial" w:hAnsi="Arial" w:cs="Arial"/>
          <w:b/>
          <w:bCs/>
          <w:color w:val="000000" w:themeColor="text1"/>
        </w:rPr>
      </w:pPr>
      <w:bookmarkStart w:id="134" w:name="_Toc57035227"/>
      <w:r>
        <w:rPr>
          <w:rFonts w:ascii="Arial" w:hAnsi="Arial" w:cs="Arial"/>
          <w:b/>
          <w:bCs/>
          <w:color w:val="000000" w:themeColor="text1"/>
        </w:rPr>
        <w:t>Summing up the Investment Case for HIV 2.0</w:t>
      </w:r>
      <w:bookmarkEnd w:id="134"/>
      <w:r>
        <w:rPr>
          <w:rFonts w:ascii="Arial" w:hAnsi="Arial" w:cs="Arial"/>
          <w:b/>
          <w:bCs/>
          <w:color w:val="000000" w:themeColor="text1"/>
        </w:rPr>
        <w:t xml:space="preserve"> </w:t>
      </w:r>
    </w:p>
    <w:p w14:paraId="6DE03E86"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4ECB963C" w14:textId="77777777"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Looking to the next decade, Tanzania will have to meet and sustain even more ambitious program targets</w:t>
      </w:r>
      <w:r>
        <w:rPr>
          <w:rFonts w:ascii="Arial" w:eastAsia="Times New Roman" w:hAnsi="Arial" w:cs="Arial"/>
          <w:color w:val="222222"/>
        </w:rPr>
        <w:t xml:space="preserve">, and may have to do so </w:t>
      </w:r>
      <w:r w:rsidRPr="00D30B8B">
        <w:rPr>
          <w:rFonts w:ascii="Arial" w:eastAsia="Times New Roman" w:hAnsi="Arial" w:cs="Arial"/>
          <w:color w:val="222222"/>
        </w:rPr>
        <w:t xml:space="preserve">with flat-lined or declining donor contributions. Tanzania has committed to achieving 95-95-95 program targets by 2025, maintaining this over time, and by 2030 reaching Fast Track targets of a 90% reduction in new infections and mortality from 2015 levels. </w:t>
      </w:r>
      <w:r>
        <w:rPr>
          <w:rFonts w:ascii="Arial" w:eastAsia="Times New Roman" w:hAnsi="Arial" w:cs="Arial"/>
          <w:color w:val="222222"/>
        </w:rPr>
        <w:t xml:space="preserve">Several years ago, Tanzania and most other countries would call for significantly more money to achieve these expanded targets, </w:t>
      </w:r>
      <w:r w:rsidRPr="00D30B8B">
        <w:rPr>
          <w:rFonts w:ascii="Arial" w:eastAsia="Times New Roman" w:hAnsi="Arial" w:cs="Arial"/>
          <w:color w:val="222222"/>
        </w:rPr>
        <w:t xml:space="preserve">especially from external partners. Tanzania has benefitted from increasing external contributions for many years, </w:t>
      </w:r>
      <w:r>
        <w:rPr>
          <w:rFonts w:ascii="Arial" w:eastAsia="Times New Roman" w:hAnsi="Arial" w:cs="Arial"/>
          <w:color w:val="222222"/>
        </w:rPr>
        <w:t xml:space="preserve">but it now appears that </w:t>
      </w:r>
      <w:r w:rsidRPr="00D30B8B">
        <w:rPr>
          <w:rFonts w:ascii="Arial" w:eastAsia="Times New Roman" w:hAnsi="Arial" w:cs="Arial"/>
          <w:color w:val="222222"/>
        </w:rPr>
        <w:t xml:space="preserve">donor </w:t>
      </w:r>
      <w:r>
        <w:rPr>
          <w:rFonts w:ascii="Arial" w:eastAsia="Times New Roman" w:hAnsi="Arial" w:cs="Arial"/>
          <w:color w:val="222222"/>
        </w:rPr>
        <w:t xml:space="preserve">allocations for </w:t>
      </w:r>
      <w:r w:rsidRPr="00D30B8B">
        <w:rPr>
          <w:rFonts w:ascii="Arial" w:eastAsia="Times New Roman" w:hAnsi="Arial" w:cs="Arial"/>
          <w:color w:val="222222"/>
        </w:rPr>
        <w:t>Tanzania</w:t>
      </w:r>
      <w:r>
        <w:rPr>
          <w:rFonts w:ascii="Arial" w:eastAsia="Times New Roman" w:hAnsi="Arial" w:cs="Arial"/>
          <w:color w:val="222222"/>
        </w:rPr>
        <w:t xml:space="preserve"> may have </w:t>
      </w:r>
      <w:r w:rsidRPr="00D30B8B">
        <w:rPr>
          <w:rFonts w:ascii="Arial" w:eastAsia="Times New Roman" w:hAnsi="Arial" w:cs="Arial"/>
          <w:color w:val="222222"/>
        </w:rPr>
        <w:t xml:space="preserve">reached their peak. Donors are not withdrawing immediately, but additional money from them </w:t>
      </w:r>
      <w:r>
        <w:rPr>
          <w:rFonts w:ascii="Arial" w:eastAsia="Times New Roman" w:hAnsi="Arial" w:cs="Arial"/>
          <w:color w:val="222222"/>
        </w:rPr>
        <w:t xml:space="preserve">seems less </w:t>
      </w:r>
      <w:r w:rsidRPr="00D30B8B">
        <w:rPr>
          <w:rFonts w:ascii="Arial" w:eastAsia="Times New Roman" w:hAnsi="Arial" w:cs="Arial"/>
          <w:color w:val="222222"/>
        </w:rPr>
        <w:t>likely</w:t>
      </w:r>
      <w:r>
        <w:rPr>
          <w:rFonts w:ascii="Arial" w:eastAsia="Times New Roman" w:hAnsi="Arial" w:cs="Arial"/>
          <w:color w:val="222222"/>
        </w:rPr>
        <w:t xml:space="preserve">.  PEPFAR has announced a </w:t>
      </w:r>
      <w:r w:rsidRPr="00D30B8B">
        <w:rPr>
          <w:rFonts w:ascii="Arial" w:eastAsia="Times New Roman" w:hAnsi="Arial" w:cs="Arial"/>
          <w:color w:val="222222"/>
        </w:rPr>
        <w:t>significant reduction</w:t>
      </w:r>
      <w:r>
        <w:rPr>
          <w:rFonts w:ascii="Arial" w:eastAsia="Times New Roman" w:hAnsi="Arial" w:cs="Arial"/>
          <w:color w:val="222222"/>
        </w:rPr>
        <w:t xml:space="preserve"> for the coming year</w:t>
      </w:r>
      <w:r w:rsidRPr="00D30B8B">
        <w:rPr>
          <w:rFonts w:ascii="Arial" w:eastAsia="Times New Roman" w:hAnsi="Arial" w:cs="Arial"/>
          <w:color w:val="222222"/>
        </w:rPr>
        <w:t xml:space="preserve">. </w:t>
      </w:r>
      <w:r>
        <w:rPr>
          <w:rFonts w:ascii="Arial" w:eastAsia="Times New Roman" w:hAnsi="Arial" w:cs="Arial"/>
          <w:color w:val="222222"/>
        </w:rPr>
        <w:t xml:space="preserve">Domestic resource mobilization needs to increase.  And the </w:t>
      </w:r>
      <w:r w:rsidRPr="00D30B8B">
        <w:rPr>
          <w:rFonts w:ascii="Arial" w:eastAsia="Times New Roman" w:hAnsi="Arial" w:cs="Arial"/>
          <w:color w:val="222222"/>
        </w:rPr>
        <w:t xml:space="preserve">donor and domestic funds </w:t>
      </w:r>
      <w:r>
        <w:rPr>
          <w:rFonts w:ascii="Arial" w:eastAsia="Times New Roman" w:hAnsi="Arial" w:cs="Arial"/>
          <w:color w:val="222222"/>
        </w:rPr>
        <w:t xml:space="preserve">that </w:t>
      </w:r>
      <w:r w:rsidRPr="00D30B8B">
        <w:rPr>
          <w:rFonts w:ascii="Arial" w:eastAsia="Times New Roman" w:hAnsi="Arial" w:cs="Arial"/>
          <w:color w:val="222222"/>
        </w:rPr>
        <w:t xml:space="preserve">are available in the future will have to stretched to not only maintain the current program but also keep pushing towards 2030 goals. </w:t>
      </w:r>
    </w:p>
    <w:p w14:paraId="734F69DD"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489D3CF8" w14:textId="155E40BA" w:rsidR="00916032" w:rsidRPr="00DD7902" w:rsidRDefault="007C4173" w:rsidP="00916032">
      <w:pPr>
        <w:pStyle w:val="ListParagraph"/>
        <w:numPr>
          <w:ilvl w:val="0"/>
          <w:numId w:val="60"/>
        </w:numPr>
        <w:shd w:val="clear" w:color="auto" w:fill="FFFFFF"/>
        <w:spacing w:after="0" w:line="240" w:lineRule="auto"/>
        <w:rPr>
          <w:rFonts w:ascii="Arial" w:eastAsia="Times New Roman" w:hAnsi="Arial" w:cs="Arial"/>
          <w:i/>
          <w:iCs/>
          <w:color w:val="222222"/>
        </w:rPr>
      </w:pPr>
      <w:r>
        <w:rPr>
          <w:rFonts w:ascii="Arial" w:eastAsia="Times New Roman" w:hAnsi="Arial" w:cs="Arial"/>
          <w:i/>
          <w:iCs/>
          <w:color w:val="222222"/>
        </w:rPr>
        <w:t>Complacency would result in too many new infections and increasing AIDS-deaths</w:t>
      </w:r>
    </w:p>
    <w:p w14:paraId="5338CF55"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4576D688" w14:textId="1115BD24"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Despite tremendous progress to date, the current national program</w:t>
      </w:r>
      <w:r>
        <w:rPr>
          <w:rFonts w:ascii="Arial" w:eastAsia="Times New Roman" w:hAnsi="Arial" w:cs="Arial"/>
          <w:color w:val="222222"/>
        </w:rPr>
        <w:t xml:space="preserve"> is not on a trajectory to </w:t>
      </w:r>
      <w:r w:rsidRPr="00D30B8B">
        <w:rPr>
          <w:rFonts w:ascii="Arial" w:eastAsia="Times New Roman" w:hAnsi="Arial" w:cs="Arial"/>
          <w:color w:val="222222"/>
        </w:rPr>
        <w:t xml:space="preserve">propel Tanzania towards 95-95-95 or 2030 Fast Track targets. </w:t>
      </w:r>
      <w:r>
        <w:rPr>
          <w:rFonts w:ascii="Arial" w:eastAsia="Times New Roman" w:hAnsi="Arial" w:cs="Arial"/>
          <w:color w:val="222222"/>
        </w:rPr>
        <w:t xml:space="preserve"> </w:t>
      </w:r>
      <w:r w:rsidR="003C5F06">
        <w:rPr>
          <w:rFonts w:ascii="Arial" w:eastAsia="Times New Roman" w:hAnsi="Arial" w:cs="Arial"/>
          <w:color w:val="222222"/>
        </w:rPr>
        <w:t>Resignation to current ART and prevention</w:t>
      </w:r>
      <w:r w:rsidR="007C4173">
        <w:rPr>
          <w:rFonts w:ascii="Arial" w:eastAsia="Times New Roman" w:hAnsi="Arial" w:cs="Arial"/>
          <w:color w:val="222222"/>
        </w:rPr>
        <w:t xml:space="preserve"> </w:t>
      </w:r>
      <w:r w:rsidR="003C5F06">
        <w:rPr>
          <w:rFonts w:ascii="Arial" w:eastAsia="Times New Roman" w:hAnsi="Arial" w:cs="Arial"/>
          <w:color w:val="222222"/>
        </w:rPr>
        <w:t>co</w:t>
      </w:r>
      <w:r w:rsidR="007C4173">
        <w:rPr>
          <w:rFonts w:ascii="Arial" w:eastAsia="Times New Roman" w:hAnsi="Arial" w:cs="Arial"/>
          <w:color w:val="222222"/>
        </w:rPr>
        <w:t xml:space="preserve">verage and </w:t>
      </w:r>
      <w:r w:rsidR="003C5F06">
        <w:rPr>
          <w:rFonts w:ascii="Arial" w:eastAsia="Times New Roman" w:hAnsi="Arial" w:cs="Arial"/>
          <w:color w:val="222222"/>
        </w:rPr>
        <w:t>not</w:t>
      </w:r>
      <w:r w:rsidR="007C4173">
        <w:rPr>
          <w:rFonts w:ascii="Arial" w:eastAsia="Times New Roman" w:hAnsi="Arial" w:cs="Arial"/>
          <w:color w:val="222222"/>
        </w:rPr>
        <w:t xml:space="preserve"> </w:t>
      </w:r>
      <w:r w:rsidR="003C5F06">
        <w:rPr>
          <w:rFonts w:ascii="Arial" w:eastAsia="Times New Roman" w:hAnsi="Arial" w:cs="Arial"/>
          <w:color w:val="222222"/>
        </w:rPr>
        <w:t>pursuing</w:t>
      </w:r>
      <w:r w:rsidR="007C4173">
        <w:rPr>
          <w:rFonts w:ascii="Arial" w:eastAsia="Times New Roman" w:hAnsi="Arial" w:cs="Arial"/>
          <w:color w:val="222222"/>
        </w:rPr>
        <w:t xml:space="preserve"> optimization </w:t>
      </w:r>
      <w:r>
        <w:rPr>
          <w:rFonts w:ascii="Arial" w:eastAsia="Times New Roman" w:hAnsi="Arial" w:cs="Arial"/>
          <w:color w:val="222222"/>
        </w:rPr>
        <w:t>a</w:t>
      </w:r>
      <w:r w:rsidR="003C5F06">
        <w:rPr>
          <w:rFonts w:ascii="Arial" w:eastAsia="Times New Roman" w:hAnsi="Arial" w:cs="Arial"/>
          <w:color w:val="222222"/>
        </w:rPr>
        <w:t>t scale will have</w:t>
      </w:r>
      <w:r>
        <w:rPr>
          <w:rFonts w:ascii="Arial" w:eastAsia="Times New Roman" w:hAnsi="Arial" w:cs="Arial"/>
          <w:color w:val="222222"/>
        </w:rPr>
        <w:t xml:space="preserve"> serious consequences – modeling conducted for IC 2.0 suggests that this </w:t>
      </w:r>
      <w:r w:rsidRPr="00D30B8B">
        <w:rPr>
          <w:rFonts w:ascii="Arial" w:eastAsia="Times New Roman" w:hAnsi="Arial" w:cs="Arial"/>
          <w:color w:val="222222"/>
        </w:rPr>
        <w:t xml:space="preserve">would lead to new infections </w:t>
      </w:r>
      <w:r>
        <w:rPr>
          <w:rFonts w:ascii="Arial" w:eastAsia="Times New Roman" w:hAnsi="Arial" w:cs="Arial"/>
          <w:color w:val="222222"/>
        </w:rPr>
        <w:t xml:space="preserve">continuing </w:t>
      </w:r>
      <w:r w:rsidRPr="00D30B8B">
        <w:rPr>
          <w:rFonts w:ascii="Arial" w:eastAsia="Times New Roman" w:hAnsi="Arial" w:cs="Arial"/>
          <w:color w:val="222222"/>
        </w:rPr>
        <w:t>at</w:t>
      </w:r>
      <w:r w:rsidR="003C5F06">
        <w:rPr>
          <w:rFonts w:ascii="Arial" w:eastAsia="Times New Roman" w:hAnsi="Arial" w:cs="Arial"/>
          <w:color w:val="222222"/>
        </w:rPr>
        <w:t xml:space="preserve"> high levels,</w:t>
      </w:r>
      <w:r w:rsidRPr="00D30B8B">
        <w:rPr>
          <w:rFonts w:ascii="Arial" w:eastAsia="Times New Roman" w:hAnsi="Arial" w:cs="Arial"/>
          <w:color w:val="222222"/>
        </w:rPr>
        <w:t xml:space="preserve"> over 40,000 annually</w:t>
      </w:r>
      <w:r w:rsidR="003C5F06">
        <w:rPr>
          <w:rFonts w:ascii="Arial" w:eastAsia="Times New Roman" w:hAnsi="Arial" w:cs="Arial"/>
          <w:color w:val="222222"/>
        </w:rPr>
        <w:t>,</w:t>
      </w:r>
      <w:r w:rsidRPr="00D30B8B">
        <w:rPr>
          <w:rFonts w:ascii="Arial" w:eastAsia="Times New Roman" w:hAnsi="Arial" w:cs="Arial"/>
          <w:color w:val="222222"/>
        </w:rPr>
        <w:t xml:space="preserve"> and</w:t>
      </w:r>
      <w:r w:rsidR="003C5F06">
        <w:rPr>
          <w:rFonts w:ascii="Arial" w:eastAsia="Times New Roman" w:hAnsi="Arial" w:cs="Arial"/>
          <w:color w:val="222222"/>
        </w:rPr>
        <w:t xml:space="preserve"> to</w:t>
      </w:r>
      <w:r w:rsidRPr="00D30B8B">
        <w:rPr>
          <w:rFonts w:ascii="Arial" w:eastAsia="Times New Roman" w:hAnsi="Arial" w:cs="Arial"/>
          <w:color w:val="222222"/>
        </w:rPr>
        <w:t xml:space="preserve"> AIDS-related deaths increasing over time. </w:t>
      </w:r>
      <w:r>
        <w:rPr>
          <w:rFonts w:ascii="Arial" w:eastAsia="Times New Roman" w:hAnsi="Arial" w:cs="Arial"/>
          <w:color w:val="222222"/>
        </w:rPr>
        <w:t>Despite coming up short on impact, this approach w</w:t>
      </w:r>
      <w:r w:rsidR="008F15AD">
        <w:rPr>
          <w:rFonts w:ascii="Arial" w:eastAsia="Times New Roman" w:hAnsi="Arial" w:cs="Arial"/>
          <w:color w:val="222222"/>
        </w:rPr>
        <w:t>ill</w:t>
      </w:r>
      <w:r>
        <w:rPr>
          <w:rFonts w:ascii="Arial" w:eastAsia="Times New Roman" w:hAnsi="Arial" w:cs="Arial"/>
          <w:color w:val="222222"/>
        </w:rPr>
        <w:t xml:space="preserve"> still </w:t>
      </w:r>
      <w:r w:rsidRPr="00D30B8B">
        <w:rPr>
          <w:rFonts w:ascii="Arial" w:eastAsia="Times New Roman" w:hAnsi="Arial" w:cs="Arial"/>
          <w:color w:val="222222"/>
        </w:rPr>
        <w:t xml:space="preserve">cost </w:t>
      </w:r>
      <w:r w:rsidR="008F15AD">
        <w:rPr>
          <w:rFonts w:ascii="Arial" w:eastAsia="Times New Roman" w:hAnsi="Arial" w:cs="Arial"/>
          <w:color w:val="222222"/>
        </w:rPr>
        <w:t xml:space="preserve">over </w:t>
      </w:r>
      <w:r w:rsidRPr="00D30B8B">
        <w:rPr>
          <w:rFonts w:ascii="Arial" w:eastAsia="Times New Roman" w:hAnsi="Arial" w:cs="Arial"/>
          <w:color w:val="222222"/>
        </w:rPr>
        <w:t>USD 500 M annually</w:t>
      </w:r>
      <w:r w:rsidR="008F15AD">
        <w:rPr>
          <w:rFonts w:ascii="Arial" w:eastAsia="Times New Roman" w:hAnsi="Arial" w:cs="Arial"/>
          <w:color w:val="222222"/>
        </w:rPr>
        <w:t>.</w:t>
      </w:r>
    </w:p>
    <w:p w14:paraId="7B10F366"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545681A5" w14:textId="77777777" w:rsidR="00916032" w:rsidRPr="00DD7902" w:rsidRDefault="00916032" w:rsidP="00916032">
      <w:pPr>
        <w:pStyle w:val="ListParagraph"/>
        <w:numPr>
          <w:ilvl w:val="0"/>
          <w:numId w:val="60"/>
        </w:numPr>
        <w:shd w:val="clear" w:color="auto" w:fill="FFFFFF"/>
        <w:spacing w:after="0" w:line="240" w:lineRule="auto"/>
        <w:rPr>
          <w:rFonts w:ascii="Arial" w:eastAsia="Times New Roman" w:hAnsi="Arial" w:cs="Arial"/>
          <w:i/>
          <w:iCs/>
          <w:color w:val="222222"/>
        </w:rPr>
      </w:pPr>
      <w:r w:rsidRPr="00DD7902">
        <w:rPr>
          <w:rFonts w:ascii="Arial" w:eastAsia="Times New Roman" w:hAnsi="Arial" w:cs="Arial"/>
          <w:i/>
          <w:iCs/>
          <w:color w:val="222222"/>
        </w:rPr>
        <w:t>The National Strategy is (too) expensive</w:t>
      </w:r>
    </w:p>
    <w:p w14:paraId="15B87EDF"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61E7E203" w14:textId="14DE57E0"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The National Strategy is </w:t>
      </w:r>
      <w:r>
        <w:rPr>
          <w:rFonts w:ascii="Arial" w:eastAsia="Times New Roman" w:hAnsi="Arial" w:cs="Arial"/>
          <w:color w:val="222222"/>
        </w:rPr>
        <w:t>comprehensive and could enable Tanzania to get close to its Fast Track targets. However, it is the most expensive option explored in IC 2.0, and its affordability is very doubtful.  T</w:t>
      </w:r>
      <w:r w:rsidRPr="00D30B8B">
        <w:rPr>
          <w:rFonts w:ascii="Arial" w:eastAsia="Times New Roman" w:hAnsi="Arial" w:cs="Arial"/>
          <w:color w:val="222222"/>
        </w:rPr>
        <w:t xml:space="preserve">he full package of </w:t>
      </w:r>
      <w:r>
        <w:rPr>
          <w:rFonts w:ascii="Arial" w:eastAsia="Times New Roman" w:hAnsi="Arial" w:cs="Arial"/>
          <w:color w:val="222222"/>
        </w:rPr>
        <w:t xml:space="preserve">NS </w:t>
      </w:r>
      <w:r w:rsidRPr="00D30B8B">
        <w:rPr>
          <w:rFonts w:ascii="Arial" w:eastAsia="Times New Roman" w:hAnsi="Arial" w:cs="Arial"/>
          <w:color w:val="222222"/>
        </w:rPr>
        <w:t>interventions</w:t>
      </w:r>
      <w:r>
        <w:rPr>
          <w:rFonts w:ascii="Arial" w:eastAsia="Times New Roman" w:hAnsi="Arial" w:cs="Arial"/>
          <w:color w:val="222222"/>
        </w:rPr>
        <w:t>,</w:t>
      </w:r>
      <w:r w:rsidRPr="00D30B8B">
        <w:rPr>
          <w:rFonts w:ascii="Arial" w:eastAsia="Times New Roman" w:hAnsi="Arial" w:cs="Arial"/>
          <w:color w:val="222222"/>
        </w:rPr>
        <w:t xml:space="preserve"> implemented under current delivery service paradigms</w:t>
      </w:r>
      <w:r w:rsidR="003C5F06">
        <w:rPr>
          <w:rFonts w:ascii="Arial" w:eastAsia="Times New Roman" w:hAnsi="Arial" w:cs="Arial"/>
          <w:color w:val="222222"/>
        </w:rPr>
        <w:t xml:space="preserve"> as described in the national policy documents</w:t>
      </w:r>
      <w:r>
        <w:rPr>
          <w:rFonts w:ascii="Arial" w:eastAsia="Times New Roman" w:hAnsi="Arial" w:cs="Arial"/>
          <w:color w:val="222222"/>
        </w:rPr>
        <w:t xml:space="preserve">, </w:t>
      </w:r>
      <w:r w:rsidRPr="00D30B8B">
        <w:rPr>
          <w:rFonts w:ascii="Arial" w:eastAsia="Times New Roman" w:hAnsi="Arial" w:cs="Arial"/>
          <w:color w:val="222222"/>
        </w:rPr>
        <w:t>would cost USD 8.1 B from 2019 to 2030</w:t>
      </w:r>
      <w:r>
        <w:rPr>
          <w:rFonts w:ascii="Arial" w:eastAsia="Times New Roman" w:hAnsi="Arial" w:cs="Arial"/>
          <w:color w:val="222222"/>
        </w:rPr>
        <w:t xml:space="preserve">, </w:t>
      </w:r>
      <w:r w:rsidRPr="00DD7902">
        <w:rPr>
          <w:rFonts w:ascii="Arial" w:eastAsia="Times New Roman" w:hAnsi="Arial" w:cs="Arial"/>
          <w:color w:val="222222"/>
        </w:rPr>
        <w:t>40% higher</w:t>
      </w:r>
      <w:r>
        <w:rPr>
          <w:rFonts w:ascii="Arial" w:eastAsia="Times New Roman" w:hAnsi="Arial" w:cs="Arial"/>
          <w:color w:val="222222"/>
        </w:rPr>
        <w:t xml:space="preserve"> than the estimated cost of </w:t>
      </w:r>
      <w:r w:rsidR="00C527FE">
        <w:rPr>
          <w:rFonts w:ascii="Arial" w:eastAsia="Times New Roman" w:hAnsi="Arial" w:cs="Arial"/>
          <w:color w:val="222222"/>
        </w:rPr>
        <w:t>Constant Coverage</w:t>
      </w:r>
      <w:r w:rsidRPr="00D30B8B">
        <w:rPr>
          <w:rFonts w:ascii="Arial" w:eastAsia="Times New Roman" w:hAnsi="Arial" w:cs="Arial"/>
          <w:color w:val="222222"/>
        </w:rPr>
        <w:t xml:space="preserve">. By 2030, resource needs would </w:t>
      </w:r>
      <w:r>
        <w:rPr>
          <w:rFonts w:ascii="Arial" w:eastAsia="Times New Roman" w:hAnsi="Arial" w:cs="Arial"/>
          <w:color w:val="222222"/>
        </w:rPr>
        <w:t xml:space="preserve">rise to </w:t>
      </w:r>
      <w:r w:rsidRPr="00D30B8B">
        <w:rPr>
          <w:rFonts w:ascii="Arial" w:eastAsia="Times New Roman" w:hAnsi="Arial" w:cs="Arial"/>
          <w:color w:val="222222"/>
        </w:rPr>
        <w:t>USD 839 M</w:t>
      </w:r>
      <w:r>
        <w:rPr>
          <w:rFonts w:ascii="Arial" w:eastAsia="Times New Roman" w:hAnsi="Arial" w:cs="Arial"/>
          <w:color w:val="222222"/>
        </w:rPr>
        <w:t xml:space="preserve"> a year</w:t>
      </w:r>
      <w:r w:rsidRPr="00D30B8B">
        <w:rPr>
          <w:rFonts w:ascii="Arial" w:eastAsia="Times New Roman" w:hAnsi="Arial" w:cs="Arial"/>
          <w:color w:val="222222"/>
        </w:rPr>
        <w:t xml:space="preserve">, double the expenditure of the current national program. </w:t>
      </w:r>
    </w:p>
    <w:p w14:paraId="17D6855A"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1BC695A1" w14:textId="2C5586E2" w:rsidR="00916032" w:rsidRPr="00DD7902" w:rsidRDefault="00916032" w:rsidP="00916032">
      <w:pPr>
        <w:pStyle w:val="ListParagraph"/>
        <w:numPr>
          <w:ilvl w:val="0"/>
          <w:numId w:val="60"/>
        </w:numPr>
        <w:shd w:val="clear" w:color="auto" w:fill="FFFFFF"/>
        <w:spacing w:after="0" w:line="240" w:lineRule="auto"/>
        <w:rPr>
          <w:rFonts w:ascii="Arial" w:eastAsia="Times New Roman" w:hAnsi="Arial" w:cs="Arial"/>
          <w:i/>
          <w:iCs/>
          <w:color w:val="222222"/>
        </w:rPr>
      </w:pPr>
      <w:r w:rsidRPr="00DD7902">
        <w:rPr>
          <w:rFonts w:ascii="Arial" w:eastAsia="Times New Roman" w:hAnsi="Arial" w:cs="Arial"/>
          <w:i/>
          <w:iCs/>
          <w:color w:val="222222"/>
        </w:rPr>
        <w:t xml:space="preserve">Optimized use of </w:t>
      </w:r>
      <w:r w:rsidR="00BB35F3">
        <w:rPr>
          <w:rFonts w:ascii="Arial" w:eastAsia="Times New Roman" w:hAnsi="Arial" w:cs="Arial"/>
          <w:i/>
          <w:iCs/>
          <w:color w:val="222222"/>
        </w:rPr>
        <w:t>funding</w:t>
      </w:r>
      <w:r w:rsidRPr="00DD7902">
        <w:rPr>
          <w:rFonts w:ascii="Arial" w:eastAsia="Times New Roman" w:hAnsi="Arial" w:cs="Arial"/>
          <w:i/>
          <w:iCs/>
          <w:color w:val="222222"/>
        </w:rPr>
        <w:t xml:space="preserve"> could achieve National Strategy goals </w:t>
      </w:r>
    </w:p>
    <w:p w14:paraId="2C67035A"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06F86093" w14:textId="7F7AD595" w:rsidR="00916032" w:rsidRPr="00D30B8B" w:rsidRDefault="003C5F06"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Fortunately, there is still room to scale more efficient implementation approaches in Tanzania. </w:t>
      </w:r>
      <w:r w:rsidR="00916032" w:rsidRPr="00D30B8B">
        <w:rPr>
          <w:rFonts w:ascii="Arial" w:eastAsia="Times New Roman" w:hAnsi="Arial" w:cs="Arial"/>
          <w:color w:val="222222"/>
        </w:rPr>
        <w:t>Optimization</w:t>
      </w:r>
      <w:r>
        <w:rPr>
          <w:rFonts w:ascii="Arial" w:eastAsia="Times New Roman" w:hAnsi="Arial" w:cs="Arial"/>
          <w:color w:val="222222"/>
        </w:rPr>
        <w:t xml:space="preserve"> at scale would still only require </w:t>
      </w:r>
      <w:r w:rsidR="00916032" w:rsidRPr="00D30B8B">
        <w:rPr>
          <w:rFonts w:ascii="Arial" w:eastAsia="Times New Roman" w:hAnsi="Arial" w:cs="Arial"/>
          <w:color w:val="222222"/>
        </w:rPr>
        <w:t xml:space="preserve">current funding levels </w:t>
      </w:r>
      <w:r>
        <w:rPr>
          <w:rFonts w:ascii="Arial" w:eastAsia="Times New Roman" w:hAnsi="Arial" w:cs="Arial"/>
          <w:color w:val="222222"/>
        </w:rPr>
        <w:t>but would a</w:t>
      </w:r>
      <w:r w:rsidR="00916032" w:rsidRPr="00D30B8B">
        <w:rPr>
          <w:rFonts w:ascii="Arial" w:eastAsia="Times New Roman" w:hAnsi="Arial" w:cs="Arial"/>
          <w:color w:val="222222"/>
        </w:rPr>
        <w:t xml:space="preserve">chieve </w:t>
      </w:r>
      <w:r w:rsidR="00916032">
        <w:rPr>
          <w:rFonts w:ascii="Arial" w:eastAsia="Times New Roman" w:hAnsi="Arial" w:cs="Arial"/>
          <w:color w:val="222222"/>
        </w:rPr>
        <w:t xml:space="preserve">much </w:t>
      </w:r>
      <w:r w:rsidR="00ED4657">
        <w:rPr>
          <w:rFonts w:ascii="Arial" w:eastAsia="Times New Roman" w:hAnsi="Arial" w:cs="Arial"/>
          <w:color w:val="222222"/>
        </w:rPr>
        <w:t xml:space="preserve">further </w:t>
      </w:r>
      <w:r w:rsidR="00916032">
        <w:rPr>
          <w:rFonts w:ascii="Arial" w:eastAsia="Times New Roman" w:hAnsi="Arial" w:cs="Arial"/>
          <w:color w:val="222222"/>
        </w:rPr>
        <w:t xml:space="preserve">progress towards </w:t>
      </w:r>
      <w:r w:rsidR="00916032" w:rsidRPr="00D30B8B">
        <w:rPr>
          <w:rFonts w:ascii="Arial" w:eastAsia="Times New Roman" w:hAnsi="Arial" w:cs="Arial"/>
          <w:color w:val="222222"/>
        </w:rPr>
        <w:t xml:space="preserve">NS goals. </w:t>
      </w:r>
      <w:r>
        <w:rPr>
          <w:rFonts w:ascii="Arial" w:eastAsia="Times New Roman" w:hAnsi="Arial" w:cs="Arial"/>
          <w:color w:val="222222"/>
        </w:rPr>
        <w:t>Key components of o</w:t>
      </w:r>
      <w:r w:rsidR="00916032" w:rsidRPr="00D30B8B">
        <w:rPr>
          <w:rFonts w:ascii="Arial" w:eastAsia="Times New Roman" w:hAnsi="Arial" w:cs="Arial"/>
          <w:color w:val="222222"/>
        </w:rPr>
        <w:t>ptimization</w:t>
      </w:r>
      <w:r>
        <w:rPr>
          <w:rFonts w:ascii="Arial" w:eastAsia="Times New Roman" w:hAnsi="Arial" w:cs="Arial"/>
          <w:color w:val="222222"/>
        </w:rPr>
        <w:t xml:space="preserve"> at scale</w:t>
      </w:r>
      <w:r w:rsidR="00916032" w:rsidRPr="00D30B8B">
        <w:rPr>
          <w:rFonts w:ascii="Arial" w:eastAsia="Times New Roman" w:hAnsi="Arial" w:cs="Arial"/>
          <w:color w:val="222222"/>
        </w:rPr>
        <w:t xml:space="preserve"> would involve:</w:t>
      </w:r>
    </w:p>
    <w:p w14:paraId="019DA8D2"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1862235C" w14:textId="77777777" w:rsidR="00916032" w:rsidRPr="00DD7902" w:rsidRDefault="00916032" w:rsidP="00916032">
      <w:pPr>
        <w:pStyle w:val="ListParagraph"/>
        <w:numPr>
          <w:ilvl w:val="0"/>
          <w:numId w:val="61"/>
        </w:numPr>
        <w:shd w:val="clear" w:color="auto" w:fill="FFFFFF"/>
        <w:spacing w:after="0" w:line="240" w:lineRule="auto"/>
        <w:rPr>
          <w:rFonts w:ascii="Arial" w:eastAsia="Times New Roman" w:hAnsi="Arial" w:cs="Arial"/>
          <w:color w:val="222222"/>
        </w:rPr>
      </w:pPr>
      <w:r w:rsidRPr="00DD7902">
        <w:rPr>
          <w:rFonts w:ascii="Arial" w:eastAsia="Times New Roman" w:hAnsi="Arial" w:cs="Arial"/>
          <w:color w:val="222222"/>
          <w:u w:val="single"/>
        </w:rPr>
        <w:t>Allocative efficiency</w:t>
      </w:r>
    </w:p>
    <w:p w14:paraId="07F33434" w14:textId="77777777" w:rsidR="00916032" w:rsidRDefault="00916032" w:rsidP="00916032">
      <w:pPr>
        <w:shd w:val="clear" w:color="auto" w:fill="FFFFFF"/>
        <w:spacing w:after="0" w:line="240" w:lineRule="auto"/>
        <w:rPr>
          <w:rFonts w:ascii="Arial" w:eastAsia="Times New Roman" w:hAnsi="Arial" w:cs="Arial"/>
          <w:color w:val="222222"/>
        </w:rPr>
      </w:pPr>
    </w:p>
    <w:p w14:paraId="18265B37" w14:textId="3216A683" w:rsidR="00916032" w:rsidRDefault="00A212CB"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Continuing to p</w:t>
      </w:r>
      <w:r w:rsidR="00916032" w:rsidRPr="00D30B8B">
        <w:rPr>
          <w:rFonts w:ascii="Arial" w:eastAsia="Times New Roman" w:hAnsi="Arial" w:cs="Arial"/>
          <w:color w:val="222222"/>
        </w:rPr>
        <w:t>rioritiz</w:t>
      </w:r>
      <w:r>
        <w:rPr>
          <w:rFonts w:ascii="Arial" w:eastAsia="Times New Roman" w:hAnsi="Arial" w:cs="Arial"/>
          <w:color w:val="222222"/>
        </w:rPr>
        <w:t>e</w:t>
      </w:r>
      <w:r w:rsidR="00916032" w:rsidRPr="00D30B8B">
        <w:rPr>
          <w:rFonts w:ascii="Arial" w:eastAsia="Times New Roman" w:hAnsi="Arial" w:cs="Arial"/>
          <w:color w:val="222222"/>
        </w:rPr>
        <w:t xml:space="preserve"> prevention </w:t>
      </w:r>
      <w:r w:rsidR="00916032">
        <w:rPr>
          <w:rFonts w:ascii="Arial" w:eastAsia="Times New Roman" w:hAnsi="Arial" w:cs="Arial"/>
          <w:color w:val="222222"/>
        </w:rPr>
        <w:t xml:space="preserve">funding to </w:t>
      </w:r>
      <w:r w:rsidR="00916032" w:rsidRPr="00D30B8B">
        <w:rPr>
          <w:rFonts w:ascii="Arial" w:eastAsia="Times New Roman" w:hAnsi="Arial" w:cs="Arial"/>
          <w:color w:val="222222"/>
        </w:rPr>
        <w:t>interventions</w:t>
      </w:r>
      <w:r w:rsidR="00916032">
        <w:rPr>
          <w:rFonts w:ascii="Arial" w:eastAsia="Times New Roman" w:hAnsi="Arial" w:cs="Arial"/>
          <w:color w:val="222222"/>
        </w:rPr>
        <w:t xml:space="preserve"> based on lowest cost per infection averted would maximize impact using scarce resources.</w:t>
      </w:r>
      <w:r w:rsidR="0031673E">
        <w:rPr>
          <w:rFonts w:ascii="Arial" w:eastAsia="Times New Roman" w:hAnsi="Arial" w:cs="Arial"/>
          <w:color w:val="222222"/>
        </w:rPr>
        <w:t xml:space="preserve"> </w:t>
      </w:r>
      <w:r w:rsidR="00916032">
        <w:rPr>
          <w:rFonts w:ascii="Arial" w:eastAsia="Times New Roman" w:hAnsi="Arial" w:cs="Arial"/>
          <w:color w:val="222222"/>
        </w:rPr>
        <w:t xml:space="preserve"> IC 2.0 identified the most cost-effective interventions </w:t>
      </w:r>
      <w:r w:rsidR="0031673E">
        <w:rPr>
          <w:rFonts w:ascii="Arial" w:eastAsia="Times New Roman" w:hAnsi="Arial" w:cs="Arial"/>
          <w:color w:val="222222"/>
        </w:rPr>
        <w:t xml:space="preserve">over the next 10 years </w:t>
      </w:r>
      <w:r w:rsidR="00916032">
        <w:rPr>
          <w:rFonts w:ascii="Arial" w:eastAsia="Times New Roman" w:hAnsi="Arial" w:cs="Arial"/>
          <w:color w:val="222222"/>
        </w:rPr>
        <w:t xml:space="preserve">as VMMC, condoms, and the Female Sex Worker package. </w:t>
      </w:r>
      <w:r w:rsidR="0031673E">
        <w:rPr>
          <w:rFonts w:ascii="Arial" w:eastAsia="Times New Roman" w:hAnsi="Arial" w:cs="Arial"/>
          <w:color w:val="222222"/>
        </w:rPr>
        <w:t>Over this time period, further optimization</w:t>
      </w:r>
      <w:r w:rsidR="00916032">
        <w:rPr>
          <w:rFonts w:ascii="Arial" w:eastAsia="Times New Roman" w:hAnsi="Arial" w:cs="Arial"/>
          <w:color w:val="222222"/>
        </w:rPr>
        <w:t xml:space="preserve"> </w:t>
      </w:r>
      <w:r w:rsidR="0031673E">
        <w:rPr>
          <w:rFonts w:ascii="Arial" w:eastAsia="Times New Roman" w:hAnsi="Arial" w:cs="Arial"/>
          <w:color w:val="222222"/>
        </w:rPr>
        <w:t xml:space="preserve">would require </w:t>
      </w:r>
      <w:r w:rsidR="00916032">
        <w:rPr>
          <w:rFonts w:ascii="Arial" w:eastAsia="Times New Roman" w:hAnsi="Arial" w:cs="Arial"/>
          <w:color w:val="222222"/>
        </w:rPr>
        <w:t xml:space="preserve">about USD 100 </w:t>
      </w:r>
      <w:r w:rsidR="0031673E">
        <w:rPr>
          <w:rFonts w:ascii="Arial" w:eastAsia="Times New Roman" w:hAnsi="Arial" w:cs="Arial"/>
          <w:color w:val="222222"/>
        </w:rPr>
        <w:t xml:space="preserve">M </w:t>
      </w:r>
      <w:r w:rsidR="00916032">
        <w:rPr>
          <w:rFonts w:ascii="Arial" w:eastAsia="Times New Roman" w:hAnsi="Arial" w:cs="Arial"/>
          <w:color w:val="222222"/>
        </w:rPr>
        <w:t>re</w:t>
      </w:r>
      <w:r w:rsidR="0031673E">
        <w:rPr>
          <w:rFonts w:ascii="Arial" w:eastAsia="Times New Roman" w:hAnsi="Arial" w:cs="Arial"/>
          <w:color w:val="222222"/>
        </w:rPr>
        <w:t>-</w:t>
      </w:r>
      <w:r w:rsidR="00916032">
        <w:rPr>
          <w:rFonts w:ascii="Arial" w:eastAsia="Times New Roman" w:hAnsi="Arial" w:cs="Arial"/>
          <w:color w:val="222222"/>
        </w:rPr>
        <w:t xml:space="preserve">allocated to VMMC, USD 25 M to condoms, and USD 50 M to FSW outreach and PrEP during 2019-2030 </w:t>
      </w:r>
      <w:r w:rsidR="0031673E">
        <w:rPr>
          <w:rFonts w:ascii="Arial" w:eastAsia="Times New Roman" w:hAnsi="Arial" w:cs="Arial"/>
          <w:color w:val="222222"/>
        </w:rPr>
        <w:t xml:space="preserve">compared to </w:t>
      </w:r>
      <w:r w:rsidR="00C527FE">
        <w:rPr>
          <w:rFonts w:ascii="Arial" w:eastAsia="Times New Roman" w:hAnsi="Arial" w:cs="Arial"/>
          <w:color w:val="222222"/>
        </w:rPr>
        <w:t>Constant Coverage</w:t>
      </w:r>
      <w:r w:rsidR="0031673E">
        <w:rPr>
          <w:rFonts w:ascii="Arial" w:eastAsia="Times New Roman" w:hAnsi="Arial" w:cs="Arial"/>
          <w:color w:val="222222"/>
        </w:rPr>
        <w:t xml:space="preserve"> (baseline) distribution across interventions</w:t>
      </w:r>
      <w:r w:rsidR="00916032">
        <w:rPr>
          <w:rFonts w:ascii="Arial" w:eastAsia="Times New Roman" w:hAnsi="Arial" w:cs="Arial"/>
          <w:color w:val="222222"/>
        </w:rPr>
        <w:t>.</w:t>
      </w:r>
    </w:p>
    <w:p w14:paraId="1285FE2D"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3974AE1F" w14:textId="6DC3F39E"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It may be difficult to cut programs that are less cost-effective</w:t>
      </w:r>
      <w:r w:rsidR="0031673E">
        <w:rPr>
          <w:rFonts w:ascii="Arial" w:eastAsia="Times New Roman" w:hAnsi="Arial" w:cs="Arial"/>
          <w:color w:val="222222"/>
        </w:rPr>
        <w:t xml:space="preserve"> (BCC, cash transfers)</w:t>
      </w:r>
      <w:r w:rsidRPr="00D30B8B">
        <w:rPr>
          <w:rFonts w:ascii="Arial" w:eastAsia="Times New Roman" w:hAnsi="Arial" w:cs="Arial"/>
          <w:color w:val="222222"/>
        </w:rPr>
        <w:t xml:space="preserve">, since these programs are already being implemented </w:t>
      </w:r>
      <w:r>
        <w:rPr>
          <w:rFonts w:ascii="Arial" w:eastAsia="Times New Roman" w:hAnsi="Arial" w:cs="Arial"/>
          <w:color w:val="222222"/>
        </w:rPr>
        <w:t xml:space="preserve">at significant scale </w:t>
      </w:r>
      <w:r w:rsidRPr="00D30B8B">
        <w:rPr>
          <w:rFonts w:ascii="Arial" w:eastAsia="Times New Roman" w:hAnsi="Arial" w:cs="Arial"/>
          <w:color w:val="222222"/>
        </w:rPr>
        <w:t xml:space="preserve">and have buy-in from service providers and communities. </w:t>
      </w:r>
      <w:r w:rsidR="0031673E">
        <w:rPr>
          <w:rFonts w:ascii="Arial" w:eastAsia="Times New Roman" w:hAnsi="Arial" w:cs="Arial"/>
          <w:color w:val="222222"/>
        </w:rPr>
        <w:t>These programs</w:t>
      </w:r>
      <w:r>
        <w:rPr>
          <w:rFonts w:ascii="Arial" w:eastAsia="Times New Roman" w:hAnsi="Arial" w:cs="Arial"/>
          <w:color w:val="222222"/>
        </w:rPr>
        <w:t xml:space="preserve">, </w:t>
      </w:r>
      <w:r w:rsidRPr="00D30B8B">
        <w:rPr>
          <w:rFonts w:ascii="Arial" w:eastAsia="Times New Roman" w:hAnsi="Arial" w:cs="Arial"/>
          <w:color w:val="222222"/>
        </w:rPr>
        <w:t xml:space="preserve">such as behavior and communication change programs, could </w:t>
      </w:r>
      <w:r>
        <w:rPr>
          <w:rFonts w:ascii="Arial" w:eastAsia="Times New Roman" w:hAnsi="Arial" w:cs="Arial"/>
          <w:color w:val="222222"/>
        </w:rPr>
        <w:t xml:space="preserve">potentially </w:t>
      </w:r>
      <w:r w:rsidRPr="00D30B8B">
        <w:rPr>
          <w:rFonts w:ascii="Arial" w:eastAsia="Times New Roman" w:hAnsi="Arial" w:cs="Arial"/>
          <w:color w:val="222222"/>
        </w:rPr>
        <w:t xml:space="preserve">be integrated </w:t>
      </w:r>
      <w:r>
        <w:rPr>
          <w:rFonts w:ascii="Arial" w:eastAsia="Times New Roman" w:hAnsi="Arial" w:cs="Arial"/>
          <w:color w:val="222222"/>
        </w:rPr>
        <w:t>in</w:t>
      </w:r>
      <w:r w:rsidRPr="00D30B8B">
        <w:rPr>
          <w:rFonts w:ascii="Arial" w:eastAsia="Times New Roman" w:hAnsi="Arial" w:cs="Arial"/>
          <w:color w:val="222222"/>
        </w:rPr>
        <w:t xml:space="preserve">to other community-based interventions or initiatives. Program managers and community leaders will have to be consulted on these decisions to ensure that </w:t>
      </w:r>
      <w:r>
        <w:rPr>
          <w:rFonts w:ascii="Arial" w:eastAsia="Times New Roman" w:hAnsi="Arial" w:cs="Arial"/>
          <w:color w:val="222222"/>
        </w:rPr>
        <w:t xml:space="preserve">the rationale behind a reallocation effort is well </w:t>
      </w:r>
      <w:r w:rsidRPr="00D30B8B">
        <w:rPr>
          <w:rFonts w:ascii="Arial" w:eastAsia="Times New Roman" w:hAnsi="Arial" w:cs="Arial"/>
          <w:color w:val="222222"/>
        </w:rPr>
        <w:t>understood.</w:t>
      </w:r>
    </w:p>
    <w:p w14:paraId="1F20330D" w14:textId="4FC1FA27" w:rsidR="003200C0" w:rsidRDefault="003200C0">
      <w:pPr>
        <w:rPr>
          <w:rFonts w:ascii="Arial" w:eastAsia="Times New Roman" w:hAnsi="Arial" w:cs="Arial"/>
          <w:color w:val="222222"/>
          <w:u w:val="single"/>
        </w:rPr>
      </w:pPr>
    </w:p>
    <w:p w14:paraId="1AFE17BE" w14:textId="11187518" w:rsidR="00916032" w:rsidRPr="00DD7902" w:rsidRDefault="00916032" w:rsidP="00916032">
      <w:pPr>
        <w:pStyle w:val="ListParagraph"/>
        <w:numPr>
          <w:ilvl w:val="0"/>
          <w:numId w:val="61"/>
        </w:numPr>
        <w:shd w:val="clear" w:color="auto" w:fill="FFFFFF"/>
        <w:spacing w:after="0" w:line="240" w:lineRule="auto"/>
        <w:rPr>
          <w:rFonts w:ascii="Arial" w:eastAsia="Times New Roman" w:hAnsi="Arial" w:cs="Arial"/>
          <w:color w:val="222222"/>
        </w:rPr>
      </w:pPr>
      <w:r w:rsidRPr="00DD7902">
        <w:rPr>
          <w:rFonts w:ascii="Arial" w:eastAsia="Times New Roman" w:hAnsi="Arial" w:cs="Arial"/>
          <w:color w:val="222222"/>
          <w:u w:val="single"/>
        </w:rPr>
        <w:t>Technical efficiency</w:t>
      </w:r>
      <w:r w:rsidR="00884013">
        <w:rPr>
          <w:rFonts w:ascii="Arial" w:eastAsia="Times New Roman" w:hAnsi="Arial" w:cs="Arial"/>
          <w:color w:val="222222"/>
          <w:u w:val="single"/>
        </w:rPr>
        <w:t xml:space="preserve"> in ART delivery:</w:t>
      </w:r>
      <w:r w:rsidRPr="00DD7902">
        <w:rPr>
          <w:rFonts w:ascii="Arial" w:eastAsia="Times New Roman" w:hAnsi="Arial" w:cs="Arial"/>
          <w:color w:val="222222"/>
        </w:rPr>
        <w:t xml:space="preserve"> </w:t>
      </w:r>
    </w:p>
    <w:p w14:paraId="20E18867"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073A89A0" w14:textId="5FA69324" w:rsidR="00916032"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Since the ART program will have to put more than 450,000 </w:t>
      </w:r>
      <w:r>
        <w:rPr>
          <w:rFonts w:ascii="Arial" w:eastAsia="Times New Roman" w:hAnsi="Arial" w:cs="Arial"/>
          <w:color w:val="222222"/>
        </w:rPr>
        <w:t xml:space="preserve">additional </w:t>
      </w:r>
      <w:r w:rsidRPr="00D30B8B">
        <w:rPr>
          <w:rFonts w:ascii="Arial" w:eastAsia="Times New Roman" w:hAnsi="Arial" w:cs="Arial"/>
          <w:color w:val="222222"/>
        </w:rPr>
        <w:t>individuals on treatment t</w:t>
      </w:r>
      <w:r>
        <w:rPr>
          <w:rFonts w:ascii="Arial" w:eastAsia="Times New Roman" w:hAnsi="Arial" w:cs="Arial"/>
          <w:color w:val="222222"/>
        </w:rPr>
        <w:t xml:space="preserve">o achieve national goals, and treatment currently absorbs 50% of all HIV spending in Tanzania, </w:t>
      </w:r>
      <w:r w:rsidRPr="00D30B8B">
        <w:rPr>
          <w:rFonts w:ascii="Arial" w:eastAsia="Times New Roman" w:hAnsi="Arial" w:cs="Arial"/>
          <w:color w:val="222222"/>
        </w:rPr>
        <w:t>lowering the cost of ART per PLHIV w</w:t>
      </w:r>
      <w:r>
        <w:rPr>
          <w:rFonts w:ascii="Arial" w:eastAsia="Times New Roman" w:hAnsi="Arial" w:cs="Arial"/>
          <w:color w:val="222222"/>
        </w:rPr>
        <w:t xml:space="preserve">ould help tremendously to expand </w:t>
      </w:r>
      <w:r w:rsidRPr="00D30B8B">
        <w:rPr>
          <w:rFonts w:ascii="Arial" w:eastAsia="Times New Roman" w:hAnsi="Arial" w:cs="Arial"/>
          <w:color w:val="222222"/>
        </w:rPr>
        <w:t xml:space="preserve">the impact of available funds. The efficiencies in ART delivery recommended </w:t>
      </w:r>
      <w:r>
        <w:rPr>
          <w:rFonts w:ascii="Arial" w:eastAsia="Times New Roman" w:hAnsi="Arial" w:cs="Arial"/>
          <w:color w:val="222222"/>
        </w:rPr>
        <w:t xml:space="preserve">in IC 2.0 </w:t>
      </w:r>
      <w:r w:rsidRPr="00D30B8B">
        <w:rPr>
          <w:rFonts w:ascii="Arial" w:eastAsia="Times New Roman" w:hAnsi="Arial" w:cs="Arial"/>
          <w:color w:val="222222"/>
        </w:rPr>
        <w:t xml:space="preserve">include: scale-up of Dolutegravir-based regiments for first-line ART, full implementation of differentiated service delivery recommendations for lab testing, and </w:t>
      </w:r>
      <w:r>
        <w:rPr>
          <w:rFonts w:ascii="Arial" w:eastAsia="Times New Roman" w:hAnsi="Arial" w:cs="Arial"/>
          <w:color w:val="222222"/>
        </w:rPr>
        <w:t xml:space="preserve">emphasis on </w:t>
      </w:r>
      <w:r w:rsidRPr="00D30B8B">
        <w:rPr>
          <w:rFonts w:ascii="Arial" w:eastAsia="Times New Roman" w:hAnsi="Arial" w:cs="Arial"/>
          <w:color w:val="222222"/>
        </w:rPr>
        <w:t xml:space="preserve">community-based </w:t>
      </w:r>
      <w:r>
        <w:rPr>
          <w:rFonts w:ascii="Arial" w:eastAsia="Times New Roman" w:hAnsi="Arial" w:cs="Arial"/>
          <w:color w:val="222222"/>
        </w:rPr>
        <w:t xml:space="preserve">treatment </w:t>
      </w:r>
      <w:r w:rsidRPr="00D30B8B">
        <w:rPr>
          <w:rFonts w:ascii="Arial" w:eastAsia="Times New Roman" w:hAnsi="Arial" w:cs="Arial"/>
          <w:color w:val="222222"/>
        </w:rPr>
        <w:t>support</w:t>
      </w:r>
      <w:r>
        <w:rPr>
          <w:rFonts w:ascii="Arial" w:eastAsia="Times New Roman" w:hAnsi="Arial" w:cs="Arial"/>
          <w:color w:val="222222"/>
        </w:rPr>
        <w:t xml:space="preserve"> </w:t>
      </w:r>
      <w:r w:rsidRPr="00D30B8B">
        <w:rPr>
          <w:rFonts w:ascii="Arial" w:eastAsia="Times New Roman" w:hAnsi="Arial" w:cs="Arial"/>
          <w:color w:val="222222"/>
        </w:rPr>
        <w:t xml:space="preserve">services.  </w:t>
      </w:r>
      <w:r w:rsidR="0031673E">
        <w:rPr>
          <w:rFonts w:ascii="Arial" w:eastAsia="Times New Roman" w:hAnsi="Arial" w:cs="Arial"/>
          <w:color w:val="222222"/>
        </w:rPr>
        <w:t xml:space="preserve">Some of these efficiencies are already in place, such as Dolutegravir and simplified lab algorithms </w:t>
      </w:r>
      <w:r w:rsidRPr="00D30B8B">
        <w:rPr>
          <w:rFonts w:ascii="Arial" w:eastAsia="Times New Roman" w:hAnsi="Arial" w:cs="Arial"/>
          <w:color w:val="222222"/>
        </w:rPr>
        <w:t>Improving the technical efficiency of ART delivery through</w:t>
      </w:r>
      <w:r>
        <w:rPr>
          <w:rFonts w:ascii="Arial" w:eastAsia="Times New Roman" w:hAnsi="Arial" w:cs="Arial"/>
          <w:color w:val="222222"/>
        </w:rPr>
        <w:t xml:space="preserve"> scaling up these actions could reduce ART costs by 25%, amounting to a savings of over 50 M annually, more than 10% of current HIV spending in Tanzania. </w:t>
      </w:r>
      <w:r w:rsidRPr="00D30B8B">
        <w:rPr>
          <w:rFonts w:ascii="Arial" w:eastAsia="Times New Roman" w:hAnsi="Arial" w:cs="Arial"/>
          <w:color w:val="222222"/>
        </w:rPr>
        <w:t xml:space="preserve">The evidence </w:t>
      </w:r>
      <w:r>
        <w:rPr>
          <w:rFonts w:ascii="Arial" w:eastAsia="Times New Roman" w:hAnsi="Arial" w:cs="Arial"/>
          <w:color w:val="222222"/>
        </w:rPr>
        <w:t xml:space="preserve">behind </w:t>
      </w:r>
      <w:r w:rsidRPr="00D30B8B">
        <w:rPr>
          <w:rFonts w:ascii="Arial" w:eastAsia="Times New Roman" w:hAnsi="Arial" w:cs="Arial"/>
          <w:color w:val="222222"/>
        </w:rPr>
        <w:t xml:space="preserve">these approaches is strong and there appears to be </w:t>
      </w:r>
      <w:r>
        <w:rPr>
          <w:rFonts w:ascii="Arial" w:eastAsia="Times New Roman" w:hAnsi="Arial" w:cs="Arial"/>
          <w:color w:val="222222"/>
        </w:rPr>
        <w:t xml:space="preserve">good </w:t>
      </w:r>
      <w:r w:rsidRPr="00D30B8B">
        <w:rPr>
          <w:rFonts w:ascii="Arial" w:eastAsia="Times New Roman" w:hAnsi="Arial" w:cs="Arial"/>
          <w:color w:val="222222"/>
        </w:rPr>
        <w:t xml:space="preserve">national buy-in, but implementation of these </w:t>
      </w:r>
      <w:r>
        <w:rPr>
          <w:rFonts w:ascii="Arial" w:eastAsia="Times New Roman" w:hAnsi="Arial" w:cs="Arial"/>
          <w:color w:val="222222"/>
        </w:rPr>
        <w:t xml:space="preserve">policies </w:t>
      </w:r>
      <w:r w:rsidRPr="00D30B8B">
        <w:rPr>
          <w:rFonts w:ascii="Arial" w:eastAsia="Times New Roman" w:hAnsi="Arial" w:cs="Arial"/>
          <w:color w:val="222222"/>
        </w:rPr>
        <w:t>is still in the early stages</w:t>
      </w:r>
      <w:r>
        <w:rPr>
          <w:rFonts w:ascii="Arial" w:eastAsia="Times New Roman" w:hAnsi="Arial" w:cs="Arial"/>
          <w:color w:val="222222"/>
        </w:rPr>
        <w:t>, e.g., DTG, or is still nascent and requires significant discussion and debate, e.g., community-based support services</w:t>
      </w:r>
      <w:r w:rsidRPr="00D30B8B">
        <w:rPr>
          <w:rFonts w:ascii="Arial" w:eastAsia="Times New Roman" w:hAnsi="Arial" w:cs="Arial"/>
          <w:color w:val="222222"/>
        </w:rPr>
        <w:t>.</w:t>
      </w:r>
    </w:p>
    <w:p w14:paraId="1467B847" w14:textId="6A153A5B" w:rsidR="00FF5C7F" w:rsidRDefault="00FF5C7F" w:rsidP="00916032">
      <w:pPr>
        <w:shd w:val="clear" w:color="auto" w:fill="FFFFFF"/>
        <w:spacing w:after="0" w:line="240" w:lineRule="auto"/>
        <w:rPr>
          <w:rFonts w:ascii="Arial" w:eastAsia="Times New Roman" w:hAnsi="Arial" w:cs="Arial"/>
          <w:color w:val="222222"/>
        </w:rPr>
      </w:pPr>
    </w:p>
    <w:p w14:paraId="4B6CA899" w14:textId="2473D113" w:rsidR="00FF5C7F" w:rsidRPr="0022303B" w:rsidRDefault="00FF5C7F" w:rsidP="00FF5C7F">
      <w:pPr>
        <w:pStyle w:val="ListParagraph"/>
        <w:numPr>
          <w:ilvl w:val="0"/>
          <w:numId w:val="61"/>
        </w:numPr>
        <w:shd w:val="clear" w:color="auto" w:fill="FFFFFF"/>
        <w:spacing w:after="0" w:line="240" w:lineRule="auto"/>
        <w:rPr>
          <w:rFonts w:ascii="Arial" w:eastAsia="Times New Roman" w:hAnsi="Arial" w:cs="Arial"/>
          <w:color w:val="222222"/>
          <w:u w:val="single"/>
        </w:rPr>
      </w:pPr>
      <w:r w:rsidRPr="0022303B">
        <w:rPr>
          <w:rFonts w:ascii="Arial" w:eastAsia="Times New Roman" w:hAnsi="Arial" w:cs="Arial"/>
          <w:color w:val="222222"/>
          <w:u w:val="single"/>
        </w:rPr>
        <w:t>More efficient testing strategy</w:t>
      </w:r>
    </w:p>
    <w:p w14:paraId="6BBE670F" w14:textId="62D375C2" w:rsidR="00916032" w:rsidRDefault="00916032" w:rsidP="00916032">
      <w:pPr>
        <w:shd w:val="clear" w:color="auto" w:fill="FFFFFF"/>
        <w:spacing w:after="0" w:line="240" w:lineRule="auto"/>
        <w:rPr>
          <w:rFonts w:ascii="Arial" w:eastAsia="Times New Roman" w:hAnsi="Arial" w:cs="Arial"/>
          <w:i/>
          <w:iCs/>
          <w:color w:val="222222"/>
        </w:rPr>
      </w:pPr>
    </w:p>
    <w:p w14:paraId="1D04ED8F" w14:textId="3B0B2131" w:rsidR="0022303B" w:rsidRPr="0097190A" w:rsidRDefault="0022303B" w:rsidP="0022303B">
      <w:pPr>
        <w:rPr>
          <w:rFonts w:ascii="Arial" w:hAnsi="Arial" w:cs="Arial"/>
          <w:szCs w:val="24"/>
        </w:rPr>
      </w:pPr>
      <w:r w:rsidRPr="00B40003">
        <w:rPr>
          <w:rFonts w:ascii="Arial" w:hAnsi="Arial" w:cs="Arial"/>
        </w:rPr>
        <w:t>Currentl</w:t>
      </w:r>
      <w:r>
        <w:rPr>
          <w:rFonts w:ascii="Arial" w:hAnsi="Arial" w:cs="Arial"/>
        </w:rPr>
        <w:t>y, annual</w:t>
      </w:r>
      <w:r w:rsidRPr="00B40003">
        <w:rPr>
          <w:rFonts w:ascii="Arial" w:hAnsi="Arial" w:cs="Arial"/>
        </w:rPr>
        <w:t xml:space="preserve"> expenditure on </w:t>
      </w:r>
      <w:r>
        <w:rPr>
          <w:rFonts w:ascii="Arial" w:hAnsi="Arial" w:cs="Arial"/>
        </w:rPr>
        <w:t>HIV testing and counseling</w:t>
      </w:r>
      <w:r w:rsidRPr="00B40003">
        <w:rPr>
          <w:rFonts w:ascii="Arial" w:hAnsi="Arial" w:cs="Arial"/>
        </w:rPr>
        <w:t xml:space="preserve"> is about USD 50 </w:t>
      </w:r>
      <w:r>
        <w:rPr>
          <w:rFonts w:ascii="Arial" w:hAnsi="Arial" w:cs="Arial"/>
        </w:rPr>
        <w:t xml:space="preserve">M, and only about 61% of PLHIV are aware of their status. The IC 2.0 efficiency analysis suggests that Tanzania </w:t>
      </w:r>
      <w:r w:rsidR="00CC2044">
        <w:rPr>
          <w:rFonts w:ascii="Arial" w:hAnsi="Arial" w:cs="Arial"/>
        </w:rPr>
        <w:t>can</w:t>
      </w:r>
      <w:r>
        <w:rPr>
          <w:rFonts w:ascii="Arial" w:hAnsi="Arial" w:cs="Arial"/>
        </w:rPr>
        <w:t xml:space="preserve"> reach</w:t>
      </w:r>
      <w:r w:rsidR="00CC2044">
        <w:rPr>
          <w:rFonts w:ascii="Arial" w:hAnsi="Arial" w:cs="Arial"/>
        </w:rPr>
        <w:t xml:space="preserve"> the target of </w:t>
      </w:r>
      <w:r>
        <w:rPr>
          <w:rFonts w:ascii="Arial" w:hAnsi="Arial" w:cs="Arial"/>
        </w:rPr>
        <w:t xml:space="preserve">90% </w:t>
      </w:r>
      <w:r w:rsidR="00CC2044">
        <w:rPr>
          <w:rFonts w:ascii="Arial" w:hAnsi="Arial" w:cs="Arial"/>
        </w:rPr>
        <w:t>of</w:t>
      </w:r>
      <w:r>
        <w:rPr>
          <w:rFonts w:ascii="Arial" w:hAnsi="Arial" w:cs="Arial"/>
        </w:rPr>
        <w:t xml:space="preserve"> PLHI</w:t>
      </w:r>
      <w:r w:rsidR="00CC2044">
        <w:rPr>
          <w:rFonts w:ascii="Arial" w:hAnsi="Arial" w:cs="Arial"/>
        </w:rPr>
        <w:t xml:space="preserve">V </w:t>
      </w:r>
      <w:r>
        <w:rPr>
          <w:rFonts w:ascii="Arial" w:hAnsi="Arial" w:cs="Arial"/>
        </w:rPr>
        <w:t xml:space="preserve">aware of their status </w:t>
      </w:r>
      <w:r w:rsidR="00CC2044">
        <w:rPr>
          <w:rFonts w:ascii="Arial" w:hAnsi="Arial" w:cs="Arial"/>
        </w:rPr>
        <w:t>by 2025</w:t>
      </w:r>
      <w:r>
        <w:rPr>
          <w:rFonts w:ascii="Arial" w:hAnsi="Arial" w:cs="Arial"/>
        </w:rPr>
        <w:t xml:space="preserve"> </w:t>
      </w:r>
      <w:r w:rsidR="00CC2044">
        <w:rPr>
          <w:rFonts w:ascii="Arial" w:hAnsi="Arial" w:cs="Arial"/>
        </w:rPr>
        <w:t xml:space="preserve">by </w:t>
      </w:r>
      <w:r>
        <w:rPr>
          <w:rFonts w:ascii="Arial" w:hAnsi="Arial" w:cs="Arial"/>
        </w:rPr>
        <w:t>spend</w:t>
      </w:r>
      <w:r w:rsidR="00CC2044">
        <w:rPr>
          <w:rFonts w:ascii="Arial" w:hAnsi="Arial" w:cs="Arial"/>
        </w:rPr>
        <w:t>ing</w:t>
      </w:r>
      <w:r>
        <w:rPr>
          <w:rFonts w:ascii="Arial" w:hAnsi="Arial" w:cs="Arial"/>
        </w:rPr>
        <w:t xml:space="preserve"> even less than today. This more efficient strategy would involve focusing on </w:t>
      </w:r>
      <w:r>
        <w:rPr>
          <w:rFonts w:ascii="Arial" w:hAnsi="Arial" w:cs="Arial"/>
          <w:szCs w:val="24"/>
        </w:rPr>
        <w:t xml:space="preserve">scaling up PITC, VCT, and self-testing through 2022 and then keeping PITC and self-testing volumes high when VCT scales back </w:t>
      </w:r>
      <w:r w:rsidR="00CC2044">
        <w:rPr>
          <w:rFonts w:ascii="Arial" w:hAnsi="Arial" w:cs="Arial"/>
          <w:szCs w:val="24"/>
        </w:rPr>
        <w:t>post</w:t>
      </w:r>
      <w:r>
        <w:rPr>
          <w:rFonts w:ascii="Arial" w:hAnsi="Arial" w:cs="Arial"/>
          <w:szCs w:val="24"/>
        </w:rPr>
        <w:t xml:space="preserve"> 2022. Until 2022, volumes of PITC and self-testing should be about 3-4 million tests and VCT at 800,000 annually. After VCT scale down, PITC and self-testing volumes would need to reach 4-5 million tests annually. </w:t>
      </w:r>
      <w:r>
        <w:rPr>
          <w:rFonts w:ascii="Arial" w:hAnsi="Arial" w:cs="Arial"/>
        </w:rPr>
        <w:t xml:space="preserve">This strategy would cost less than USD 40 M annually, </w:t>
      </w:r>
      <w:r w:rsidR="00CC2044">
        <w:rPr>
          <w:rFonts w:ascii="Arial" w:hAnsi="Arial" w:cs="Arial"/>
        </w:rPr>
        <w:t xml:space="preserve">at least 5 M less </w:t>
      </w:r>
      <w:r>
        <w:rPr>
          <w:rFonts w:ascii="Arial" w:hAnsi="Arial" w:cs="Arial"/>
        </w:rPr>
        <w:t>annually compared to the current strategy.</w:t>
      </w:r>
    </w:p>
    <w:p w14:paraId="655987B0" w14:textId="77777777" w:rsidR="0022303B" w:rsidRPr="00D30B8B" w:rsidRDefault="0022303B" w:rsidP="00916032">
      <w:pPr>
        <w:shd w:val="clear" w:color="auto" w:fill="FFFFFF"/>
        <w:spacing w:after="0" w:line="240" w:lineRule="auto"/>
        <w:rPr>
          <w:rFonts w:ascii="Arial" w:eastAsia="Times New Roman" w:hAnsi="Arial" w:cs="Arial"/>
          <w:i/>
          <w:iCs/>
          <w:color w:val="222222"/>
        </w:rPr>
      </w:pPr>
    </w:p>
    <w:p w14:paraId="0284A38A" w14:textId="77777777" w:rsidR="00916032" w:rsidRPr="00DD7902" w:rsidRDefault="00916032" w:rsidP="00916032">
      <w:pPr>
        <w:pStyle w:val="ListParagraph"/>
        <w:numPr>
          <w:ilvl w:val="0"/>
          <w:numId w:val="60"/>
        </w:numPr>
        <w:shd w:val="clear" w:color="auto" w:fill="FFFFFF"/>
        <w:spacing w:after="0" w:line="240" w:lineRule="auto"/>
        <w:rPr>
          <w:rFonts w:ascii="Arial" w:eastAsia="Times New Roman" w:hAnsi="Arial" w:cs="Arial"/>
          <w:i/>
          <w:iCs/>
          <w:color w:val="222222"/>
        </w:rPr>
      </w:pPr>
      <w:r w:rsidRPr="00DD7902">
        <w:rPr>
          <w:rFonts w:ascii="Arial" w:eastAsia="Times New Roman" w:hAnsi="Arial" w:cs="Arial"/>
          <w:i/>
          <w:iCs/>
          <w:color w:val="222222"/>
        </w:rPr>
        <w:t xml:space="preserve">If donor funds continue to decline </w:t>
      </w:r>
      <w:r>
        <w:rPr>
          <w:rFonts w:ascii="Arial" w:eastAsia="Times New Roman" w:hAnsi="Arial" w:cs="Arial"/>
          <w:i/>
          <w:iCs/>
          <w:color w:val="222222"/>
        </w:rPr>
        <w:t xml:space="preserve">and there is no countervailing </w:t>
      </w:r>
      <w:r w:rsidRPr="00DD7902">
        <w:rPr>
          <w:rFonts w:ascii="Arial" w:eastAsia="Times New Roman" w:hAnsi="Arial" w:cs="Arial"/>
          <w:i/>
          <w:iCs/>
          <w:color w:val="222222"/>
        </w:rPr>
        <w:t xml:space="preserve">government domestic resource mobilization, the national </w:t>
      </w:r>
      <w:r>
        <w:rPr>
          <w:rFonts w:ascii="Arial" w:eastAsia="Times New Roman" w:hAnsi="Arial" w:cs="Arial"/>
          <w:i/>
          <w:iCs/>
          <w:color w:val="222222"/>
        </w:rPr>
        <w:t xml:space="preserve">HIV </w:t>
      </w:r>
      <w:r w:rsidRPr="00DD7902">
        <w:rPr>
          <w:rFonts w:ascii="Arial" w:eastAsia="Times New Roman" w:hAnsi="Arial" w:cs="Arial"/>
          <w:i/>
          <w:iCs/>
          <w:color w:val="222222"/>
        </w:rPr>
        <w:t xml:space="preserve">program will be at </w:t>
      </w:r>
      <w:r>
        <w:rPr>
          <w:rFonts w:ascii="Arial" w:eastAsia="Times New Roman" w:hAnsi="Arial" w:cs="Arial"/>
          <w:i/>
          <w:iCs/>
          <w:color w:val="222222"/>
        </w:rPr>
        <w:t xml:space="preserve">serious </w:t>
      </w:r>
      <w:r w:rsidRPr="00DD7902">
        <w:rPr>
          <w:rFonts w:ascii="Arial" w:eastAsia="Times New Roman" w:hAnsi="Arial" w:cs="Arial"/>
          <w:i/>
          <w:iCs/>
          <w:color w:val="222222"/>
        </w:rPr>
        <w:t>risk, even with optimization.</w:t>
      </w:r>
    </w:p>
    <w:p w14:paraId="358286A0"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6B738962" w14:textId="38242324"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If PEPFAR and Global Fund allocations</w:t>
      </w:r>
      <w:r>
        <w:rPr>
          <w:rFonts w:ascii="Arial" w:eastAsia="Times New Roman" w:hAnsi="Arial" w:cs="Arial"/>
          <w:color w:val="222222"/>
        </w:rPr>
        <w:t xml:space="preserve"> decline even </w:t>
      </w:r>
      <w:r w:rsidRPr="00D30B8B">
        <w:rPr>
          <w:rFonts w:ascii="Arial" w:eastAsia="Times New Roman" w:hAnsi="Arial" w:cs="Arial"/>
          <w:color w:val="222222"/>
        </w:rPr>
        <w:t xml:space="preserve">gradually </w:t>
      </w:r>
      <w:r>
        <w:rPr>
          <w:rFonts w:ascii="Arial" w:eastAsia="Times New Roman" w:hAnsi="Arial" w:cs="Arial"/>
          <w:color w:val="222222"/>
        </w:rPr>
        <w:t xml:space="preserve">in the coming years, consistent with recent signals from the two donors </w:t>
      </w:r>
      <w:r w:rsidRPr="00D30B8B">
        <w:rPr>
          <w:rFonts w:ascii="Arial" w:eastAsia="Times New Roman" w:hAnsi="Arial" w:cs="Arial"/>
          <w:color w:val="222222"/>
        </w:rPr>
        <w:t>(</w:t>
      </w:r>
      <w:r>
        <w:rPr>
          <w:rFonts w:ascii="Arial" w:eastAsia="Times New Roman" w:hAnsi="Arial" w:cs="Arial"/>
          <w:color w:val="222222"/>
        </w:rPr>
        <w:t xml:space="preserve">the IC 2.0 </w:t>
      </w:r>
      <w:r w:rsidRPr="00D30B8B">
        <w:rPr>
          <w:rFonts w:ascii="Arial" w:eastAsia="Times New Roman" w:hAnsi="Arial" w:cs="Arial"/>
          <w:color w:val="222222"/>
        </w:rPr>
        <w:t>model</w:t>
      </w:r>
      <w:r>
        <w:rPr>
          <w:rFonts w:ascii="Arial" w:eastAsia="Times New Roman" w:hAnsi="Arial" w:cs="Arial"/>
          <w:color w:val="222222"/>
        </w:rPr>
        <w:t xml:space="preserve">s these declines at </w:t>
      </w:r>
      <w:r w:rsidRPr="00D30B8B">
        <w:rPr>
          <w:rFonts w:ascii="Arial" w:eastAsia="Times New Roman" w:hAnsi="Arial" w:cs="Arial"/>
          <w:color w:val="222222"/>
        </w:rPr>
        <w:t xml:space="preserve">15% </w:t>
      </w:r>
      <w:r>
        <w:rPr>
          <w:rFonts w:ascii="Arial" w:eastAsia="Times New Roman" w:hAnsi="Arial" w:cs="Arial"/>
          <w:color w:val="222222"/>
        </w:rPr>
        <w:t xml:space="preserve">for PEPFAR </w:t>
      </w:r>
      <w:r w:rsidRPr="00D30B8B">
        <w:rPr>
          <w:rFonts w:ascii="Arial" w:eastAsia="Times New Roman" w:hAnsi="Arial" w:cs="Arial"/>
          <w:color w:val="222222"/>
        </w:rPr>
        <w:t>and 10%</w:t>
      </w:r>
      <w:r>
        <w:rPr>
          <w:rFonts w:ascii="Arial" w:eastAsia="Times New Roman" w:hAnsi="Arial" w:cs="Arial"/>
          <w:color w:val="222222"/>
        </w:rPr>
        <w:t xml:space="preserve"> for the Global Fund over each three year period in the future</w:t>
      </w:r>
      <w:r w:rsidRPr="00D30B8B">
        <w:rPr>
          <w:rFonts w:ascii="Arial" w:eastAsia="Times New Roman" w:hAnsi="Arial" w:cs="Arial"/>
          <w:color w:val="222222"/>
        </w:rPr>
        <w:t xml:space="preserve">), not only is additional progress towards 95-95-95 goals at risk, but past </w:t>
      </w:r>
      <w:r>
        <w:rPr>
          <w:rFonts w:ascii="Arial" w:eastAsia="Times New Roman" w:hAnsi="Arial" w:cs="Arial"/>
          <w:color w:val="222222"/>
        </w:rPr>
        <w:t xml:space="preserve">gains </w:t>
      </w:r>
      <w:r w:rsidRPr="00D30B8B">
        <w:rPr>
          <w:rFonts w:ascii="Arial" w:eastAsia="Times New Roman" w:hAnsi="Arial" w:cs="Arial"/>
          <w:color w:val="222222"/>
        </w:rPr>
        <w:t xml:space="preserve">could also be </w:t>
      </w:r>
      <w:r>
        <w:rPr>
          <w:rFonts w:ascii="Arial" w:eastAsia="Times New Roman" w:hAnsi="Arial" w:cs="Arial"/>
          <w:color w:val="222222"/>
        </w:rPr>
        <w:t>reversed</w:t>
      </w:r>
      <w:r w:rsidRPr="00D30B8B">
        <w:rPr>
          <w:rFonts w:ascii="Arial" w:eastAsia="Times New Roman" w:hAnsi="Arial" w:cs="Arial"/>
          <w:color w:val="222222"/>
        </w:rPr>
        <w:t xml:space="preserve">. Declines in donor funding with no </w:t>
      </w:r>
      <w:r>
        <w:rPr>
          <w:rFonts w:ascii="Arial" w:eastAsia="Times New Roman" w:hAnsi="Arial" w:cs="Arial"/>
          <w:color w:val="222222"/>
        </w:rPr>
        <w:t xml:space="preserve">commensurate increase in </w:t>
      </w:r>
      <w:r w:rsidRPr="00D30B8B">
        <w:rPr>
          <w:rFonts w:ascii="Arial" w:eastAsia="Times New Roman" w:hAnsi="Arial" w:cs="Arial"/>
          <w:color w:val="222222"/>
        </w:rPr>
        <w:t xml:space="preserve">domestic </w:t>
      </w:r>
      <w:r>
        <w:rPr>
          <w:rFonts w:ascii="Arial" w:eastAsia="Times New Roman" w:hAnsi="Arial" w:cs="Arial"/>
          <w:color w:val="222222"/>
        </w:rPr>
        <w:t xml:space="preserve">funds </w:t>
      </w:r>
      <w:r w:rsidRPr="00D30B8B">
        <w:rPr>
          <w:rFonts w:ascii="Arial" w:eastAsia="Times New Roman" w:hAnsi="Arial" w:cs="Arial"/>
          <w:color w:val="222222"/>
        </w:rPr>
        <w:t>would lead to both new infections and deaths increasing over tim</w:t>
      </w:r>
      <w:r>
        <w:rPr>
          <w:rFonts w:ascii="Arial" w:eastAsia="Times New Roman" w:hAnsi="Arial" w:cs="Arial"/>
          <w:color w:val="222222"/>
        </w:rPr>
        <w:t xml:space="preserve">e -18,000 new infections and 39,000 AIDS-related deaths annually by 2030. </w:t>
      </w:r>
      <w:r w:rsidRPr="00D30B8B">
        <w:rPr>
          <w:rFonts w:ascii="Arial" w:eastAsia="Times New Roman" w:hAnsi="Arial" w:cs="Arial"/>
          <w:color w:val="222222"/>
        </w:rPr>
        <w:t xml:space="preserve">Although it is impossible to know </w:t>
      </w:r>
      <w:r>
        <w:rPr>
          <w:rFonts w:ascii="Arial" w:eastAsia="Times New Roman" w:hAnsi="Arial" w:cs="Arial"/>
          <w:color w:val="222222"/>
        </w:rPr>
        <w:t xml:space="preserve">with certainty the pace of </w:t>
      </w:r>
      <w:r w:rsidRPr="00D30B8B">
        <w:rPr>
          <w:rFonts w:ascii="Arial" w:eastAsia="Times New Roman" w:hAnsi="Arial" w:cs="Arial"/>
          <w:color w:val="222222"/>
        </w:rPr>
        <w:t>donor decline due to the short</w:t>
      </w:r>
      <w:r>
        <w:rPr>
          <w:rFonts w:ascii="Arial" w:eastAsia="Times New Roman" w:hAnsi="Arial" w:cs="Arial"/>
          <w:color w:val="222222"/>
        </w:rPr>
        <w:t xml:space="preserve"> </w:t>
      </w:r>
      <w:r w:rsidRPr="00D30B8B">
        <w:rPr>
          <w:rFonts w:ascii="Arial" w:eastAsia="Times New Roman" w:hAnsi="Arial" w:cs="Arial"/>
          <w:color w:val="222222"/>
        </w:rPr>
        <w:t xml:space="preserve">budget cycles of PEPFAR and </w:t>
      </w:r>
      <w:r>
        <w:rPr>
          <w:rFonts w:ascii="Arial" w:eastAsia="Times New Roman" w:hAnsi="Arial" w:cs="Arial"/>
          <w:color w:val="222222"/>
        </w:rPr>
        <w:t xml:space="preserve">the 3 year </w:t>
      </w:r>
      <w:r w:rsidRPr="00D30B8B">
        <w:rPr>
          <w:rFonts w:ascii="Arial" w:eastAsia="Times New Roman" w:hAnsi="Arial" w:cs="Arial"/>
          <w:color w:val="222222"/>
        </w:rPr>
        <w:t xml:space="preserve">replenishment periods of the Global Fund, </w:t>
      </w:r>
      <w:r>
        <w:rPr>
          <w:rFonts w:ascii="Arial" w:eastAsia="Times New Roman" w:hAnsi="Arial" w:cs="Arial"/>
          <w:color w:val="222222"/>
        </w:rPr>
        <w:t xml:space="preserve">this </w:t>
      </w:r>
      <w:r w:rsidRPr="00D30B8B">
        <w:rPr>
          <w:rFonts w:ascii="Arial" w:eastAsia="Times New Roman" w:hAnsi="Arial" w:cs="Arial"/>
          <w:color w:val="222222"/>
        </w:rPr>
        <w:t xml:space="preserve">scenario </w:t>
      </w:r>
      <w:r>
        <w:rPr>
          <w:rFonts w:ascii="Arial" w:eastAsia="Times New Roman" w:hAnsi="Arial" w:cs="Arial"/>
          <w:color w:val="222222"/>
        </w:rPr>
        <w:t>is one that Tanzania now needs to guard against, since the global outlook for donor aid for HIV (and other health priorities) is less positive than it was a few years ago.</w:t>
      </w:r>
      <w:r w:rsidRPr="00D30B8B">
        <w:rPr>
          <w:rFonts w:ascii="Arial" w:eastAsia="Times New Roman" w:hAnsi="Arial" w:cs="Arial"/>
          <w:color w:val="222222"/>
        </w:rPr>
        <w:t xml:space="preserve"> Given trends in cuts to external financing in 2019, Tanzania must be prepared for the worst case.</w:t>
      </w:r>
    </w:p>
    <w:p w14:paraId="4A6A5C9A"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6D6F5E47" w14:textId="27DFD898" w:rsidR="00916032" w:rsidRPr="00DD7902" w:rsidRDefault="00916032" w:rsidP="00916032">
      <w:pPr>
        <w:pStyle w:val="ListParagraph"/>
        <w:numPr>
          <w:ilvl w:val="0"/>
          <w:numId w:val="60"/>
        </w:numPr>
        <w:shd w:val="clear" w:color="auto" w:fill="FFFFFF"/>
        <w:spacing w:after="0" w:line="240" w:lineRule="auto"/>
        <w:rPr>
          <w:rFonts w:ascii="Arial" w:eastAsia="Times New Roman" w:hAnsi="Arial" w:cs="Arial"/>
          <w:i/>
          <w:iCs/>
          <w:color w:val="222222"/>
        </w:rPr>
      </w:pPr>
      <w:r w:rsidRPr="00DD7902">
        <w:rPr>
          <w:rFonts w:ascii="Arial" w:eastAsia="Times New Roman" w:hAnsi="Arial" w:cs="Arial"/>
          <w:i/>
          <w:iCs/>
          <w:color w:val="222222"/>
        </w:rPr>
        <w:t xml:space="preserve">Gradual domestic resource mobilization could maintain </w:t>
      </w:r>
      <w:r w:rsidR="00C527FE">
        <w:rPr>
          <w:rFonts w:ascii="Arial" w:eastAsia="Times New Roman" w:hAnsi="Arial" w:cs="Arial"/>
          <w:i/>
          <w:iCs/>
          <w:color w:val="222222"/>
        </w:rPr>
        <w:t>current</w:t>
      </w:r>
      <w:r w:rsidRPr="00DD7902">
        <w:rPr>
          <w:rFonts w:ascii="Arial" w:eastAsia="Times New Roman" w:hAnsi="Arial" w:cs="Arial"/>
          <w:i/>
          <w:iCs/>
          <w:color w:val="222222"/>
        </w:rPr>
        <w:t xml:space="preserve"> funding levels, also achieving National Strategy goals</w:t>
      </w:r>
    </w:p>
    <w:p w14:paraId="6480BDEE" w14:textId="77777777" w:rsidR="00916032" w:rsidRDefault="00916032" w:rsidP="00916032">
      <w:pPr>
        <w:shd w:val="clear" w:color="auto" w:fill="FFFFFF"/>
        <w:spacing w:after="0" w:line="240" w:lineRule="auto"/>
        <w:rPr>
          <w:rFonts w:ascii="Arial" w:eastAsia="Times New Roman" w:hAnsi="Arial" w:cs="Arial"/>
          <w:i/>
          <w:iCs/>
          <w:color w:val="222222"/>
        </w:rPr>
      </w:pPr>
    </w:p>
    <w:p w14:paraId="3A034248" w14:textId="3838CF4D" w:rsidR="00916032" w:rsidRPr="00D30B8B" w:rsidRDefault="00916032"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If donor funds decrease in the coming years, </w:t>
      </w:r>
      <w:r w:rsidRPr="00D30B8B">
        <w:rPr>
          <w:rFonts w:ascii="Arial" w:eastAsia="Times New Roman" w:hAnsi="Arial" w:cs="Arial"/>
          <w:color w:val="222222"/>
        </w:rPr>
        <w:t xml:space="preserve">domestic resource mobilization becomes pivotal to </w:t>
      </w:r>
      <w:r>
        <w:rPr>
          <w:rFonts w:ascii="Arial" w:eastAsia="Times New Roman" w:hAnsi="Arial" w:cs="Arial"/>
          <w:color w:val="222222"/>
        </w:rPr>
        <w:t xml:space="preserve">safeguard </w:t>
      </w:r>
      <w:r w:rsidRPr="00D30B8B">
        <w:rPr>
          <w:rFonts w:ascii="Arial" w:eastAsia="Times New Roman" w:hAnsi="Arial" w:cs="Arial"/>
          <w:color w:val="222222"/>
        </w:rPr>
        <w:t xml:space="preserve">the gains </w:t>
      </w:r>
      <w:r>
        <w:rPr>
          <w:rFonts w:ascii="Arial" w:eastAsia="Times New Roman" w:hAnsi="Arial" w:cs="Arial"/>
          <w:color w:val="222222"/>
        </w:rPr>
        <w:t xml:space="preserve">achieved in the national HIV response and </w:t>
      </w:r>
      <w:r w:rsidRPr="00D30B8B">
        <w:rPr>
          <w:rFonts w:ascii="Arial" w:eastAsia="Times New Roman" w:hAnsi="Arial" w:cs="Arial"/>
          <w:color w:val="222222"/>
        </w:rPr>
        <w:t xml:space="preserve">keep Tanzania </w:t>
      </w:r>
      <w:r>
        <w:rPr>
          <w:rFonts w:ascii="Arial" w:eastAsia="Times New Roman" w:hAnsi="Arial" w:cs="Arial"/>
          <w:color w:val="222222"/>
        </w:rPr>
        <w:t xml:space="preserve">moving toward its </w:t>
      </w:r>
      <w:r w:rsidRPr="00D30B8B">
        <w:rPr>
          <w:rFonts w:ascii="Arial" w:eastAsia="Times New Roman" w:hAnsi="Arial" w:cs="Arial"/>
          <w:color w:val="222222"/>
        </w:rPr>
        <w:t xml:space="preserve">2030 goals. </w:t>
      </w:r>
      <w:r>
        <w:rPr>
          <w:rFonts w:ascii="Arial" w:eastAsia="Times New Roman" w:hAnsi="Arial" w:cs="Arial"/>
          <w:color w:val="222222"/>
        </w:rPr>
        <w:t xml:space="preserve">Based on a detailed fiscal space analysis conducted for IC 2.0, </w:t>
      </w:r>
      <w:r w:rsidR="008F15AD">
        <w:rPr>
          <w:rFonts w:ascii="Arial" w:eastAsia="Times New Roman" w:hAnsi="Arial" w:cs="Arial"/>
          <w:color w:val="222222"/>
        </w:rPr>
        <w:t xml:space="preserve">which assumes rapid and continued economic growth, </w:t>
      </w:r>
      <w:r>
        <w:rPr>
          <w:rFonts w:ascii="Arial" w:eastAsia="Times New Roman" w:hAnsi="Arial" w:cs="Arial"/>
          <w:color w:val="222222"/>
        </w:rPr>
        <w:t xml:space="preserve">it was estimated that the Government could feasibly mobilize an additional USD </w:t>
      </w:r>
      <w:r w:rsidRPr="00D30B8B">
        <w:rPr>
          <w:rFonts w:ascii="Arial" w:eastAsia="Times New Roman" w:hAnsi="Arial" w:cs="Arial"/>
          <w:color w:val="222222"/>
        </w:rPr>
        <w:t xml:space="preserve">10-15 M </w:t>
      </w:r>
      <w:r>
        <w:rPr>
          <w:rFonts w:ascii="Arial" w:eastAsia="Times New Roman" w:hAnsi="Arial" w:cs="Arial"/>
          <w:color w:val="222222"/>
        </w:rPr>
        <w:t xml:space="preserve">a year each year from now to 2030, from a combination of MOH budget increases, national health insurance resources, and special HIV Fund levies. </w:t>
      </w:r>
      <w:r w:rsidRPr="00D30B8B">
        <w:rPr>
          <w:rFonts w:ascii="Arial" w:eastAsia="Times New Roman" w:hAnsi="Arial" w:cs="Arial"/>
          <w:color w:val="222222"/>
        </w:rPr>
        <w:t>This pace of domestic resource mobilization</w:t>
      </w:r>
      <w:r>
        <w:rPr>
          <w:rFonts w:ascii="Arial" w:eastAsia="Times New Roman" w:hAnsi="Arial" w:cs="Arial"/>
          <w:color w:val="222222"/>
        </w:rPr>
        <w:t xml:space="preserve"> driving public funds from USD 55 million in 2018 to USD 174 million by 2030 (Figure 7-2) </w:t>
      </w:r>
      <w:r w:rsidRPr="00D30B8B">
        <w:rPr>
          <w:rFonts w:ascii="Arial" w:eastAsia="Times New Roman" w:hAnsi="Arial" w:cs="Arial"/>
          <w:color w:val="222222"/>
        </w:rPr>
        <w:t xml:space="preserve">could offset </w:t>
      </w:r>
      <w:r>
        <w:rPr>
          <w:rFonts w:ascii="Arial" w:eastAsia="Times New Roman" w:hAnsi="Arial" w:cs="Arial"/>
          <w:color w:val="222222"/>
        </w:rPr>
        <w:t xml:space="preserve">possible projected </w:t>
      </w:r>
      <w:r w:rsidRPr="00D30B8B">
        <w:rPr>
          <w:rFonts w:ascii="Arial" w:eastAsia="Times New Roman" w:hAnsi="Arial" w:cs="Arial"/>
          <w:color w:val="222222"/>
        </w:rPr>
        <w:t xml:space="preserve">declines in donor funding </w:t>
      </w:r>
      <w:r>
        <w:rPr>
          <w:rFonts w:ascii="Arial" w:eastAsia="Times New Roman" w:hAnsi="Arial" w:cs="Arial"/>
          <w:color w:val="222222"/>
        </w:rPr>
        <w:t xml:space="preserve">and maintain </w:t>
      </w:r>
      <w:r w:rsidRPr="00D30B8B">
        <w:rPr>
          <w:rFonts w:ascii="Arial" w:eastAsia="Times New Roman" w:hAnsi="Arial" w:cs="Arial"/>
          <w:color w:val="222222"/>
        </w:rPr>
        <w:t xml:space="preserve">annual </w:t>
      </w:r>
      <w:r>
        <w:rPr>
          <w:rFonts w:ascii="Arial" w:eastAsia="Times New Roman" w:hAnsi="Arial" w:cs="Arial"/>
          <w:color w:val="222222"/>
        </w:rPr>
        <w:t xml:space="preserve">HIV </w:t>
      </w:r>
      <w:r w:rsidRPr="00D30B8B">
        <w:rPr>
          <w:rFonts w:ascii="Arial" w:eastAsia="Times New Roman" w:hAnsi="Arial" w:cs="Arial"/>
          <w:color w:val="222222"/>
        </w:rPr>
        <w:t xml:space="preserve">funding </w:t>
      </w:r>
      <w:r>
        <w:rPr>
          <w:rFonts w:ascii="Arial" w:eastAsia="Times New Roman" w:hAnsi="Arial" w:cs="Arial"/>
          <w:color w:val="222222"/>
        </w:rPr>
        <w:t xml:space="preserve">at close to </w:t>
      </w:r>
      <w:r w:rsidR="00C527FE">
        <w:rPr>
          <w:rFonts w:ascii="Arial" w:eastAsia="Times New Roman" w:hAnsi="Arial" w:cs="Arial"/>
          <w:color w:val="222222"/>
        </w:rPr>
        <w:t>current</w:t>
      </w:r>
      <w:r w:rsidRPr="00D30B8B">
        <w:rPr>
          <w:rFonts w:ascii="Arial" w:eastAsia="Times New Roman" w:hAnsi="Arial" w:cs="Arial"/>
          <w:color w:val="222222"/>
        </w:rPr>
        <w:t xml:space="preserve"> levels</w:t>
      </w:r>
      <w:r>
        <w:rPr>
          <w:rFonts w:ascii="Arial" w:eastAsia="Times New Roman" w:hAnsi="Arial" w:cs="Arial"/>
          <w:color w:val="222222"/>
        </w:rPr>
        <w:t xml:space="preserve"> (even though under this scenario Tanzania would still only cover about 40% of total HIV spending </w:t>
      </w:r>
      <w:r w:rsidR="00C527FE">
        <w:rPr>
          <w:rFonts w:ascii="Arial" w:eastAsia="Times New Roman" w:hAnsi="Arial" w:cs="Arial"/>
          <w:color w:val="222222"/>
        </w:rPr>
        <w:t>with</w:t>
      </w:r>
      <w:r>
        <w:rPr>
          <w:rFonts w:ascii="Arial" w:eastAsia="Times New Roman" w:hAnsi="Arial" w:cs="Arial"/>
          <w:color w:val="222222"/>
        </w:rPr>
        <w:t xml:space="preserve"> domestic sources in 2030, continuing high dependence on donors)</w:t>
      </w:r>
      <w:r w:rsidRPr="00D30B8B">
        <w:rPr>
          <w:rFonts w:ascii="Arial" w:eastAsia="Times New Roman" w:hAnsi="Arial" w:cs="Arial"/>
          <w:color w:val="222222"/>
        </w:rPr>
        <w:t>.</w:t>
      </w:r>
      <w:r>
        <w:rPr>
          <w:rFonts w:ascii="Arial" w:eastAsia="Times New Roman" w:hAnsi="Arial" w:cs="Arial"/>
          <w:color w:val="222222"/>
        </w:rPr>
        <w:t xml:space="preserve"> </w:t>
      </w:r>
    </w:p>
    <w:p w14:paraId="2A12906F"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253BC8B8" w14:textId="77777777"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Discussions about domestic resource mobilization for HIV are not new in Tanzania. The AIDS Trust Fund was set up in 2016 and the previous investment case 1.0 spoke to potential mechanisms to spark additional domestic contributions. </w:t>
      </w:r>
      <w:r>
        <w:rPr>
          <w:rFonts w:ascii="Arial" w:eastAsia="Times New Roman" w:hAnsi="Arial" w:cs="Arial"/>
          <w:color w:val="222222"/>
        </w:rPr>
        <w:t>Yet little has happened over the past 3 years to expand national funding.  I</w:t>
      </w:r>
      <w:r w:rsidRPr="00D30B8B">
        <w:rPr>
          <w:rFonts w:ascii="Arial" w:eastAsia="Times New Roman" w:hAnsi="Arial" w:cs="Arial"/>
          <w:color w:val="222222"/>
        </w:rPr>
        <w:t xml:space="preserve">nvestment Case 2.0 analysis </w:t>
      </w:r>
      <w:r>
        <w:rPr>
          <w:rFonts w:ascii="Arial" w:eastAsia="Times New Roman" w:hAnsi="Arial" w:cs="Arial"/>
          <w:color w:val="222222"/>
        </w:rPr>
        <w:t xml:space="preserve">shows </w:t>
      </w:r>
      <w:r w:rsidRPr="00D30B8B">
        <w:rPr>
          <w:rFonts w:ascii="Arial" w:eastAsia="Times New Roman" w:hAnsi="Arial" w:cs="Arial"/>
          <w:color w:val="222222"/>
        </w:rPr>
        <w:t xml:space="preserve">that discussions must now be turned into action. </w:t>
      </w:r>
    </w:p>
    <w:p w14:paraId="018FFEE2"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0C31D4E2" w14:textId="77777777"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The Investment Case 2.0 puts forward feasible targets for how domestic funds could be increased gradually over time. These increases are </w:t>
      </w:r>
      <w:r>
        <w:rPr>
          <w:rFonts w:ascii="Arial" w:eastAsia="Times New Roman" w:hAnsi="Arial" w:cs="Arial"/>
          <w:color w:val="222222"/>
        </w:rPr>
        <w:t xml:space="preserve">based on solid </w:t>
      </w:r>
      <w:r w:rsidRPr="00D30B8B">
        <w:rPr>
          <w:rFonts w:ascii="Arial" w:eastAsia="Times New Roman" w:hAnsi="Arial" w:cs="Arial"/>
          <w:color w:val="222222"/>
        </w:rPr>
        <w:t xml:space="preserve">projections of economic growth </w:t>
      </w:r>
      <w:r>
        <w:rPr>
          <w:rFonts w:ascii="Arial" w:eastAsia="Times New Roman" w:hAnsi="Arial" w:cs="Arial"/>
          <w:color w:val="222222"/>
        </w:rPr>
        <w:t xml:space="preserve">and increases in government health spending </w:t>
      </w:r>
      <w:r w:rsidRPr="00D30B8B">
        <w:rPr>
          <w:rFonts w:ascii="Arial" w:eastAsia="Times New Roman" w:hAnsi="Arial" w:cs="Arial"/>
          <w:color w:val="222222"/>
        </w:rPr>
        <w:t xml:space="preserve">in Tanzania. These </w:t>
      </w:r>
      <w:r>
        <w:rPr>
          <w:rFonts w:ascii="Arial" w:eastAsia="Times New Roman" w:hAnsi="Arial" w:cs="Arial"/>
          <w:color w:val="222222"/>
        </w:rPr>
        <w:t xml:space="preserve">modeled </w:t>
      </w:r>
      <w:r w:rsidRPr="00D30B8B">
        <w:rPr>
          <w:rFonts w:ascii="Arial" w:eastAsia="Times New Roman" w:hAnsi="Arial" w:cs="Arial"/>
          <w:color w:val="222222"/>
        </w:rPr>
        <w:t xml:space="preserve">increases in </w:t>
      </w:r>
      <w:r>
        <w:rPr>
          <w:rFonts w:ascii="Arial" w:eastAsia="Times New Roman" w:hAnsi="Arial" w:cs="Arial"/>
          <w:color w:val="222222"/>
        </w:rPr>
        <w:t xml:space="preserve">annual </w:t>
      </w:r>
      <w:r w:rsidRPr="00D30B8B">
        <w:rPr>
          <w:rFonts w:ascii="Arial" w:eastAsia="Times New Roman" w:hAnsi="Arial" w:cs="Arial"/>
          <w:color w:val="222222"/>
        </w:rPr>
        <w:t xml:space="preserve">HIV spending would still </w:t>
      </w:r>
      <w:r>
        <w:rPr>
          <w:rFonts w:ascii="Arial" w:eastAsia="Times New Roman" w:hAnsi="Arial" w:cs="Arial"/>
          <w:color w:val="222222"/>
        </w:rPr>
        <w:t xml:space="preserve">place Tanzania behind other </w:t>
      </w:r>
      <w:r w:rsidRPr="00D30B8B">
        <w:rPr>
          <w:rFonts w:ascii="Arial" w:eastAsia="Times New Roman" w:hAnsi="Arial" w:cs="Arial"/>
          <w:color w:val="222222"/>
        </w:rPr>
        <w:t xml:space="preserve">neighboring countries </w:t>
      </w:r>
      <w:r>
        <w:rPr>
          <w:rFonts w:ascii="Arial" w:eastAsia="Times New Roman" w:hAnsi="Arial" w:cs="Arial"/>
          <w:color w:val="222222"/>
        </w:rPr>
        <w:t xml:space="preserve">and would amount to less than half of estimated spending in </w:t>
      </w:r>
      <w:r w:rsidRPr="00D30B8B">
        <w:rPr>
          <w:rFonts w:ascii="Arial" w:eastAsia="Times New Roman" w:hAnsi="Arial" w:cs="Arial"/>
          <w:color w:val="222222"/>
        </w:rPr>
        <w:t>2030</w:t>
      </w:r>
      <w:r>
        <w:rPr>
          <w:rFonts w:ascii="Arial" w:eastAsia="Times New Roman" w:hAnsi="Arial" w:cs="Arial"/>
          <w:color w:val="222222"/>
        </w:rPr>
        <w:t xml:space="preserve"> – Tanzania would still be donor-dependent</w:t>
      </w:r>
      <w:r w:rsidRPr="00D30B8B">
        <w:rPr>
          <w:rFonts w:ascii="Arial" w:eastAsia="Times New Roman" w:hAnsi="Arial" w:cs="Arial"/>
          <w:color w:val="222222"/>
        </w:rPr>
        <w:t xml:space="preserve">. </w:t>
      </w:r>
      <w:r>
        <w:rPr>
          <w:rFonts w:ascii="Arial" w:eastAsia="Times New Roman" w:hAnsi="Arial" w:cs="Arial"/>
          <w:color w:val="222222"/>
        </w:rPr>
        <w:t xml:space="preserve">In this sense, the expanded resource mobilization scenario should be seen as conservative -- ideally </w:t>
      </w:r>
      <w:r w:rsidRPr="00D30B8B">
        <w:rPr>
          <w:rFonts w:ascii="Arial" w:eastAsia="Times New Roman" w:hAnsi="Arial" w:cs="Arial"/>
          <w:color w:val="222222"/>
        </w:rPr>
        <w:t xml:space="preserve">Tanzania </w:t>
      </w:r>
      <w:r>
        <w:rPr>
          <w:rFonts w:ascii="Arial" w:eastAsia="Times New Roman" w:hAnsi="Arial" w:cs="Arial"/>
          <w:color w:val="222222"/>
        </w:rPr>
        <w:t xml:space="preserve">would </w:t>
      </w:r>
      <w:r w:rsidRPr="00D30B8B">
        <w:rPr>
          <w:rFonts w:ascii="Arial" w:eastAsia="Times New Roman" w:hAnsi="Arial" w:cs="Arial"/>
          <w:color w:val="222222"/>
        </w:rPr>
        <w:t xml:space="preserve">commit even more </w:t>
      </w:r>
      <w:r>
        <w:rPr>
          <w:rFonts w:ascii="Arial" w:eastAsia="Times New Roman" w:hAnsi="Arial" w:cs="Arial"/>
          <w:color w:val="222222"/>
        </w:rPr>
        <w:t xml:space="preserve">funds </w:t>
      </w:r>
      <w:r w:rsidRPr="00D30B8B">
        <w:rPr>
          <w:rFonts w:ascii="Arial" w:eastAsia="Times New Roman" w:hAnsi="Arial" w:cs="Arial"/>
          <w:color w:val="222222"/>
        </w:rPr>
        <w:t xml:space="preserve">to HIV than what </w:t>
      </w:r>
      <w:r>
        <w:rPr>
          <w:rFonts w:ascii="Arial" w:eastAsia="Times New Roman" w:hAnsi="Arial" w:cs="Arial"/>
          <w:color w:val="222222"/>
        </w:rPr>
        <w:t xml:space="preserve">is </w:t>
      </w:r>
      <w:r w:rsidRPr="00D30B8B">
        <w:rPr>
          <w:rFonts w:ascii="Arial" w:eastAsia="Times New Roman" w:hAnsi="Arial" w:cs="Arial"/>
          <w:color w:val="222222"/>
        </w:rPr>
        <w:t xml:space="preserve">proposed here. </w:t>
      </w:r>
    </w:p>
    <w:p w14:paraId="6EC09F18"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6EA43B83" w14:textId="77777777" w:rsidR="00916032" w:rsidRPr="00D30B8B"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To mobilize these funds, </w:t>
      </w:r>
      <w:r>
        <w:rPr>
          <w:rFonts w:ascii="Arial" w:eastAsia="Times New Roman" w:hAnsi="Arial" w:cs="Arial"/>
          <w:color w:val="222222"/>
        </w:rPr>
        <w:t xml:space="preserve">several mechanisms seem </w:t>
      </w:r>
      <w:r w:rsidRPr="00D30B8B">
        <w:rPr>
          <w:rFonts w:ascii="Arial" w:eastAsia="Times New Roman" w:hAnsi="Arial" w:cs="Arial"/>
          <w:color w:val="222222"/>
        </w:rPr>
        <w:t xml:space="preserve">most promising </w:t>
      </w:r>
      <w:r>
        <w:rPr>
          <w:rFonts w:ascii="Arial" w:eastAsia="Times New Roman" w:hAnsi="Arial" w:cs="Arial"/>
          <w:color w:val="222222"/>
        </w:rPr>
        <w:t xml:space="preserve">and feasible. The first would simply be to </w:t>
      </w:r>
      <w:r w:rsidRPr="00D30B8B">
        <w:rPr>
          <w:rFonts w:ascii="Arial" w:eastAsia="Times New Roman" w:hAnsi="Arial" w:cs="Arial"/>
          <w:color w:val="222222"/>
        </w:rPr>
        <w:t>increase the Ministry of Health budget</w:t>
      </w:r>
      <w:r>
        <w:rPr>
          <w:rFonts w:ascii="Arial" w:eastAsia="Times New Roman" w:hAnsi="Arial" w:cs="Arial"/>
          <w:color w:val="222222"/>
        </w:rPr>
        <w:t xml:space="preserve"> allocation for HIV above the modest </w:t>
      </w:r>
      <w:r w:rsidRPr="00A839DE">
        <w:rPr>
          <w:rFonts w:ascii="Arial" w:eastAsia="Times New Roman" w:hAnsi="Arial" w:cs="Arial"/>
          <w:color w:val="222222"/>
        </w:rPr>
        <w:t>4%</w:t>
      </w:r>
      <w:r>
        <w:rPr>
          <w:rFonts w:ascii="Arial" w:eastAsia="Times New Roman" w:hAnsi="Arial" w:cs="Arial"/>
          <w:color w:val="222222"/>
        </w:rPr>
        <w:t xml:space="preserve"> currently assigned to the national response to over 7%</w:t>
      </w:r>
      <w:r w:rsidRPr="00D30B8B">
        <w:rPr>
          <w:rFonts w:ascii="Arial" w:eastAsia="Times New Roman" w:hAnsi="Arial" w:cs="Arial"/>
          <w:color w:val="222222"/>
        </w:rPr>
        <w:t xml:space="preserve">. Adding HIV services as a benefit to the National Health Insurance Fund (NHIF) </w:t>
      </w:r>
      <w:r>
        <w:rPr>
          <w:rFonts w:ascii="Arial" w:eastAsia="Times New Roman" w:hAnsi="Arial" w:cs="Arial"/>
          <w:color w:val="222222"/>
        </w:rPr>
        <w:t>package w</w:t>
      </w:r>
      <w:r w:rsidRPr="00D30B8B">
        <w:rPr>
          <w:rFonts w:ascii="Arial" w:eastAsia="Times New Roman" w:hAnsi="Arial" w:cs="Arial"/>
          <w:color w:val="222222"/>
        </w:rPr>
        <w:t xml:space="preserve">ould also </w:t>
      </w:r>
      <w:r>
        <w:rPr>
          <w:rFonts w:ascii="Arial" w:eastAsia="Times New Roman" w:hAnsi="Arial" w:cs="Arial"/>
          <w:color w:val="222222"/>
        </w:rPr>
        <w:t xml:space="preserve">making an important difference: a recent study suggests that </w:t>
      </w:r>
      <w:r w:rsidRPr="002F7177">
        <w:rPr>
          <w:rFonts w:ascii="Arial" w:eastAsia="Times New Roman" w:hAnsi="Arial" w:cs="Arial"/>
          <w:color w:val="222222"/>
        </w:rPr>
        <w:t xml:space="preserve">the NHIF could absorb USD 24 M in incremental costs for HIV services, covering 96,000 people living with HIV </w:t>
      </w:r>
      <w:r w:rsidRPr="00D30B8B">
        <w:rPr>
          <w:rFonts w:ascii="Arial" w:eastAsia="Times New Roman" w:hAnsi="Arial" w:cs="Arial"/>
          <w:color w:val="222222"/>
        </w:rPr>
        <w:t xml:space="preserve">(Health Policy Plus 2016). The AIDS Trust Fund (ATF) was </w:t>
      </w:r>
      <w:r>
        <w:rPr>
          <w:rFonts w:ascii="Arial" w:eastAsia="Times New Roman" w:hAnsi="Arial" w:cs="Arial"/>
          <w:color w:val="222222"/>
        </w:rPr>
        <w:t xml:space="preserve">set up by the Government in 2016 with a target of covering </w:t>
      </w:r>
      <w:r w:rsidRPr="00D30B8B">
        <w:rPr>
          <w:rFonts w:ascii="Arial" w:eastAsia="Times New Roman" w:hAnsi="Arial" w:cs="Arial"/>
          <w:color w:val="222222"/>
        </w:rPr>
        <w:t>30% of total HIV expenditure</w:t>
      </w:r>
      <w:r>
        <w:rPr>
          <w:rFonts w:ascii="Arial" w:eastAsia="Times New Roman" w:hAnsi="Arial" w:cs="Arial"/>
          <w:color w:val="222222"/>
        </w:rPr>
        <w:t>,</w:t>
      </w:r>
      <w:r w:rsidRPr="00D30B8B">
        <w:rPr>
          <w:rFonts w:ascii="Arial" w:eastAsia="Times New Roman" w:hAnsi="Arial" w:cs="Arial"/>
          <w:color w:val="222222"/>
        </w:rPr>
        <w:t xml:space="preserve"> but has not </w:t>
      </w:r>
      <w:r>
        <w:rPr>
          <w:rFonts w:ascii="Arial" w:eastAsia="Times New Roman" w:hAnsi="Arial" w:cs="Arial"/>
          <w:color w:val="222222"/>
        </w:rPr>
        <w:t xml:space="preserve">yet </w:t>
      </w:r>
      <w:r w:rsidRPr="00D30B8B">
        <w:rPr>
          <w:rFonts w:ascii="Arial" w:eastAsia="Times New Roman" w:hAnsi="Arial" w:cs="Arial"/>
          <w:color w:val="222222"/>
        </w:rPr>
        <w:t xml:space="preserve">realized its potential. If the Government of Tanzania </w:t>
      </w:r>
      <w:r>
        <w:rPr>
          <w:rFonts w:ascii="Arial" w:eastAsia="Times New Roman" w:hAnsi="Arial" w:cs="Arial"/>
          <w:color w:val="222222"/>
        </w:rPr>
        <w:t xml:space="preserve">were to meet its current </w:t>
      </w:r>
      <w:r w:rsidRPr="00D30B8B">
        <w:rPr>
          <w:rFonts w:ascii="Arial" w:eastAsia="Times New Roman" w:hAnsi="Arial" w:cs="Arial"/>
          <w:color w:val="222222"/>
        </w:rPr>
        <w:t>pledge of USD 2.7 M</w:t>
      </w:r>
      <w:r>
        <w:rPr>
          <w:rFonts w:ascii="Arial" w:eastAsia="Times New Roman" w:hAnsi="Arial" w:cs="Arial"/>
          <w:color w:val="222222"/>
        </w:rPr>
        <w:t xml:space="preserve"> for the ATF and have this matched by private sector contribution, the Fund could make a positive difference. </w:t>
      </w:r>
      <w:r w:rsidRPr="00D30B8B">
        <w:rPr>
          <w:rFonts w:ascii="Arial" w:eastAsia="Times New Roman" w:hAnsi="Arial" w:cs="Arial"/>
          <w:color w:val="222222"/>
        </w:rPr>
        <w:t>The Community Health Fund</w:t>
      </w:r>
      <w:r>
        <w:rPr>
          <w:rFonts w:ascii="Arial" w:eastAsia="Times New Roman" w:hAnsi="Arial" w:cs="Arial"/>
          <w:color w:val="222222"/>
        </w:rPr>
        <w:t>, s</w:t>
      </w:r>
      <w:r w:rsidRPr="00D30B8B">
        <w:rPr>
          <w:rFonts w:ascii="Arial" w:eastAsia="Times New Roman" w:hAnsi="Arial" w:cs="Arial"/>
          <w:color w:val="222222"/>
        </w:rPr>
        <w:t xml:space="preserve">ocial impact bonds, blended finance, and public/private integration </w:t>
      </w:r>
      <w:r>
        <w:rPr>
          <w:rFonts w:ascii="Arial" w:eastAsia="Times New Roman" w:hAnsi="Arial" w:cs="Arial"/>
          <w:color w:val="222222"/>
        </w:rPr>
        <w:t>appear to be less feasible but could be explored as additional sources of domestic resources for HIV.</w:t>
      </w:r>
    </w:p>
    <w:p w14:paraId="2D8C0674"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6FE05F56" w14:textId="19384922" w:rsidR="00916032" w:rsidRPr="00DD7902" w:rsidRDefault="00FF5C7F" w:rsidP="00916032">
      <w:pPr>
        <w:pStyle w:val="ListParagraph"/>
        <w:numPr>
          <w:ilvl w:val="0"/>
          <w:numId w:val="60"/>
        </w:numPr>
        <w:shd w:val="clear" w:color="auto" w:fill="FFFFFF"/>
        <w:spacing w:after="0" w:line="240" w:lineRule="auto"/>
        <w:rPr>
          <w:rFonts w:ascii="Arial" w:eastAsia="Times New Roman" w:hAnsi="Arial" w:cs="Arial"/>
          <w:i/>
          <w:iCs/>
          <w:color w:val="222222"/>
        </w:rPr>
      </w:pPr>
      <w:r>
        <w:rPr>
          <w:rFonts w:ascii="Arial" w:eastAsia="Times New Roman" w:hAnsi="Arial" w:cs="Arial"/>
          <w:i/>
          <w:iCs/>
          <w:color w:val="222222"/>
        </w:rPr>
        <w:t>Scaling up a comprehensive package of</w:t>
      </w:r>
      <w:r w:rsidR="00916032" w:rsidRPr="00DD7902">
        <w:rPr>
          <w:rFonts w:ascii="Arial" w:eastAsia="Times New Roman" w:hAnsi="Arial" w:cs="Arial"/>
          <w:i/>
          <w:iCs/>
          <w:color w:val="222222"/>
        </w:rPr>
        <w:t xml:space="preserve"> AGYW </w:t>
      </w:r>
      <w:r>
        <w:rPr>
          <w:rFonts w:ascii="Arial" w:eastAsia="Times New Roman" w:hAnsi="Arial" w:cs="Arial"/>
          <w:i/>
          <w:iCs/>
          <w:color w:val="222222"/>
        </w:rPr>
        <w:t>interventions</w:t>
      </w:r>
      <w:r w:rsidR="00916032" w:rsidRPr="00DD7902">
        <w:rPr>
          <w:rFonts w:ascii="Arial" w:eastAsia="Times New Roman" w:hAnsi="Arial" w:cs="Arial"/>
          <w:i/>
          <w:iCs/>
          <w:color w:val="222222"/>
        </w:rPr>
        <w:t xml:space="preserve"> </w:t>
      </w:r>
      <w:r>
        <w:rPr>
          <w:rFonts w:ascii="Arial" w:eastAsia="Times New Roman" w:hAnsi="Arial" w:cs="Arial"/>
          <w:i/>
          <w:iCs/>
          <w:color w:val="222222"/>
        </w:rPr>
        <w:t xml:space="preserve">is an important program challenge that </w:t>
      </w:r>
      <w:r w:rsidR="00916032" w:rsidRPr="00DD7902">
        <w:rPr>
          <w:rFonts w:ascii="Arial" w:eastAsia="Times New Roman" w:hAnsi="Arial" w:cs="Arial"/>
          <w:i/>
          <w:iCs/>
          <w:color w:val="222222"/>
        </w:rPr>
        <w:t>will require significant funding outlays beyond current spending</w:t>
      </w:r>
      <w:r>
        <w:rPr>
          <w:rFonts w:ascii="Arial" w:eastAsia="Times New Roman" w:hAnsi="Arial" w:cs="Arial"/>
          <w:i/>
          <w:iCs/>
          <w:color w:val="222222"/>
        </w:rPr>
        <w:t xml:space="preserve"> and tailored financing solutions outside the scope of Optimization</w:t>
      </w:r>
    </w:p>
    <w:p w14:paraId="68393D33" w14:textId="77777777" w:rsidR="00943E45" w:rsidRDefault="00943E45" w:rsidP="00943E45">
      <w:pPr>
        <w:pStyle w:val="ListParagraph"/>
        <w:shd w:val="clear" w:color="auto" w:fill="FFFFFF"/>
        <w:spacing w:after="0" w:line="240" w:lineRule="auto"/>
        <w:ind w:left="0"/>
        <w:rPr>
          <w:rStyle w:val="Heading3Char"/>
          <w:rFonts w:ascii="Arial" w:hAnsi="Arial" w:cs="Arial"/>
          <w:i/>
          <w:iCs/>
        </w:rPr>
      </w:pPr>
    </w:p>
    <w:p w14:paraId="76EDB7C6" w14:textId="4CE96C13" w:rsidR="00943E45" w:rsidRPr="00572F3E" w:rsidRDefault="00FF5C7F" w:rsidP="00943E45">
      <w:pPr>
        <w:pStyle w:val="ListParagraph"/>
        <w:shd w:val="clear" w:color="auto" w:fill="FFFFFF"/>
        <w:spacing w:after="0" w:line="240" w:lineRule="auto"/>
        <w:ind w:left="0"/>
        <w:rPr>
          <w:rFonts w:ascii="Arial" w:eastAsia="Times New Roman" w:hAnsi="Arial" w:cs="Arial"/>
          <w:i/>
          <w:iCs/>
          <w:color w:val="222222"/>
        </w:rPr>
      </w:pPr>
      <w:r w:rsidRPr="006C2CEA">
        <w:rPr>
          <w:rFonts w:ascii="Arial" w:eastAsia="Times New Roman" w:hAnsi="Arial" w:cs="Arial"/>
          <w:color w:val="222222"/>
        </w:rPr>
        <w:t>Addressing</w:t>
      </w:r>
      <w:r>
        <w:rPr>
          <w:rFonts w:ascii="Arial" w:eastAsia="Times New Roman" w:hAnsi="Arial" w:cs="Arial"/>
          <w:color w:val="222222"/>
        </w:rPr>
        <w:t xml:space="preserve"> structural roots of high risk of HIV infection among AGYW is a</w:t>
      </w:r>
      <w:r w:rsidR="00943E45" w:rsidRPr="00572F3E">
        <w:rPr>
          <w:rFonts w:ascii="Arial" w:eastAsia="Times New Roman" w:hAnsi="Arial" w:cs="Arial"/>
          <w:color w:val="222222"/>
        </w:rPr>
        <w:t xml:space="preserve"> key challenge that to</w:t>
      </w:r>
      <w:r>
        <w:rPr>
          <w:rFonts w:ascii="Arial" w:eastAsia="Times New Roman" w:hAnsi="Arial" w:cs="Arial"/>
          <w:color w:val="222222"/>
        </w:rPr>
        <w:t xml:space="preserve"> fully</w:t>
      </w:r>
      <w:r w:rsidR="00943E45" w:rsidRPr="00572F3E">
        <w:rPr>
          <w:rFonts w:ascii="Arial" w:eastAsia="Times New Roman" w:hAnsi="Arial" w:cs="Arial"/>
          <w:color w:val="222222"/>
        </w:rPr>
        <w:t xml:space="preserve"> address will require significant funding outlays beyond current spending.</w:t>
      </w:r>
      <w:r w:rsidR="00943E45">
        <w:rPr>
          <w:rFonts w:ascii="Arial" w:eastAsia="Times New Roman" w:hAnsi="Arial" w:cs="Arial"/>
          <w:color w:val="222222"/>
        </w:rPr>
        <w:t xml:space="preserve"> The analysis in IC 2.0</w:t>
      </w:r>
      <w:r w:rsidR="0036135A">
        <w:rPr>
          <w:rFonts w:ascii="Arial" w:eastAsia="Times New Roman" w:hAnsi="Arial" w:cs="Arial"/>
          <w:color w:val="222222"/>
        </w:rPr>
        <w:t>,</w:t>
      </w:r>
      <w:r w:rsidR="00943E45">
        <w:rPr>
          <w:rFonts w:ascii="Arial" w:eastAsia="Times New Roman" w:hAnsi="Arial" w:cs="Arial"/>
          <w:color w:val="222222"/>
        </w:rPr>
        <w:t xml:space="preserve"> which focuses on optimization of prevention spending based on cost-effectiveness within tight resource constraints</w:t>
      </w:r>
      <w:r w:rsidR="0036135A">
        <w:rPr>
          <w:rFonts w:ascii="Arial" w:eastAsia="Times New Roman" w:hAnsi="Arial" w:cs="Arial"/>
          <w:color w:val="222222"/>
        </w:rPr>
        <w:t>,</w:t>
      </w:r>
      <w:r w:rsidR="00943E45">
        <w:rPr>
          <w:rFonts w:ascii="Arial" w:eastAsia="Times New Roman" w:hAnsi="Arial" w:cs="Arial"/>
          <w:color w:val="222222"/>
        </w:rPr>
        <w:t xml:space="preserve"> does not make it easy to justify spending on th</w:t>
      </w:r>
      <w:r>
        <w:rPr>
          <w:rFonts w:ascii="Arial" w:eastAsia="Times New Roman" w:hAnsi="Arial" w:cs="Arial"/>
          <w:color w:val="222222"/>
        </w:rPr>
        <w:t>is</w:t>
      </w:r>
      <w:r w:rsidR="00943E45">
        <w:rPr>
          <w:rFonts w:ascii="Arial" w:eastAsia="Times New Roman" w:hAnsi="Arial" w:cs="Arial"/>
          <w:color w:val="222222"/>
        </w:rPr>
        <w:t xml:space="preserve"> innovative program, since </w:t>
      </w:r>
      <w:r>
        <w:rPr>
          <w:rFonts w:ascii="Arial" w:eastAsia="Times New Roman" w:hAnsi="Arial" w:cs="Arial"/>
          <w:color w:val="222222"/>
        </w:rPr>
        <w:t>it is very expensive compared to equally important but less costly prevention interventions like VMMC and condoms</w:t>
      </w:r>
      <w:r w:rsidR="00943E45">
        <w:rPr>
          <w:rFonts w:ascii="Arial" w:eastAsia="Times New Roman" w:hAnsi="Arial" w:cs="Arial"/>
          <w:color w:val="222222"/>
        </w:rPr>
        <w:t xml:space="preserve">.  Modeling for IC 2.0 suggests that a comprehensive prevention package for AGYW would cost </w:t>
      </w:r>
      <w:r w:rsidR="00943E45">
        <w:rPr>
          <w:rFonts w:ascii="Arial" w:hAnsi="Arial" w:cs="Arial"/>
        </w:rPr>
        <w:t>USD 150 M annually in 20</w:t>
      </w:r>
      <w:r w:rsidR="0036135A">
        <w:rPr>
          <w:rFonts w:ascii="Arial" w:hAnsi="Arial" w:cs="Arial"/>
        </w:rPr>
        <w:t xml:space="preserve">20, rising </w:t>
      </w:r>
      <w:r w:rsidR="00943E45">
        <w:rPr>
          <w:rFonts w:ascii="Arial" w:hAnsi="Arial" w:cs="Arial"/>
        </w:rPr>
        <w:t xml:space="preserve">to USD 275 M by 2030 – more than half of </w:t>
      </w:r>
      <w:r>
        <w:rPr>
          <w:rFonts w:ascii="Arial" w:hAnsi="Arial" w:cs="Arial"/>
        </w:rPr>
        <w:t>what</w:t>
      </w:r>
      <w:r w:rsidR="00943E45">
        <w:rPr>
          <w:rFonts w:ascii="Arial" w:hAnsi="Arial" w:cs="Arial"/>
        </w:rPr>
        <w:t xml:space="preserve"> Tanzania is spending </w:t>
      </w:r>
      <w:r>
        <w:rPr>
          <w:rFonts w:ascii="Arial" w:hAnsi="Arial" w:cs="Arial"/>
        </w:rPr>
        <w:t xml:space="preserve">in total </w:t>
      </w:r>
      <w:r w:rsidR="00943E45">
        <w:rPr>
          <w:rFonts w:ascii="Arial" w:hAnsi="Arial" w:cs="Arial"/>
        </w:rPr>
        <w:t xml:space="preserve">to fight AIDS. It is difficult to see </w:t>
      </w:r>
      <w:r w:rsidR="00943E45">
        <w:rPr>
          <w:rFonts w:ascii="Arial" w:eastAsia="Times New Roman" w:hAnsi="Arial" w:cs="Arial"/>
          <w:color w:val="222222"/>
        </w:rPr>
        <w:t>where the</w:t>
      </w:r>
      <w:r w:rsidR="0036135A">
        <w:rPr>
          <w:rFonts w:ascii="Arial" w:eastAsia="Times New Roman" w:hAnsi="Arial" w:cs="Arial"/>
          <w:color w:val="222222"/>
        </w:rPr>
        <w:t xml:space="preserve"> additional</w:t>
      </w:r>
      <w:r w:rsidR="00943E45">
        <w:rPr>
          <w:rFonts w:ascii="Arial" w:eastAsia="Times New Roman" w:hAnsi="Arial" w:cs="Arial"/>
          <w:color w:val="222222"/>
        </w:rPr>
        <w:t xml:space="preserve"> funds would come from. However, </w:t>
      </w:r>
      <w:r w:rsidR="00943E45" w:rsidRPr="006F2BDD">
        <w:rPr>
          <w:rFonts w:ascii="Arial" w:eastAsia="Times New Roman" w:hAnsi="Arial" w:cs="Arial"/>
          <w:color w:val="222222"/>
        </w:rPr>
        <w:t xml:space="preserve">given the </w:t>
      </w:r>
      <w:r w:rsidR="00943E45">
        <w:rPr>
          <w:rFonts w:ascii="Arial" w:eastAsia="Times New Roman" w:hAnsi="Arial" w:cs="Arial"/>
          <w:color w:val="222222"/>
        </w:rPr>
        <w:t>long-run payoffs from protecting adolescent girls and young women from HIV infection, extra investments in these areas may be justified. P</w:t>
      </w:r>
      <w:r w:rsidR="00943E45" w:rsidRPr="006F2BDD">
        <w:rPr>
          <w:rFonts w:ascii="Arial" w:eastAsia="Times New Roman" w:hAnsi="Arial" w:cs="Arial"/>
          <w:color w:val="222222"/>
        </w:rPr>
        <w:t>articularly in the case of AGYW</w:t>
      </w:r>
      <w:r w:rsidR="00943E45">
        <w:rPr>
          <w:rFonts w:ascii="Arial" w:eastAsia="Times New Roman" w:hAnsi="Arial" w:cs="Arial"/>
          <w:color w:val="222222"/>
        </w:rPr>
        <w:t>, where the benefits of female empowerment are wider than in HIV and health (for example, in increased girls</w:t>
      </w:r>
      <w:r>
        <w:rPr>
          <w:rFonts w:ascii="Arial" w:eastAsia="Times New Roman" w:hAnsi="Arial" w:cs="Arial"/>
          <w:color w:val="222222"/>
        </w:rPr>
        <w:t>’</w:t>
      </w:r>
      <w:r w:rsidR="00943E45">
        <w:rPr>
          <w:rFonts w:ascii="Arial" w:eastAsia="Times New Roman" w:hAnsi="Arial" w:cs="Arial"/>
          <w:color w:val="222222"/>
        </w:rPr>
        <w:t xml:space="preserve"> education and livelihoods), the extra costs of the program should be shared with other sectors and ministries</w:t>
      </w:r>
      <w:r>
        <w:rPr>
          <w:rFonts w:ascii="Arial" w:eastAsia="Times New Roman" w:hAnsi="Arial" w:cs="Arial"/>
          <w:color w:val="222222"/>
        </w:rPr>
        <w:t>.</w:t>
      </w:r>
    </w:p>
    <w:p w14:paraId="21E7E8B6" w14:textId="77777777" w:rsidR="00916032" w:rsidRPr="00D30B8B" w:rsidRDefault="00916032" w:rsidP="00916032">
      <w:pPr>
        <w:shd w:val="clear" w:color="auto" w:fill="FFFFFF"/>
        <w:spacing w:after="0" w:line="240" w:lineRule="auto"/>
        <w:rPr>
          <w:rFonts w:ascii="Arial" w:eastAsia="Times New Roman" w:hAnsi="Arial" w:cs="Arial"/>
          <w:i/>
          <w:iCs/>
          <w:color w:val="222222"/>
        </w:rPr>
      </w:pPr>
    </w:p>
    <w:p w14:paraId="58D349A9" w14:textId="2F74719C" w:rsidR="00916032" w:rsidRPr="00ED4657" w:rsidRDefault="00916032" w:rsidP="00ED4657">
      <w:pPr>
        <w:pStyle w:val="ListParagraph"/>
        <w:numPr>
          <w:ilvl w:val="0"/>
          <w:numId w:val="60"/>
        </w:numPr>
        <w:spacing w:after="160" w:line="259" w:lineRule="auto"/>
      </w:pPr>
      <w:r>
        <w:rPr>
          <w:rFonts w:ascii="Arial" w:eastAsia="Times New Roman" w:hAnsi="Arial" w:cs="Arial"/>
          <w:i/>
          <w:iCs/>
          <w:color w:val="222222"/>
        </w:rPr>
        <w:t>Tanzania can rise to the challenges presented here</w:t>
      </w:r>
    </w:p>
    <w:p w14:paraId="3CBDBBD3" w14:textId="02087EBE" w:rsidR="00916032" w:rsidRDefault="00916032" w:rsidP="00916032">
      <w:pPr>
        <w:shd w:val="clear" w:color="auto" w:fill="FFFFFF"/>
        <w:spacing w:after="0" w:line="240" w:lineRule="auto"/>
        <w:rPr>
          <w:rFonts w:ascii="Arial" w:eastAsia="Times New Roman" w:hAnsi="Arial" w:cs="Arial"/>
          <w:color w:val="222222"/>
        </w:rPr>
      </w:pPr>
      <w:r w:rsidRPr="00D30B8B">
        <w:rPr>
          <w:rFonts w:ascii="Arial" w:eastAsia="Times New Roman" w:hAnsi="Arial" w:cs="Arial"/>
          <w:color w:val="222222"/>
        </w:rPr>
        <w:t xml:space="preserve">Although this challenge is difficult and daunting, Tanzania could </w:t>
      </w:r>
      <w:r>
        <w:rPr>
          <w:rFonts w:ascii="Arial" w:eastAsia="Times New Roman" w:hAnsi="Arial" w:cs="Arial"/>
          <w:color w:val="222222"/>
        </w:rPr>
        <w:t xml:space="preserve">continue to advance toward the </w:t>
      </w:r>
      <w:r w:rsidRPr="00D30B8B">
        <w:rPr>
          <w:rFonts w:ascii="Arial" w:eastAsia="Times New Roman" w:hAnsi="Arial" w:cs="Arial"/>
          <w:color w:val="222222"/>
        </w:rPr>
        <w:t xml:space="preserve">Fast Track targets </w:t>
      </w:r>
      <w:r>
        <w:rPr>
          <w:rFonts w:ascii="Arial" w:eastAsia="Times New Roman" w:hAnsi="Arial" w:cs="Arial"/>
          <w:color w:val="222222"/>
        </w:rPr>
        <w:t xml:space="preserve">for 2030 and move </w:t>
      </w:r>
      <w:r w:rsidRPr="00D30B8B">
        <w:rPr>
          <w:rFonts w:ascii="Arial" w:eastAsia="Times New Roman" w:hAnsi="Arial" w:cs="Arial"/>
          <w:color w:val="222222"/>
        </w:rPr>
        <w:t>to epidemic control</w:t>
      </w:r>
      <w:r>
        <w:rPr>
          <w:rFonts w:ascii="Arial" w:eastAsia="Times New Roman" w:hAnsi="Arial" w:cs="Arial"/>
          <w:color w:val="222222"/>
        </w:rPr>
        <w:t xml:space="preserve"> if the country follows a dual strategy, along the lines of what is contained in IC 2.0, to (a) pursue optimization of spending (allocative and technical efficiencies</w:t>
      </w:r>
      <w:r w:rsidR="00FF5C7F">
        <w:rPr>
          <w:rFonts w:ascii="Arial" w:eastAsia="Times New Roman" w:hAnsi="Arial" w:cs="Arial"/>
          <w:color w:val="222222"/>
        </w:rPr>
        <w:t xml:space="preserve"> and efficient testing</w:t>
      </w:r>
      <w:r>
        <w:rPr>
          <w:rFonts w:ascii="Arial" w:eastAsia="Times New Roman" w:hAnsi="Arial" w:cs="Arial"/>
          <w:color w:val="222222"/>
        </w:rPr>
        <w:t xml:space="preserve">) and (b) mobilize feasible levels </w:t>
      </w:r>
      <w:r w:rsidRPr="00D30B8B">
        <w:rPr>
          <w:rFonts w:ascii="Arial" w:eastAsia="Times New Roman" w:hAnsi="Arial" w:cs="Arial"/>
          <w:color w:val="222222"/>
        </w:rPr>
        <w:t xml:space="preserve">of domestic financing. </w:t>
      </w:r>
      <w:r>
        <w:rPr>
          <w:rFonts w:ascii="Arial" w:eastAsia="Times New Roman" w:hAnsi="Arial" w:cs="Arial"/>
          <w:color w:val="222222"/>
        </w:rPr>
        <w:t xml:space="preserve">In this sense, IC </w:t>
      </w:r>
      <w:r w:rsidRPr="00D30B8B">
        <w:rPr>
          <w:rFonts w:ascii="Arial" w:eastAsia="Times New Roman" w:hAnsi="Arial" w:cs="Arial"/>
          <w:color w:val="222222"/>
        </w:rPr>
        <w:t xml:space="preserve">2.0 </w:t>
      </w:r>
      <w:r>
        <w:rPr>
          <w:rFonts w:ascii="Arial" w:eastAsia="Times New Roman" w:hAnsi="Arial" w:cs="Arial"/>
          <w:color w:val="222222"/>
        </w:rPr>
        <w:t xml:space="preserve">could help to promote a health policy dialogue around </w:t>
      </w:r>
      <w:r w:rsidRPr="00D30B8B">
        <w:rPr>
          <w:rFonts w:ascii="Arial" w:eastAsia="Times New Roman" w:hAnsi="Arial" w:cs="Arial"/>
          <w:color w:val="222222"/>
        </w:rPr>
        <w:t>focus</w:t>
      </w:r>
      <w:r>
        <w:rPr>
          <w:rFonts w:ascii="Arial" w:eastAsia="Times New Roman" w:hAnsi="Arial" w:cs="Arial"/>
          <w:color w:val="222222"/>
        </w:rPr>
        <w:t>ing</w:t>
      </w:r>
      <w:r w:rsidRPr="00D30B8B">
        <w:rPr>
          <w:rFonts w:ascii="Arial" w:eastAsia="Times New Roman" w:hAnsi="Arial" w:cs="Arial"/>
          <w:color w:val="222222"/>
        </w:rPr>
        <w:t xml:space="preserve"> on efficiency and greater country financial responsibility</w:t>
      </w:r>
      <w:r>
        <w:rPr>
          <w:rFonts w:ascii="Arial" w:eastAsia="Times New Roman" w:hAnsi="Arial" w:cs="Arial"/>
          <w:color w:val="222222"/>
        </w:rPr>
        <w:t xml:space="preserve">, rather than advocating for large and unrealistic amounts of extra external funding. </w:t>
      </w:r>
    </w:p>
    <w:p w14:paraId="55DB68EA" w14:textId="77777777" w:rsidR="00916032" w:rsidRDefault="00916032" w:rsidP="00916032">
      <w:pPr>
        <w:shd w:val="clear" w:color="auto" w:fill="FFFFFF"/>
        <w:spacing w:after="0" w:line="240" w:lineRule="auto"/>
        <w:rPr>
          <w:rFonts w:ascii="Arial" w:eastAsia="Times New Roman" w:hAnsi="Arial" w:cs="Arial"/>
          <w:color w:val="222222"/>
        </w:rPr>
      </w:pPr>
    </w:p>
    <w:p w14:paraId="7F4FD8FD" w14:textId="77777777" w:rsidR="00CC2044" w:rsidRDefault="00CC2044" w:rsidP="00916032">
      <w:pPr>
        <w:shd w:val="clear" w:color="auto" w:fill="FFFFFF"/>
        <w:spacing w:after="0" w:line="240" w:lineRule="auto"/>
        <w:rPr>
          <w:rFonts w:ascii="Arial" w:eastAsia="Times New Roman" w:hAnsi="Arial" w:cs="Arial"/>
          <w:color w:val="222222"/>
        </w:rPr>
      </w:pPr>
    </w:p>
    <w:p w14:paraId="5D54BBFD" w14:textId="5AF83681" w:rsidR="00916032" w:rsidRPr="00D30B8B" w:rsidRDefault="00916032"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T</w:t>
      </w:r>
      <w:r w:rsidRPr="00D30B8B">
        <w:rPr>
          <w:rFonts w:ascii="Arial" w:eastAsia="Times New Roman" w:hAnsi="Arial" w:cs="Arial"/>
          <w:color w:val="222222"/>
        </w:rPr>
        <w:t xml:space="preserve">he main recommendations of the investment case include: </w:t>
      </w:r>
    </w:p>
    <w:p w14:paraId="16BCB0BB"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5FD4A4E9" w14:textId="77777777" w:rsidR="00916032" w:rsidRPr="0076637B" w:rsidRDefault="00916032" w:rsidP="00916032">
      <w:pPr>
        <w:pStyle w:val="ListParagraph"/>
        <w:numPr>
          <w:ilvl w:val="0"/>
          <w:numId w:val="59"/>
        </w:numPr>
        <w:shd w:val="clear" w:color="auto" w:fill="FFFFFF"/>
        <w:spacing w:after="0" w:line="240" w:lineRule="auto"/>
        <w:ind w:left="360"/>
        <w:rPr>
          <w:rFonts w:ascii="Arial" w:eastAsia="Times New Roman" w:hAnsi="Arial" w:cs="Arial"/>
          <w:color w:val="222222"/>
        </w:rPr>
      </w:pPr>
      <w:r w:rsidRPr="0076637B">
        <w:rPr>
          <w:rFonts w:ascii="Arial" w:eastAsia="Times New Roman" w:hAnsi="Arial" w:cs="Arial"/>
          <w:color w:val="222222"/>
        </w:rPr>
        <w:t xml:space="preserve">Even in </w:t>
      </w:r>
      <w:r>
        <w:rPr>
          <w:rFonts w:ascii="Arial" w:eastAsia="Times New Roman" w:hAnsi="Arial" w:cs="Arial"/>
          <w:color w:val="222222"/>
        </w:rPr>
        <w:t xml:space="preserve">the </w:t>
      </w:r>
      <w:r w:rsidRPr="0076637B">
        <w:rPr>
          <w:rFonts w:ascii="Arial" w:eastAsia="Times New Roman" w:hAnsi="Arial" w:cs="Arial"/>
          <w:color w:val="222222"/>
        </w:rPr>
        <w:t>best case</w:t>
      </w:r>
      <w:r>
        <w:rPr>
          <w:rFonts w:ascii="Arial" w:eastAsia="Times New Roman" w:hAnsi="Arial" w:cs="Arial"/>
          <w:color w:val="222222"/>
        </w:rPr>
        <w:t xml:space="preserve">s for </w:t>
      </w:r>
      <w:r w:rsidRPr="0076637B">
        <w:rPr>
          <w:rFonts w:ascii="Arial" w:eastAsia="Times New Roman" w:hAnsi="Arial" w:cs="Arial"/>
          <w:color w:val="222222"/>
        </w:rPr>
        <w:t>funding</w:t>
      </w:r>
      <w:r>
        <w:rPr>
          <w:rFonts w:ascii="Arial" w:eastAsia="Times New Roman" w:hAnsi="Arial" w:cs="Arial"/>
          <w:color w:val="222222"/>
        </w:rPr>
        <w:t xml:space="preserve">, </w:t>
      </w:r>
      <w:r w:rsidRPr="0076637B">
        <w:rPr>
          <w:rFonts w:ascii="Arial" w:eastAsia="Times New Roman" w:hAnsi="Arial" w:cs="Arial"/>
          <w:color w:val="222222"/>
        </w:rPr>
        <w:t>optimization of prevention and treatment programs must be pursued</w:t>
      </w:r>
      <w:r>
        <w:rPr>
          <w:rFonts w:ascii="Arial" w:eastAsia="Times New Roman" w:hAnsi="Arial" w:cs="Arial"/>
          <w:color w:val="222222"/>
        </w:rPr>
        <w:t>.</w:t>
      </w:r>
    </w:p>
    <w:p w14:paraId="7BC77A93" w14:textId="38988302" w:rsidR="00916032" w:rsidRPr="00D30B8B" w:rsidRDefault="00916032" w:rsidP="00916032">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 xml:space="preserve">Optimization means shifting prevention resources from </w:t>
      </w:r>
      <w:r w:rsidRPr="00D30B8B">
        <w:rPr>
          <w:rFonts w:ascii="Arial" w:eastAsia="Times New Roman" w:hAnsi="Arial" w:cs="Arial"/>
          <w:color w:val="222222"/>
        </w:rPr>
        <w:t xml:space="preserve">less cost-effective interventions to </w:t>
      </w:r>
      <w:r>
        <w:rPr>
          <w:rFonts w:ascii="Arial" w:eastAsia="Times New Roman" w:hAnsi="Arial" w:cs="Arial"/>
          <w:color w:val="222222"/>
        </w:rPr>
        <w:t>the most</w:t>
      </w:r>
      <w:r w:rsidRPr="00D30B8B">
        <w:rPr>
          <w:rFonts w:ascii="Arial" w:eastAsia="Times New Roman" w:hAnsi="Arial" w:cs="Arial"/>
          <w:color w:val="222222"/>
        </w:rPr>
        <w:t xml:space="preserve"> cost-effective interventions</w:t>
      </w:r>
      <w:r>
        <w:rPr>
          <w:rFonts w:ascii="Arial" w:eastAsia="Times New Roman" w:hAnsi="Arial" w:cs="Arial"/>
          <w:color w:val="222222"/>
        </w:rPr>
        <w:t xml:space="preserve">. Assuming </w:t>
      </w:r>
      <w:r w:rsidR="00C527FE">
        <w:rPr>
          <w:rFonts w:ascii="Arial" w:eastAsia="Times New Roman" w:hAnsi="Arial" w:cs="Arial"/>
          <w:color w:val="222222"/>
        </w:rPr>
        <w:t>Constant Coverage</w:t>
      </w:r>
      <w:r>
        <w:rPr>
          <w:rFonts w:ascii="Arial" w:eastAsia="Times New Roman" w:hAnsi="Arial" w:cs="Arial"/>
          <w:color w:val="222222"/>
        </w:rPr>
        <w:t xml:space="preserve"> funding levels are maintained, this would entail a reallocation of USD 175 M to VMMC, condoms, and FSW prevention services over the coming decade. </w:t>
      </w:r>
    </w:p>
    <w:p w14:paraId="2EB643E0" w14:textId="1144F9B0" w:rsidR="00916032" w:rsidRDefault="00916032" w:rsidP="00916032">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Optimization requires that Tanzania and its donor partners c</w:t>
      </w:r>
      <w:r w:rsidRPr="00D30B8B">
        <w:rPr>
          <w:rFonts w:ascii="Arial" w:eastAsia="Times New Roman" w:hAnsi="Arial" w:cs="Arial"/>
          <w:color w:val="222222"/>
        </w:rPr>
        <w:t>ommit</w:t>
      </w:r>
      <w:r>
        <w:rPr>
          <w:rFonts w:ascii="Arial" w:eastAsia="Times New Roman" w:hAnsi="Arial" w:cs="Arial"/>
          <w:color w:val="222222"/>
        </w:rPr>
        <w:t>ting</w:t>
      </w:r>
      <w:r w:rsidRPr="00D30B8B">
        <w:rPr>
          <w:rFonts w:ascii="Arial" w:eastAsia="Times New Roman" w:hAnsi="Arial" w:cs="Arial"/>
          <w:color w:val="222222"/>
        </w:rPr>
        <w:t xml:space="preserve"> to</w:t>
      </w:r>
      <w:r w:rsidR="00FF5C7F">
        <w:rPr>
          <w:rFonts w:ascii="Arial" w:eastAsia="Times New Roman" w:hAnsi="Arial" w:cs="Arial"/>
          <w:color w:val="222222"/>
        </w:rPr>
        <w:t xml:space="preserve"> ART</w:t>
      </w:r>
      <w:r w:rsidRPr="00D30B8B">
        <w:rPr>
          <w:rFonts w:ascii="Arial" w:eastAsia="Times New Roman" w:hAnsi="Arial" w:cs="Arial"/>
          <w:color w:val="222222"/>
        </w:rPr>
        <w:t xml:space="preserve"> efficiency gains in Dolutegravir-based first-line regimens, more streamlined lab algorithms for stable patients, and community-based delivery of support services fo</w:t>
      </w:r>
      <w:r>
        <w:rPr>
          <w:rFonts w:ascii="Arial" w:eastAsia="Times New Roman" w:hAnsi="Arial" w:cs="Arial"/>
          <w:color w:val="222222"/>
        </w:rPr>
        <w:t xml:space="preserve">r PLHIV on ART.  This could save over USD 50 million annually – 10% if what is currently being spent to fight AIDS in Tanzania. </w:t>
      </w:r>
    </w:p>
    <w:p w14:paraId="1E2B9F92" w14:textId="0DAFFF3E" w:rsidR="00FF5C7F" w:rsidRPr="002E0189" w:rsidRDefault="0036135A" w:rsidP="002E0189">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Implementing a</w:t>
      </w:r>
      <w:r w:rsidRPr="004D30CA">
        <w:rPr>
          <w:rFonts w:ascii="Arial" w:eastAsia="Times New Roman" w:hAnsi="Arial" w:cs="Arial"/>
          <w:color w:val="222222"/>
        </w:rPr>
        <w:t xml:space="preserve"> more efficient testing strategy</w:t>
      </w:r>
      <w:r>
        <w:rPr>
          <w:rFonts w:ascii="Arial" w:eastAsia="Times New Roman" w:hAnsi="Arial" w:cs="Arial"/>
          <w:color w:val="222222"/>
        </w:rPr>
        <w:t>, expanding on recent efforts by government and donors to prioritize cost-effective modalities with high yield,</w:t>
      </w:r>
      <w:r w:rsidRPr="004D30CA">
        <w:rPr>
          <w:rFonts w:ascii="Arial" w:eastAsia="Times New Roman" w:hAnsi="Arial" w:cs="Arial"/>
          <w:color w:val="222222"/>
        </w:rPr>
        <w:t xml:space="preserve"> will cost less and help close the first 90 gap, reaching 90% of PLHIV aware of their status by 2025</w:t>
      </w:r>
      <w:r w:rsidR="00714721" w:rsidRPr="002E0189">
        <w:rPr>
          <w:rFonts w:ascii="Arial" w:eastAsia="Times New Roman" w:hAnsi="Arial" w:cs="Arial"/>
          <w:color w:val="222222"/>
        </w:rPr>
        <w:t>.</w:t>
      </w:r>
    </w:p>
    <w:p w14:paraId="2156C690" w14:textId="77777777" w:rsidR="00916032" w:rsidRDefault="00916032" w:rsidP="00916032">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Domestic resource mobilization must be strengthened, with feasible increases of USD 10-15 M</w:t>
      </w:r>
      <w:r w:rsidRPr="00D30B8B">
        <w:rPr>
          <w:rFonts w:ascii="Arial" w:eastAsia="Times New Roman" w:hAnsi="Arial" w:cs="Arial"/>
          <w:color w:val="222222"/>
        </w:rPr>
        <w:t xml:space="preserve"> </w:t>
      </w:r>
      <w:r>
        <w:rPr>
          <w:rFonts w:ascii="Arial" w:eastAsia="Times New Roman" w:hAnsi="Arial" w:cs="Arial"/>
          <w:color w:val="222222"/>
        </w:rPr>
        <w:t xml:space="preserve">a year and a goal of </w:t>
      </w:r>
      <w:r w:rsidRPr="00D30B8B">
        <w:rPr>
          <w:rFonts w:ascii="Arial" w:eastAsia="Times New Roman" w:hAnsi="Arial" w:cs="Arial"/>
          <w:color w:val="222222"/>
        </w:rPr>
        <w:t xml:space="preserve">reaching </w:t>
      </w:r>
      <w:r>
        <w:rPr>
          <w:rFonts w:ascii="Arial" w:eastAsia="Times New Roman" w:hAnsi="Arial" w:cs="Arial"/>
          <w:color w:val="222222"/>
        </w:rPr>
        <w:t>USD 175 M annually in domestic spending</w:t>
      </w:r>
      <w:r w:rsidRPr="00D30B8B">
        <w:rPr>
          <w:rFonts w:ascii="Arial" w:eastAsia="Times New Roman" w:hAnsi="Arial" w:cs="Arial"/>
          <w:color w:val="222222"/>
        </w:rPr>
        <w:t xml:space="preserve"> by 2030</w:t>
      </w:r>
      <w:r>
        <w:rPr>
          <w:rFonts w:ascii="Arial" w:eastAsia="Times New Roman" w:hAnsi="Arial" w:cs="Arial"/>
          <w:color w:val="222222"/>
        </w:rPr>
        <w:t>.</w:t>
      </w:r>
    </w:p>
    <w:p w14:paraId="5E6FCDBD" w14:textId="54A34487" w:rsidR="000B2682" w:rsidRDefault="00916032" w:rsidP="000B2682">
      <w:pPr>
        <w:pStyle w:val="ListParagraph"/>
        <w:numPr>
          <w:ilvl w:val="0"/>
          <w:numId w:val="59"/>
        </w:numPr>
        <w:shd w:val="clear" w:color="auto" w:fill="FFFFFF"/>
        <w:spacing w:after="0" w:line="240" w:lineRule="auto"/>
        <w:ind w:left="360"/>
        <w:rPr>
          <w:rFonts w:ascii="Arial" w:eastAsia="Times New Roman" w:hAnsi="Arial" w:cs="Arial"/>
          <w:color w:val="222222"/>
        </w:rPr>
      </w:pPr>
      <w:r>
        <w:rPr>
          <w:rFonts w:ascii="Arial" w:eastAsia="Times New Roman" w:hAnsi="Arial" w:cs="Arial"/>
          <w:color w:val="222222"/>
        </w:rPr>
        <w:t xml:space="preserve">Domestic resource mobilization mechanisms include increasing the government budget to HIV, adding HIV as a benefit to the National Health Insurance Fund, and using the AIDS Trust Fund. </w:t>
      </w:r>
    </w:p>
    <w:p w14:paraId="1688D04E" w14:textId="7F1CFF7F" w:rsidR="000B2682" w:rsidRDefault="000B2682" w:rsidP="000B2682">
      <w:pPr>
        <w:shd w:val="clear" w:color="auto" w:fill="FFFFFF"/>
        <w:spacing w:after="0" w:line="240" w:lineRule="auto"/>
        <w:rPr>
          <w:rFonts w:ascii="Arial" w:eastAsia="Times New Roman" w:hAnsi="Arial" w:cs="Arial"/>
          <w:color w:val="222222"/>
        </w:rPr>
      </w:pPr>
    </w:p>
    <w:p w14:paraId="1682958A" w14:textId="75866050" w:rsidR="000B2682" w:rsidRDefault="000B2682" w:rsidP="000B2682">
      <w:pPr>
        <w:pStyle w:val="Heading2"/>
        <w:rPr>
          <w:rFonts w:ascii="Arial" w:hAnsi="Arial" w:cs="Arial"/>
          <w:b/>
          <w:bCs/>
        </w:rPr>
      </w:pPr>
      <w:bookmarkStart w:id="135" w:name="_Toc57035228"/>
      <w:r>
        <w:rPr>
          <w:rFonts w:ascii="Arial" w:hAnsi="Arial" w:cs="Arial"/>
          <w:b/>
          <w:bCs/>
        </w:rPr>
        <w:t>Achieving maximum impact</w:t>
      </w:r>
      <w:bookmarkEnd w:id="135"/>
    </w:p>
    <w:p w14:paraId="18F94650" w14:textId="2E0B17F2" w:rsidR="000B2682" w:rsidRDefault="000B2682" w:rsidP="00CC2044">
      <w:pPr>
        <w:spacing w:after="0"/>
      </w:pPr>
    </w:p>
    <w:p w14:paraId="7AA2712F" w14:textId="35C85F66" w:rsidR="000B2682" w:rsidRPr="00A178D1" w:rsidRDefault="000B2682" w:rsidP="00A178D1">
      <w:pPr>
        <w:pStyle w:val="Heading3"/>
        <w:rPr>
          <w:rFonts w:ascii="Arial" w:hAnsi="Arial" w:cs="Arial"/>
          <w:i/>
          <w:iCs/>
        </w:rPr>
      </w:pPr>
      <w:bookmarkStart w:id="136" w:name="_Toc57035229"/>
      <w:r w:rsidRPr="00A178D1">
        <w:rPr>
          <w:rFonts w:ascii="Arial" w:hAnsi="Arial" w:cs="Arial"/>
          <w:i/>
          <w:iCs/>
          <w:color w:val="000000" w:themeColor="text1"/>
        </w:rPr>
        <w:t>Operationalizing the IC recommendations</w:t>
      </w:r>
      <w:bookmarkEnd w:id="136"/>
    </w:p>
    <w:p w14:paraId="0652A2B8" w14:textId="77777777" w:rsidR="00916032" w:rsidRPr="00D30B8B" w:rsidRDefault="00916032" w:rsidP="00916032">
      <w:pPr>
        <w:shd w:val="clear" w:color="auto" w:fill="FFFFFF"/>
        <w:spacing w:after="0" w:line="240" w:lineRule="auto"/>
        <w:rPr>
          <w:rFonts w:ascii="Arial" w:eastAsia="Times New Roman" w:hAnsi="Arial" w:cs="Arial"/>
          <w:color w:val="222222"/>
        </w:rPr>
      </w:pPr>
    </w:p>
    <w:p w14:paraId="2B392A70" w14:textId="17F8A58F" w:rsidR="00916032" w:rsidRDefault="00916032"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Clearly, these changes in the composition, management, and financing of the national HIV response will be difficult to implement.  If funds are to be shifted away from certain prevention services such as BCC, painful reductions in certain existing programs will need to take place.  At the same time, capacity to cope with and manage effectively areas of expanded prevention such as VMMC and female sex worker services will have to be built up rapidly.  The same can be said for actions to increase the efficiency of </w:t>
      </w:r>
      <w:r w:rsidR="00ED4657">
        <w:rPr>
          <w:rFonts w:ascii="Arial" w:eastAsia="Times New Roman" w:hAnsi="Arial" w:cs="Arial"/>
          <w:color w:val="222222"/>
        </w:rPr>
        <w:t>HIV</w:t>
      </w:r>
      <w:r>
        <w:rPr>
          <w:rFonts w:ascii="Arial" w:eastAsia="Times New Roman" w:hAnsi="Arial" w:cs="Arial"/>
          <w:color w:val="222222"/>
        </w:rPr>
        <w:t xml:space="preserve"> treatment and save tens of millions of dollars – this will require challenging efforts by Tanzania to change its policies and practices surrounding lab testing for stable patients and to expand community-based adherence support.</w:t>
      </w:r>
    </w:p>
    <w:p w14:paraId="4B1DCA00" w14:textId="77777777" w:rsidR="00916032" w:rsidRDefault="00916032" w:rsidP="00916032">
      <w:pPr>
        <w:shd w:val="clear" w:color="auto" w:fill="FFFFFF"/>
        <w:spacing w:after="0" w:line="240" w:lineRule="auto"/>
        <w:rPr>
          <w:rFonts w:ascii="Arial" w:eastAsia="Times New Roman" w:hAnsi="Arial" w:cs="Arial"/>
          <w:color w:val="222222"/>
        </w:rPr>
      </w:pPr>
    </w:p>
    <w:p w14:paraId="50DB4E7F" w14:textId="77777777" w:rsidR="00916032" w:rsidRDefault="00916032"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Similarly, there is no doubt that it will be hard for Tanzania to persuade its key donors to maintain their current levels of financial support, and the Ministry of Finance to expand steadily the amount of domestic funding going to the national HIV program.  For the former, TACAIDS and NACP will have to show strong progress toward targets for 2020 2025, and 2030, and evidence of improvements in program efficiency – and will have to hope that circumstances beyond the country’s control, such as the size of Global Fund replenishments, turn out to be favorable for Tanzania.  </w:t>
      </w:r>
    </w:p>
    <w:p w14:paraId="085F3894" w14:textId="77777777" w:rsidR="00916032" w:rsidRDefault="00916032" w:rsidP="00916032">
      <w:pPr>
        <w:shd w:val="clear" w:color="auto" w:fill="FFFFFF"/>
        <w:spacing w:after="0" w:line="240" w:lineRule="auto"/>
        <w:rPr>
          <w:rFonts w:ascii="Arial" w:eastAsia="Times New Roman" w:hAnsi="Arial" w:cs="Arial"/>
          <w:color w:val="222222"/>
        </w:rPr>
      </w:pPr>
    </w:p>
    <w:p w14:paraId="480A4275" w14:textId="0C1D0306" w:rsidR="00916032" w:rsidRDefault="00916032" w:rsidP="00916032">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For the latter, while there is no doubt that the USD 10-15 million a year increase in domestic public funding for AIDS is affordable for Tanzania, expanded allocations for HIV will have to compete with many other health priorities such as immunization, child health, and chronic disease management. Government and other advocates for HIV will thus have to make a strong case for more money from the health budget and national health insurance and for increased revenue collections in the AIDS Trust Fund.  This is happening in other nearby countries such as Kenya, Uganda, and Namibia, demonstrating that this is possible in Tanzania, too.</w:t>
      </w:r>
    </w:p>
    <w:p w14:paraId="5009A68A" w14:textId="5FC9DCA6" w:rsidR="00913F82" w:rsidRDefault="00913F82" w:rsidP="00916032">
      <w:pPr>
        <w:shd w:val="clear" w:color="auto" w:fill="FFFFFF"/>
        <w:spacing w:after="0" w:line="240" w:lineRule="auto"/>
        <w:rPr>
          <w:rFonts w:ascii="Arial" w:eastAsia="Times New Roman" w:hAnsi="Arial" w:cs="Arial"/>
          <w:color w:val="222222"/>
        </w:rPr>
      </w:pPr>
    </w:p>
    <w:p w14:paraId="5E22AE76" w14:textId="6FEDFC1C" w:rsidR="00171B31" w:rsidRDefault="00171B31" w:rsidP="002E0189">
      <w:pPr>
        <w:rPr>
          <w:rFonts w:ascii="Arial" w:eastAsia="Times New Roman" w:hAnsi="Arial" w:cs="Arial"/>
          <w:color w:val="222222"/>
        </w:rPr>
      </w:pPr>
      <w:r>
        <w:rPr>
          <w:rFonts w:ascii="Arial" w:eastAsia="Times New Roman" w:hAnsi="Arial" w:cs="Arial"/>
          <w:color w:val="222222"/>
        </w:rPr>
        <w:t>Suggested actions to facilitate the implementation of recommendations include:</w:t>
      </w:r>
    </w:p>
    <w:p w14:paraId="2BEFF3E0" w14:textId="2F6BA301" w:rsidR="00171B31" w:rsidRDefault="00171B31" w:rsidP="00916032">
      <w:pPr>
        <w:shd w:val="clear" w:color="auto" w:fill="FFFFFF"/>
        <w:spacing w:after="0" w:line="240" w:lineRule="auto"/>
        <w:rPr>
          <w:rFonts w:ascii="Arial" w:eastAsia="Times New Roman" w:hAnsi="Arial" w:cs="Arial"/>
          <w:color w:val="222222"/>
        </w:rPr>
      </w:pPr>
    </w:p>
    <w:p w14:paraId="54631563"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Revise allocations across prevention – some programs will have to give up a piece of their funding</w:t>
      </w:r>
    </w:p>
    <w:p w14:paraId="78386747" w14:textId="117B3C55" w:rsidR="00171B3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Implement the 3 highlighted treatment efficiencies as rapidly as possible</w:t>
      </w:r>
    </w:p>
    <w:p w14:paraId="3FC6426D" w14:textId="5A886221" w:rsidR="00714721" w:rsidRPr="00A178D1" w:rsidRDefault="00714721" w:rsidP="00171B31">
      <w:pPr>
        <w:numPr>
          <w:ilvl w:val="0"/>
          <w:numId w:val="68"/>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Scale the Ministry of Health’s HIV testing strategy, accounting for the IC 2.0 recommendations to save money and close testing program gaps</w:t>
      </w:r>
    </w:p>
    <w:p w14:paraId="26DF19B6"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Make the investment case to MoH and MoFP leadership for more domestic budget for HIV (USD 10-15 m/year for a decade)</w:t>
      </w:r>
    </w:p>
    <w:p w14:paraId="57EA2BF7"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Revise NHIF to include HIV testing and treatment as insured benefits</w:t>
      </w:r>
    </w:p>
    <w:p w14:paraId="4DA57C32"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Revitalize the AIDS Trust Fund</w:t>
      </w:r>
    </w:p>
    <w:p w14:paraId="609A5F5B"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Organize a high-level technical group on “Optimization” to agree on, set targets for, and monitor progress toward the recommendations of IC 2.0, with high level political oversight and support from TACAIDS, NACP, MoFP, and the major donors</w:t>
      </w:r>
    </w:p>
    <w:p w14:paraId="1D49140E"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Negotiate a “shared responsibility” plan with the key donors</w:t>
      </w:r>
    </w:p>
    <w:p w14:paraId="17932971" w14:textId="77777777" w:rsidR="00171B31" w:rsidRPr="00A178D1" w:rsidRDefault="00171B31" w:rsidP="00171B31">
      <w:pPr>
        <w:numPr>
          <w:ilvl w:val="0"/>
          <w:numId w:val="68"/>
        </w:numPr>
        <w:shd w:val="clear" w:color="auto" w:fill="FFFFFF"/>
        <w:spacing w:after="0" w:line="240" w:lineRule="auto"/>
        <w:rPr>
          <w:rFonts w:ascii="Arial" w:eastAsia="Times New Roman" w:hAnsi="Arial" w:cs="Arial"/>
          <w:color w:val="000000" w:themeColor="text1"/>
        </w:rPr>
      </w:pPr>
      <w:r w:rsidRPr="00A178D1">
        <w:rPr>
          <w:rFonts w:ascii="Arial" w:eastAsia="Times New Roman" w:hAnsi="Arial" w:cs="Arial"/>
          <w:color w:val="000000" w:themeColor="text1"/>
        </w:rPr>
        <w:t>Build the Optimization Plan into the next COP and the next Global Fund grant request</w:t>
      </w:r>
    </w:p>
    <w:p w14:paraId="4F5933E8" w14:textId="77777777" w:rsidR="00171B31" w:rsidRDefault="00171B31" w:rsidP="00916032">
      <w:pPr>
        <w:shd w:val="clear" w:color="auto" w:fill="FFFFFF"/>
        <w:spacing w:after="0" w:line="240" w:lineRule="auto"/>
        <w:rPr>
          <w:rFonts w:ascii="Arial" w:eastAsia="Times New Roman" w:hAnsi="Arial" w:cs="Arial"/>
          <w:color w:val="222222"/>
        </w:rPr>
      </w:pPr>
    </w:p>
    <w:p w14:paraId="4312718A" w14:textId="6F4AFF00" w:rsidR="00913F82" w:rsidRPr="00A178D1" w:rsidRDefault="00913F82" w:rsidP="00913F82">
      <w:pPr>
        <w:pStyle w:val="Heading3"/>
        <w:rPr>
          <w:rFonts w:ascii="Arial" w:hAnsi="Arial" w:cs="Arial"/>
          <w:i/>
          <w:iCs/>
          <w:color w:val="000000" w:themeColor="text1"/>
        </w:rPr>
      </w:pPr>
      <w:bookmarkStart w:id="137" w:name="_Toc57035230"/>
      <w:r w:rsidRPr="00A178D1">
        <w:rPr>
          <w:rFonts w:ascii="Arial" w:hAnsi="Arial" w:cs="Arial"/>
          <w:i/>
          <w:iCs/>
          <w:color w:val="000000" w:themeColor="text1"/>
        </w:rPr>
        <w:t>Critical enablers and synergies</w:t>
      </w:r>
      <w:bookmarkEnd w:id="137"/>
    </w:p>
    <w:p w14:paraId="56355416" w14:textId="25B8729A" w:rsidR="00913F82" w:rsidRDefault="00913F82" w:rsidP="00A178D1">
      <w:pPr>
        <w:spacing w:after="0"/>
      </w:pPr>
    </w:p>
    <w:p w14:paraId="5A0E1CB8" w14:textId="6FBDF35B" w:rsidR="00171B31" w:rsidRDefault="00913F82" w:rsidP="00913F82">
      <w:pPr>
        <w:rPr>
          <w:rFonts w:ascii="Arial" w:hAnsi="Arial" w:cs="Arial"/>
        </w:rPr>
      </w:pPr>
      <w:r w:rsidRPr="00A178D1">
        <w:rPr>
          <w:rFonts w:ascii="Arial" w:hAnsi="Arial" w:cs="Arial"/>
        </w:rPr>
        <w:t xml:space="preserve">At the same time, the </w:t>
      </w:r>
      <w:r>
        <w:rPr>
          <w:rFonts w:ascii="Arial" w:hAnsi="Arial" w:cs="Arial"/>
        </w:rPr>
        <w:t xml:space="preserve">overall </w:t>
      </w:r>
      <w:r w:rsidRPr="00A178D1">
        <w:rPr>
          <w:rFonts w:ascii="Arial" w:hAnsi="Arial" w:cs="Arial"/>
        </w:rPr>
        <w:t xml:space="preserve">enabling environment </w:t>
      </w:r>
      <w:r>
        <w:rPr>
          <w:rFonts w:ascii="Arial" w:hAnsi="Arial" w:cs="Arial"/>
        </w:rPr>
        <w:t xml:space="preserve">for the HIV response </w:t>
      </w:r>
      <w:r w:rsidRPr="00A178D1">
        <w:rPr>
          <w:rFonts w:ascii="Arial" w:hAnsi="Arial" w:cs="Arial"/>
        </w:rPr>
        <w:t>must be</w:t>
      </w:r>
      <w:r>
        <w:rPr>
          <w:rFonts w:ascii="Arial" w:hAnsi="Arial" w:cs="Arial"/>
        </w:rPr>
        <w:t xml:space="preserve"> </w:t>
      </w:r>
      <w:r w:rsidRPr="00A178D1">
        <w:rPr>
          <w:rFonts w:ascii="Arial" w:hAnsi="Arial" w:cs="Arial"/>
        </w:rPr>
        <w:t>strengthened</w:t>
      </w:r>
      <w:r>
        <w:rPr>
          <w:rFonts w:ascii="Arial" w:hAnsi="Arial" w:cs="Arial"/>
        </w:rPr>
        <w:t xml:space="preserve"> to support additional scale-up efforts and </w:t>
      </w:r>
      <w:r w:rsidR="00C655CC">
        <w:rPr>
          <w:rFonts w:ascii="Arial" w:hAnsi="Arial" w:cs="Arial"/>
        </w:rPr>
        <w:t>sustainability</w:t>
      </w:r>
      <w:r>
        <w:rPr>
          <w:rFonts w:ascii="Arial" w:hAnsi="Arial" w:cs="Arial"/>
        </w:rPr>
        <w:t xml:space="preserve"> of the program.</w:t>
      </w:r>
      <w:r w:rsidRPr="00A178D1">
        <w:rPr>
          <w:rFonts w:ascii="Arial" w:hAnsi="Arial" w:cs="Arial"/>
        </w:rPr>
        <w:t xml:space="preserve"> </w:t>
      </w:r>
      <w:r>
        <w:rPr>
          <w:rFonts w:ascii="Arial" w:hAnsi="Arial" w:cs="Arial"/>
        </w:rPr>
        <w:t>Efforts to combat stigma and discrimination must be double downed through media campaigns and promoting legal literacy to ensure there is equitable access to services</w:t>
      </w:r>
      <w:r w:rsidR="00171B31">
        <w:rPr>
          <w:rFonts w:ascii="Arial" w:hAnsi="Arial" w:cs="Arial"/>
        </w:rPr>
        <w:t xml:space="preserve">. Similarly, given the sharp rise in new infections among adolescent girls, gender-based violence prevention and economic empowerment must be priorities to ultimately reverse this trend. Social protection measures can also help to address the elevated risk of new infection among women. There is also more progress to be made in Tanzania on reforming norms and laws that continue to limit access to prevention and treatment services and put certain populations at disproportionate risk. Some of these laws that require advocacy to challenge include age of consent, bans on self-testing, and supporting scale-up of PrEP. </w:t>
      </w:r>
    </w:p>
    <w:p w14:paraId="089460C2" w14:textId="130424C9" w:rsidR="00913F82" w:rsidRPr="00CC2044" w:rsidRDefault="00171B31" w:rsidP="00CC2044">
      <w:pPr>
        <w:rPr>
          <w:rFonts w:ascii="Arial" w:hAnsi="Arial" w:cs="Arial"/>
        </w:rPr>
      </w:pPr>
      <w:r>
        <w:rPr>
          <w:rFonts w:ascii="Arial" w:hAnsi="Arial" w:cs="Arial"/>
        </w:rPr>
        <w:t>A strong, integrated health system will also further support the sustainability of the HIV response as donor funds decline. Facilities, labs, and commodity procurement must be able to support increased volumes of HIV tests and patients on treatment. Integration of HIV services into primary healthcare will reduce inefficienc</w:t>
      </w:r>
      <w:r w:rsidR="00C655CC">
        <w:rPr>
          <w:rFonts w:ascii="Arial" w:hAnsi="Arial" w:cs="Arial"/>
        </w:rPr>
        <w:t>ies</w:t>
      </w:r>
      <w:r>
        <w:rPr>
          <w:rFonts w:ascii="Arial" w:hAnsi="Arial" w:cs="Arial"/>
        </w:rPr>
        <w:t xml:space="preserve"> and relieve the health system, in addition to providing more holistic care to patients in the long-run. High-quality care will have to be available at all levels of the health system, and additional investments in community health workers and CSO filed workers will likely be required to achieve this.</w:t>
      </w:r>
    </w:p>
    <w:p w14:paraId="11C50CCB" w14:textId="312FA6C1" w:rsidR="00913F82" w:rsidRPr="00A178D1" w:rsidRDefault="00913F82" w:rsidP="00A178D1">
      <w:pPr>
        <w:pStyle w:val="Heading3"/>
        <w:rPr>
          <w:rFonts w:ascii="Arial" w:hAnsi="Arial" w:cs="Arial"/>
          <w:i/>
          <w:iCs/>
          <w:color w:val="000000" w:themeColor="text1"/>
        </w:rPr>
      </w:pPr>
      <w:bookmarkStart w:id="138" w:name="_Toc57035231"/>
      <w:r w:rsidRPr="00A178D1">
        <w:rPr>
          <w:rFonts w:ascii="Arial" w:hAnsi="Arial" w:cs="Arial"/>
          <w:i/>
          <w:iCs/>
          <w:color w:val="000000" w:themeColor="text1"/>
        </w:rPr>
        <w:t>Call to Action</w:t>
      </w:r>
      <w:bookmarkEnd w:id="138"/>
    </w:p>
    <w:p w14:paraId="425BB1EB" w14:textId="77777777" w:rsidR="00943E45" w:rsidRDefault="00943E45" w:rsidP="00916032">
      <w:pPr>
        <w:shd w:val="clear" w:color="auto" w:fill="FFFFFF"/>
        <w:spacing w:after="0" w:line="240" w:lineRule="auto"/>
        <w:rPr>
          <w:rFonts w:ascii="Arial" w:eastAsia="Times New Roman" w:hAnsi="Arial" w:cs="Arial"/>
          <w:color w:val="222222"/>
        </w:rPr>
      </w:pPr>
    </w:p>
    <w:p w14:paraId="2632C785" w14:textId="0B3839CE" w:rsidR="00943E45" w:rsidRDefault="00943E45" w:rsidP="00943E45">
      <w:pPr>
        <w:spacing w:after="0"/>
        <w:rPr>
          <w:rFonts w:ascii="Arial" w:hAnsi="Arial" w:cs="Arial"/>
        </w:rPr>
      </w:pPr>
      <w:r>
        <w:rPr>
          <w:rFonts w:ascii="Arial" w:eastAsia="Times New Roman" w:hAnsi="Arial" w:cs="Arial"/>
          <w:color w:val="222222"/>
        </w:rPr>
        <w:t xml:space="preserve">If Tanzania does not </w:t>
      </w:r>
      <w:r w:rsidR="00C655CC">
        <w:rPr>
          <w:rFonts w:ascii="Arial" w:eastAsia="Times New Roman" w:hAnsi="Arial" w:cs="Arial"/>
          <w:color w:val="222222"/>
        </w:rPr>
        <w:t>take action on the IC 2.0 recommendations</w:t>
      </w:r>
      <w:r>
        <w:rPr>
          <w:rFonts w:ascii="Arial" w:eastAsia="Times New Roman" w:hAnsi="Arial" w:cs="Arial"/>
          <w:color w:val="222222"/>
        </w:rPr>
        <w:t xml:space="preserve">, the progress of the response to date could be jeopardized. If too little resources are available once donor funds decline, then it will be impossible to maintain and grow ART coverage. Positive trends will be reversed, and epidemic control will no longer be within sight. </w:t>
      </w:r>
      <w:r>
        <w:rPr>
          <w:rFonts w:ascii="Arial" w:hAnsi="Arial" w:cs="Arial"/>
        </w:rPr>
        <w:t xml:space="preserve">Given the additional lives saved and infections averted this additional investment would lead to, it is not surprising that </w:t>
      </w:r>
      <w:r w:rsidRPr="00505F88">
        <w:rPr>
          <w:rFonts w:ascii="Arial" w:hAnsi="Arial" w:cs="Arial"/>
        </w:rPr>
        <w:t>660 M</w:t>
      </w:r>
      <w:r>
        <w:rPr>
          <w:rFonts w:ascii="Arial" w:hAnsi="Arial" w:cs="Arial"/>
        </w:rPr>
        <w:t xml:space="preserve"> of total domestic investment </w:t>
      </w:r>
      <w:r w:rsidRPr="00505F88">
        <w:rPr>
          <w:rFonts w:ascii="Arial" w:hAnsi="Arial" w:cs="Arial"/>
        </w:rPr>
        <w:t xml:space="preserve">over the period to 2030 would yield </w:t>
      </w:r>
      <w:r>
        <w:rPr>
          <w:rFonts w:ascii="Arial" w:hAnsi="Arial" w:cs="Arial"/>
        </w:rPr>
        <w:t xml:space="preserve">an </w:t>
      </w:r>
      <w:r w:rsidRPr="00505F88">
        <w:rPr>
          <w:rFonts w:ascii="Arial" w:hAnsi="Arial" w:cs="Arial"/>
        </w:rPr>
        <w:t xml:space="preserve">economic benefit of USD 4.3 </w:t>
      </w:r>
      <w:r>
        <w:rPr>
          <w:rFonts w:ascii="Arial" w:hAnsi="Arial" w:cs="Arial"/>
        </w:rPr>
        <w:t>B for Tanzania (Lamontagne et al 2019).</w:t>
      </w:r>
    </w:p>
    <w:p w14:paraId="4CA4614A" w14:textId="77777777" w:rsidR="00916032" w:rsidRDefault="00916032" w:rsidP="00916032">
      <w:pPr>
        <w:shd w:val="clear" w:color="auto" w:fill="FFFFFF"/>
        <w:spacing w:after="0" w:line="240" w:lineRule="auto"/>
        <w:rPr>
          <w:rFonts w:ascii="Arial" w:eastAsia="Times New Roman" w:hAnsi="Arial" w:cs="Arial"/>
          <w:color w:val="222222"/>
        </w:rPr>
      </w:pPr>
    </w:p>
    <w:p w14:paraId="3D3D540A" w14:textId="070E4C56" w:rsidR="00943E45" w:rsidRDefault="00C655CC" w:rsidP="008F15AD">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While</w:t>
      </w:r>
      <w:r w:rsidR="00916032">
        <w:rPr>
          <w:rFonts w:ascii="Arial" w:eastAsia="Times New Roman" w:hAnsi="Arial" w:cs="Arial"/>
          <w:color w:val="222222"/>
        </w:rPr>
        <w:t xml:space="preserve"> it will not be easy for Tanzania to adopt and adapt to the kinds of recommendations contained in this IC 2.0 report, there is no doubt that it is within Tanzania’s grasp to make these changes and enhancements to its HIV response.  High level political will and hard work by program managers is needed to make these recommendations a reality.  Given the importance of protecting the large gains already achieved in the fight against AIDS, and the positive impact that further progress toward 90-90-90 and virtual elimination of HIV can have for the future of Tanzania’s people, it is vital for the country to galvanize its political, human, and financial resources around the recommendations in this report and to implement them swiftly and progressively over the next few years.</w:t>
      </w:r>
      <w:r w:rsidR="008F15AD">
        <w:rPr>
          <w:rFonts w:ascii="Arial" w:eastAsia="Times New Roman" w:hAnsi="Arial" w:cs="Arial"/>
          <w:color w:val="222222"/>
        </w:rPr>
        <w:t xml:space="preserve"> If Tanzania’s response to known challenges is slow, it is unlikely that targets will be reached and the consequence of this negative impacts will perpetuate long after 2030 and will have a long-lasting impact on Tanzania’s development status and its ability to meet SDGs.   </w:t>
      </w:r>
    </w:p>
    <w:p w14:paraId="4CA528F0" w14:textId="77777777" w:rsidR="00C655CC" w:rsidRDefault="00C655CC">
      <w:pPr>
        <w:rPr>
          <w:rFonts w:ascii="Arial" w:eastAsiaTheme="majorEastAsia" w:hAnsi="Arial" w:cs="Arial"/>
          <w:b/>
          <w:color w:val="C00000"/>
          <w:sz w:val="32"/>
          <w:szCs w:val="32"/>
        </w:rPr>
      </w:pPr>
      <w:r>
        <w:rPr>
          <w:rFonts w:ascii="Arial" w:hAnsi="Arial" w:cs="Arial"/>
          <w:b/>
          <w:color w:val="C00000"/>
        </w:rPr>
        <w:br w:type="page"/>
      </w:r>
    </w:p>
    <w:p w14:paraId="1F406CCE" w14:textId="27CF0951" w:rsidR="00E529B4" w:rsidRDefault="00D01BE1" w:rsidP="001005D4">
      <w:pPr>
        <w:pStyle w:val="Heading1"/>
        <w:rPr>
          <w:rFonts w:ascii="Arial" w:hAnsi="Arial" w:cs="Arial"/>
          <w:b/>
          <w:color w:val="C00000"/>
        </w:rPr>
      </w:pPr>
      <w:bookmarkStart w:id="139" w:name="_Toc57035232"/>
      <w:r w:rsidRPr="001005D4">
        <w:rPr>
          <w:rFonts w:ascii="Arial" w:hAnsi="Arial" w:cs="Arial"/>
          <w:b/>
          <w:color w:val="C00000"/>
        </w:rPr>
        <w:t>ANNEX</w:t>
      </w:r>
      <w:r w:rsidR="001005D4">
        <w:rPr>
          <w:rFonts w:ascii="Arial" w:hAnsi="Arial" w:cs="Arial"/>
          <w:b/>
          <w:color w:val="C00000"/>
        </w:rPr>
        <w:t>ES</w:t>
      </w:r>
      <w:bookmarkEnd w:id="139"/>
    </w:p>
    <w:p w14:paraId="083FCC3F" w14:textId="128B362D" w:rsidR="005B5A2B" w:rsidRDefault="005B5A2B" w:rsidP="005B5A2B"/>
    <w:p w14:paraId="78373631" w14:textId="77777777" w:rsidR="005B5A2B" w:rsidRPr="00276364" w:rsidRDefault="005B5A2B" w:rsidP="0071346A">
      <w:pPr>
        <w:spacing w:after="0"/>
        <w:rPr>
          <w:rFonts w:ascii="Arial" w:hAnsi="Arial" w:cs="Arial"/>
          <w:b/>
        </w:rPr>
      </w:pPr>
      <w:r w:rsidRPr="00276364">
        <w:rPr>
          <w:rFonts w:ascii="Arial" w:hAnsi="Arial" w:cs="Arial"/>
          <w:b/>
        </w:rPr>
        <w:t xml:space="preserve">Annex 1. </w:t>
      </w:r>
      <w:r w:rsidRPr="00E1185F">
        <w:rPr>
          <w:rFonts w:ascii="Arial" w:hAnsi="Arial" w:cs="Arial"/>
          <w:bCs/>
        </w:rPr>
        <w:t>List of stakeholders consulted- November 2018</w:t>
      </w:r>
    </w:p>
    <w:p w14:paraId="01AA130D" w14:textId="54A27A35" w:rsidR="005B5A2B" w:rsidRPr="00276364" w:rsidRDefault="005B5A2B" w:rsidP="0071346A">
      <w:pPr>
        <w:spacing w:after="0"/>
        <w:rPr>
          <w:rFonts w:ascii="Arial" w:hAnsi="Arial" w:cs="Arial"/>
          <w:b/>
        </w:rPr>
      </w:pPr>
    </w:p>
    <w:p w14:paraId="6FBF0ACD" w14:textId="6EEE1959" w:rsidR="005B5A2B" w:rsidRPr="00E1185F" w:rsidRDefault="005B5A2B" w:rsidP="0071346A">
      <w:pPr>
        <w:spacing w:after="0"/>
        <w:rPr>
          <w:rFonts w:ascii="Arial" w:hAnsi="Arial" w:cs="Arial"/>
          <w:bCs/>
          <w:color w:val="000000" w:themeColor="text1"/>
        </w:rPr>
      </w:pPr>
      <w:r w:rsidRPr="00276364">
        <w:rPr>
          <w:rFonts w:ascii="Arial" w:hAnsi="Arial" w:cs="Arial"/>
          <w:b/>
        </w:rPr>
        <w:t xml:space="preserve">Annex 2. </w:t>
      </w:r>
      <w:r w:rsidRPr="00E1185F">
        <w:rPr>
          <w:rFonts w:ascii="Arial" w:hAnsi="Arial" w:cs="Arial"/>
          <w:bCs/>
          <w:color w:val="000000" w:themeColor="text1"/>
        </w:rPr>
        <w:t>Agenda for Technical Working Group Meeting- February 2019</w:t>
      </w:r>
    </w:p>
    <w:p w14:paraId="3F4F5B0D" w14:textId="77777777" w:rsidR="0071346A" w:rsidRPr="00276364" w:rsidRDefault="0071346A" w:rsidP="0071346A">
      <w:pPr>
        <w:spacing w:after="0"/>
        <w:rPr>
          <w:rFonts w:ascii="Arial" w:hAnsi="Arial" w:cs="Arial"/>
          <w:b/>
          <w:color w:val="000000" w:themeColor="text1"/>
        </w:rPr>
      </w:pPr>
    </w:p>
    <w:p w14:paraId="0C39987C" w14:textId="19FECC2D" w:rsidR="005B5A2B" w:rsidRPr="00E1185F" w:rsidRDefault="005B5A2B" w:rsidP="0071346A">
      <w:pPr>
        <w:spacing w:after="0"/>
        <w:rPr>
          <w:rFonts w:ascii="Arial" w:hAnsi="Arial" w:cs="Arial"/>
          <w:bCs/>
        </w:rPr>
      </w:pPr>
      <w:r w:rsidRPr="00276364">
        <w:rPr>
          <w:rFonts w:ascii="Arial" w:hAnsi="Arial" w:cs="Arial"/>
          <w:b/>
        </w:rPr>
        <w:t xml:space="preserve">Annex 3. </w:t>
      </w:r>
      <w:r w:rsidRPr="00E1185F">
        <w:rPr>
          <w:rFonts w:ascii="Arial" w:hAnsi="Arial" w:cs="Arial"/>
          <w:bCs/>
        </w:rPr>
        <w:t xml:space="preserve">HIV prevalence in Tanzania by age and sex </w:t>
      </w:r>
    </w:p>
    <w:p w14:paraId="7BD5666C" w14:textId="44C74275" w:rsidR="005B5A2B" w:rsidRPr="00E1185F" w:rsidRDefault="005B5A2B" w:rsidP="0071346A">
      <w:pPr>
        <w:spacing w:after="0"/>
        <w:rPr>
          <w:rFonts w:ascii="Arial" w:hAnsi="Arial" w:cs="Arial"/>
          <w:bCs/>
        </w:rPr>
      </w:pPr>
    </w:p>
    <w:p w14:paraId="51A2F03A" w14:textId="77777777" w:rsidR="005B5A2B" w:rsidRPr="00276364" w:rsidRDefault="005B5A2B" w:rsidP="0071346A">
      <w:pPr>
        <w:spacing w:after="0"/>
        <w:rPr>
          <w:rFonts w:ascii="Arial" w:hAnsi="Arial" w:cs="Arial"/>
          <w:b/>
        </w:rPr>
      </w:pPr>
      <w:r w:rsidRPr="00276364">
        <w:rPr>
          <w:rFonts w:ascii="Arial" w:hAnsi="Arial" w:cs="Arial"/>
          <w:b/>
        </w:rPr>
        <w:t xml:space="preserve">Annex 4. </w:t>
      </w:r>
      <w:r w:rsidRPr="00E1185F">
        <w:rPr>
          <w:rFonts w:ascii="Arial" w:hAnsi="Arial" w:cs="Arial"/>
          <w:bCs/>
        </w:rPr>
        <w:t>Goals model</w:t>
      </w:r>
    </w:p>
    <w:p w14:paraId="2B4D5AD9" w14:textId="19668544" w:rsidR="005B5A2B" w:rsidRPr="00276364" w:rsidRDefault="005B5A2B" w:rsidP="0071346A">
      <w:pPr>
        <w:spacing w:after="0"/>
        <w:rPr>
          <w:rFonts w:ascii="Arial" w:hAnsi="Arial" w:cs="Arial"/>
          <w:b/>
        </w:rPr>
      </w:pPr>
    </w:p>
    <w:p w14:paraId="379DD858" w14:textId="7A954937" w:rsidR="005B5A2B" w:rsidRPr="00276364" w:rsidRDefault="005B5A2B" w:rsidP="0071346A">
      <w:pPr>
        <w:spacing w:after="0"/>
        <w:rPr>
          <w:rFonts w:ascii="Arial" w:hAnsi="Arial" w:cs="Arial"/>
          <w:b/>
        </w:rPr>
      </w:pPr>
      <w:r w:rsidRPr="00276364">
        <w:rPr>
          <w:rFonts w:ascii="Arial" w:hAnsi="Arial" w:cs="Arial"/>
          <w:b/>
        </w:rPr>
        <w:t xml:space="preserve">Annex 5. </w:t>
      </w:r>
      <w:r w:rsidRPr="00E1185F">
        <w:rPr>
          <w:rFonts w:ascii="Arial" w:hAnsi="Arial" w:cs="Arial"/>
          <w:bCs/>
        </w:rPr>
        <w:t>Unit costs</w:t>
      </w:r>
    </w:p>
    <w:p w14:paraId="4C26C043" w14:textId="05AA98CB" w:rsidR="005B5A2B" w:rsidRPr="00276364" w:rsidRDefault="005B5A2B" w:rsidP="0071346A">
      <w:pPr>
        <w:spacing w:after="0"/>
        <w:rPr>
          <w:rFonts w:ascii="Arial" w:hAnsi="Arial" w:cs="Arial"/>
          <w:b/>
        </w:rPr>
      </w:pPr>
    </w:p>
    <w:p w14:paraId="07D4FACA" w14:textId="0FFEA15F" w:rsidR="007D0D94" w:rsidRPr="00276364" w:rsidRDefault="005B5A2B" w:rsidP="0071346A">
      <w:pPr>
        <w:spacing w:after="0"/>
        <w:rPr>
          <w:rFonts w:ascii="Arial" w:hAnsi="Arial" w:cs="Arial"/>
          <w:b/>
        </w:rPr>
      </w:pPr>
      <w:r w:rsidRPr="00276364">
        <w:rPr>
          <w:rFonts w:ascii="Arial" w:hAnsi="Arial" w:cs="Arial"/>
          <w:b/>
        </w:rPr>
        <w:t xml:space="preserve">Annex 6. </w:t>
      </w:r>
      <w:r w:rsidRPr="00E1185F">
        <w:rPr>
          <w:rFonts w:ascii="Arial" w:hAnsi="Arial" w:cs="Arial"/>
          <w:bCs/>
        </w:rPr>
        <w:t>Identification of technical efficiencies</w:t>
      </w:r>
    </w:p>
    <w:p w14:paraId="7AA7676D" w14:textId="77777777" w:rsidR="005B5A2B" w:rsidRPr="00276364" w:rsidRDefault="005B5A2B" w:rsidP="00444084">
      <w:pPr>
        <w:spacing w:after="0"/>
        <w:rPr>
          <w:b/>
        </w:rPr>
      </w:pPr>
    </w:p>
    <w:p w14:paraId="0337BE08" w14:textId="1C0196E9" w:rsidR="005B5A2B" w:rsidRPr="00276364" w:rsidRDefault="005B5A2B" w:rsidP="0071346A">
      <w:pPr>
        <w:spacing w:after="0"/>
        <w:rPr>
          <w:rFonts w:ascii="Arial" w:hAnsi="Arial" w:cs="Arial"/>
          <w:b/>
        </w:rPr>
      </w:pPr>
      <w:r w:rsidRPr="00276364">
        <w:rPr>
          <w:rFonts w:ascii="Arial" w:hAnsi="Arial" w:cs="Arial"/>
          <w:b/>
        </w:rPr>
        <w:t xml:space="preserve">Annex 7. </w:t>
      </w:r>
      <w:r w:rsidR="00E37859" w:rsidRPr="00E1185F">
        <w:rPr>
          <w:rFonts w:ascii="Arial" w:hAnsi="Arial" w:cs="Arial"/>
          <w:bCs/>
        </w:rPr>
        <w:t>Calculation of savings from technical efficiencies</w:t>
      </w:r>
    </w:p>
    <w:p w14:paraId="0EAC268F" w14:textId="7D4FE6BB" w:rsidR="0071346A" w:rsidRPr="00276364" w:rsidRDefault="0071346A" w:rsidP="0071346A">
      <w:pPr>
        <w:spacing w:after="0"/>
        <w:rPr>
          <w:rFonts w:ascii="Arial" w:hAnsi="Arial" w:cs="Arial"/>
          <w:b/>
        </w:rPr>
      </w:pPr>
    </w:p>
    <w:p w14:paraId="08C6074B" w14:textId="41600737" w:rsidR="0071346A" w:rsidRPr="00E1185F" w:rsidRDefault="0071346A" w:rsidP="0071346A">
      <w:pPr>
        <w:spacing w:after="0"/>
        <w:rPr>
          <w:rFonts w:ascii="Arial" w:hAnsi="Arial" w:cs="Arial"/>
          <w:bCs/>
        </w:rPr>
      </w:pPr>
      <w:r w:rsidRPr="00276364">
        <w:rPr>
          <w:rFonts w:ascii="Arial" w:hAnsi="Arial" w:cs="Arial"/>
          <w:b/>
        </w:rPr>
        <w:t xml:space="preserve">Annex 8. </w:t>
      </w:r>
      <w:r w:rsidR="00E37859" w:rsidRPr="00E1185F">
        <w:rPr>
          <w:rFonts w:ascii="Arial" w:hAnsi="Arial" w:cs="Arial"/>
          <w:bCs/>
        </w:rPr>
        <w:t>Differentiated Care Service Delivery Model guidelines</w:t>
      </w:r>
    </w:p>
    <w:p w14:paraId="465967C0" w14:textId="77777777" w:rsidR="0071346A" w:rsidRPr="00276364" w:rsidRDefault="0071346A" w:rsidP="0071346A">
      <w:pPr>
        <w:spacing w:after="0"/>
        <w:rPr>
          <w:rFonts w:ascii="Arial" w:hAnsi="Arial" w:cs="Arial"/>
          <w:b/>
        </w:rPr>
      </w:pPr>
    </w:p>
    <w:p w14:paraId="65F1E6E9" w14:textId="0C347674" w:rsidR="0071346A" w:rsidRPr="00E1185F" w:rsidRDefault="0071346A" w:rsidP="0071346A">
      <w:pPr>
        <w:spacing w:after="0"/>
        <w:rPr>
          <w:rFonts w:ascii="Arial" w:hAnsi="Arial" w:cs="Arial"/>
          <w:bCs/>
        </w:rPr>
      </w:pPr>
      <w:r w:rsidRPr="00276364">
        <w:rPr>
          <w:rFonts w:ascii="Arial" w:hAnsi="Arial" w:cs="Arial"/>
          <w:b/>
          <w:color w:val="000000" w:themeColor="text1"/>
        </w:rPr>
        <w:t xml:space="preserve">Annex 9. </w:t>
      </w:r>
      <w:r w:rsidRPr="00E1185F">
        <w:rPr>
          <w:rFonts w:ascii="Arial" w:hAnsi="Arial" w:cs="Arial"/>
          <w:bCs/>
          <w:color w:val="000000" w:themeColor="text1"/>
        </w:rPr>
        <w:t>Calculation of feasible domestic resource mobilization</w:t>
      </w:r>
    </w:p>
    <w:p w14:paraId="7D538945" w14:textId="77777777" w:rsidR="0071346A" w:rsidRPr="0071346A" w:rsidRDefault="0071346A" w:rsidP="0071346A">
      <w:pPr>
        <w:rPr>
          <w:b/>
        </w:rPr>
      </w:pPr>
    </w:p>
    <w:p w14:paraId="78F55EF9" w14:textId="77777777" w:rsidR="005B5A2B" w:rsidRPr="005B5A2B" w:rsidRDefault="005B5A2B" w:rsidP="005B5A2B"/>
    <w:p w14:paraId="0D13472A" w14:textId="77777777" w:rsidR="005B5A2B" w:rsidRPr="005B5A2B" w:rsidRDefault="005B5A2B" w:rsidP="005B5A2B"/>
    <w:p w14:paraId="205AE4D4" w14:textId="2BE50690" w:rsidR="005B5A2B" w:rsidRDefault="005B5A2B" w:rsidP="005B5A2B"/>
    <w:p w14:paraId="7F245C8D" w14:textId="77777777" w:rsidR="005B5A2B" w:rsidRDefault="005B5A2B">
      <w:r>
        <w:br w:type="page"/>
      </w:r>
    </w:p>
    <w:p w14:paraId="2A59B376" w14:textId="77777777" w:rsidR="005B5A2B" w:rsidRPr="005B5A2B" w:rsidRDefault="005B5A2B" w:rsidP="005B5A2B"/>
    <w:p w14:paraId="5E11E52E" w14:textId="77777777" w:rsidR="001005D4" w:rsidRDefault="001005D4" w:rsidP="001005D4">
      <w:pPr>
        <w:pStyle w:val="m-1191621147464783095msolistparagraph"/>
        <w:shd w:val="clear" w:color="auto" w:fill="FFFFFF"/>
        <w:spacing w:before="0" w:beforeAutospacing="0" w:after="0" w:afterAutospacing="0" w:line="233" w:lineRule="atLeast"/>
        <w:ind w:left="720"/>
        <w:rPr>
          <w:rFonts w:ascii="Calibri" w:hAnsi="Calibri" w:cs="Arial"/>
          <w:color w:val="222222"/>
          <w:sz w:val="22"/>
          <w:szCs w:val="22"/>
        </w:rPr>
      </w:pPr>
    </w:p>
    <w:tbl>
      <w:tblPr>
        <w:tblpPr w:leftFromText="180" w:rightFromText="180" w:vertAnchor="text" w:horzAnchor="margin" w:tblpY="713"/>
        <w:tblW w:w="9511" w:type="dxa"/>
        <w:tblCellMar>
          <w:left w:w="0" w:type="dxa"/>
          <w:right w:w="0" w:type="dxa"/>
        </w:tblCellMar>
        <w:tblLook w:val="04A0" w:firstRow="1" w:lastRow="0" w:firstColumn="1" w:lastColumn="0" w:noHBand="0" w:noVBand="1"/>
      </w:tblPr>
      <w:tblGrid>
        <w:gridCol w:w="4310"/>
        <w:gridCol w:w="5201"/>
      </w:tblGrid>
      <w:tr w:rsidR="000A76B3" w:rsidRPr="00861A47" w14:paraId="5DEE2EA1" w14:textId="77777777" w:rsidTr="000A76B3">
        <w:trPr>
          <w:trHeight w:val="65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227F5D87"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UNAIDS</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0B33D139"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ICAP</w:t>
            </w:r>
          </w:p>
        </w:tc>
      </w:tr>
      <w:tr w:rsidR="000A76B3" w:rsidRPr="00861A47" w14:paraId="210434D9" w14:textId="77777777" w:rsidTr="000A76B3">
        <w:trPr>
          <w:trHeight w:val="65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157FB5CD"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TACAIDS</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5F6E2EBF"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CHAI</w:t>
            </w:r>
          </w:p>
        </w:tc>
      </w:tr>
      <w:tr w:rsidR="000A76B3" w:rsidRPr="00861A47" w14:paraId="5C50F6F0" w14:textId="77777777" w:rsidTr="000A76B3">
        <w:trPr>
          <w:trHeight w:val="65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396C2C0B"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NACP</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05E27937"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Tanzania Private Sector Foundation</w:t>
            </w:r>
          </w:p>
        </w:tc>
      </w:tr>
      <w:tr w:rsidR="000A76B3" w:rsidRPr="00861A47" w14:paraId="1BD1107F" w14:textId="77777777" w:rsidTr="000A76B3">
        <w:trPr>
          <w:trHeight w:val="705"/>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291E4BBA"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CDC</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0A4BDFB0"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Association of Tanzania Employees</w:t>
            </w:r>
          </w:p>
        </w:tc>
      </w:tr>
      <w:tr w:rsidR="000A76B3" w:rsidRPr="00861A47" w14:paraId="2796BBA7" w14:textId="77777777" w:rsidTr="000A76B3">
        <w:trPr>
          <w:trHeight w:val="821"/>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3E729C66"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UNICEF</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4DE6BABD"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Medical Stores Department</w:t>
            </w:r>
          </w:p>
        </w:tc>
      </w:tr>
      <w:tr w:rsidR="000A76B3" w:rsidRPr="00861A47" w14:paraId="671F0C65" w14:textId="77777777" w:rsidTr="000A76B3">
        <w:trPr>
          <w:trHeight w:val="65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5CA9CB16"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WHO</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78E0E787"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World Bank</w:t>
            </w:r>
          </w:p>
        </w:tc>
      </w:tr>
      <w:tr w:rsidR="000A76B3" w:rsidRPr="00861A47" w14:paraId="144BF0A9" w14:textId="77777777" w:rsidTr="000A76B3">
        <w:trPr>
          <w:trHeight w:val="65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2D2B5D54"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PEPFAR</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73A822CC"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 xml:space="preserve">Tanzania National Coordinating Mechanism </w:t>
            </w:r>
          </w:p>
        </w:tc>
      </w:tr>
      <w:tr w:rsidR="000A76B3" w:rsidRPr="00861A47" w14:paraId="3FC7EED0" w14:textId="77777777" w:rsidTr="000A76B3">
        <w:trPr>
          <w:trHeight w:val="750"/>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405C434F"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USAID</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2E8F0538"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Health Division, PORALG</w:t>
            </w:r>
          </w:p>
        </w:tc>
      </w:tr>
      <w:tr w:rsidR="000A76B3" w:rsidRPr="00861A47" w14:paraId="07E7E800" w14:textId="77777777" w:rsidTr="000A76B3">
        <w:trPr>
          <w:trHeight w:val="65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7421879D" w14:textId="77777777" w:rsidR="000A76B3" w:rsidRPr="000A1997" w:rsidRDefault="000A76B3" w:rsidP="000A76B3">
            <w:pPr>
              <w:rPr>
                <w:rFonts w:ascii="Arial" w:hAnsi="Arial" w:cs="Arial"/>
                <w:color w:val="000000" w:themeColor="text1"/>
              </w:rPr>
            </w:pPr>
            <w:r w:rsidRPr="000A1997">
              <w:rPr>
                <w:rFonts w:ascii="Arial" w:hAnsi="Arial" w:cs="Arial"/>
                <w:bCs/>
                <w:color w:val="000000" w:themeColor="text1"/>
              </w:rPr>
              <w:t>PSI</w:t>
            </w:r>
          </w:p>
        </w:tc>
        <w:tc>
          <w:tcPr>
            <w:tcW w:w="52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vAlign w:val="center"/>
            <w:hideMark/>
          </w:tcPr>
          <w:p w14:paraId="455C7B02" w14:textId="77777777" w:rsidR="000A76B3" w:rsidRPr="000A1997" w:rsidRDefault="000A76B3" w:rsidP="000A76B3">
            <w:pPr>
              <w:rPr>
                <w:rFonts w:ascii="Arial" w:hAnsi="Arial" w:cs="Arial"/>
                <w:color w:val="000000" w:themeColor="text1"/>
              </w:rPr>
            </w:pPr>
          </w:p>
        </w:tc>
      </w:tr>
    </w:tbl>
    <w:p w14:paraId="77E5E71E" w14:textId="66BC0D88" w:rsidR="007067DC" w:rsidRPr="001005D4" w:rsidRDefault="000A76B3" w:rsidP="001005D4">
      <w:pPr>
        <w:pStyle w:val="Heading2"/>
        <w:rPr>
          <w:rFonts w:ascii="Arial" w:hAnsi="Arial" w:cs="Arial"/>
          <w:color w:val="000000" w:themeColor="text1"/>
        </w:rPr>
      </w:pPr>
      <w:r w:rsidRPr="001005D4">
        <w:rPr>
          <w:rFonts w:ascii="Arial" w:hAnsi="Arial" w:cs="Arial"/>
          <w:color w:val="000000" w:themeColor="text1"/>
        </w:rPr>
        <w:t xml:space="preserve"> </w:t>
      </w:r>
      <w:bookmarkStart w:id="140" w:name="_Toc57035233"/>
      <w:r w:rsidR="001005D4" w:rsidRPr="001005D4">
        <w:rPr>
          <w:rFonts w:ascii="Arial" w:hAnsi="Arial" w:cs="Arial"/>
          <w:color w:val="000000" w:themeColor="text1"/>
        </w:rPr>
        <w:t>Annex 1. List of stakeholders consulted- November 2018</w:t>
      </w:r>
      <w:bookmarkEnd w:id="140"/>
    </w:p>
    <w:p w14:paraId="015D279A" w14:textId="77777777" w:rsidR="00861A47" w:rsidRPr="00861A47" w:rsidRDefault="00861A47">
      <w:pPr>
        <w:rPr>
          <w:rFonts w:ascii="Arial" w:hAnsi="Arial" w:cs="Arial"/>
          <w:b/>
          <w:color w:val="000000" w:themeColor="text1"/>
        </w:rPr>
      </w:pPr>
    </w:p>
    <w:p w14:paraId="1956087B" w14:textId="170CD537" w:rsidR="00861A47" w:rsidRDefault="007067DC">
      <w:pPr>
        <w:rPr>
          <w:rFonts w:ascii="Arial" w:hAnsi="Arial" w:cs="Arial"/>
          <w:b/>
          <w:color w:val="4472C4" w:themeColor="accent1"/>
        </w:rPr>
      </w:pPr>
      <w:r>
        <w:rPr>
          <w:rFonts w:ascii="Arial" w:hAnsi="Arial" w:cs="Arial"/>
          <w:b/>
          <w:color w:val="4472C4" w:themeColor="accent1"/>
        </w:rPr>
        <w:br w:type="page"/>
      </w:r>
    </w:p>
    <w:p w14:paraId="23CFA7A2" w14:textId="285328EE" w:rsidR="00153AFB" w:rsidRDefault="00153AFB">
      <w:pPr>
        <w:rPr>
          <w:rFonts w:ascii="Arial" w:hAnsi="Arial" w:cs="Arial"/>
          <w:b/>
          <w:color w:val="4472C4" w:themeColor="accent1"/>
        </w:rPr>
      </w:pPr>
    </w:p>
    <w:p w14:paraId="0F1DAE3D" w14:textId="37BE91AD" w:rsidR="0094260B" w:rsidRDefault="001951AB" w:rsidP="001005D4">
      <w:pPr>
        <w:pStyle w:val="Heading2"/>
        <w:rPr>
          <w:rFonts w:ascii="Arial" w:hAnsi="Arial" w:cs="Arial"/>
          <w:color w:val="000000" w:themeColor="text1"/>
        </w:rPr>
      </w:pPr>
      <w:bookmarkStart w:id="141" w:name="_Toc57035234"/>
      <w:r w:rsidRPr="001005D4">
        <w:rPr>
          <w:rFonts w:ascii="Arial" w:hAnsi="Arial" w:cs="Arial"/>
          <w:color w:val="000000" w:themeColor="text1"/>
        </w:rPr>
        <w:t xml:space="preserve">Annex </w:t>
      </w:r>
      <w:r w:rsidR="001005D4">
        <w:rPr>
          <w:rFonts w:ascii="Arial" w:hAnsi="Arial" w:cs="Arial"/>
          <w:color w:val="000000" w:themeColor="text1"/>
        </w:rPr>
        <w:t>2</w:t>
      </w:r>
      <w:r w:rsidRPr="001005D4">
        <w:rPr>
          <w:rFonts w:ascii="Arial" w:hAnsi="Arial" w:cs="Arial"/>
          <w:color w:val="000000" w:themeColor="text1"/>
        </w:rPr>
        <w:t xml:space="preserve">. </w:t>
      </w:r>
      <w:r w:rsidR="00153AFB" w:rsidRPr="001005D4">
        <w:rPr>
          <w:rFonts w:ascii="Arial" w:hAnsi="Arial" w:cs="Arial"/>
          <w:color w:val="000000" w:themeColor="text1"/>
        </w:rPr>
        <w:t xml:space="preserve">Agenda </w:t>
      </w:r>
      <w:r w:rsidRPr="001005D4">
        <w:rPr>
          <w:rFonts w:ascii="Arial" w:hAnsi="Arial" w:cs="Arial"/>
          <w:color w:val="000000" w:themeColor="text1"/>
        </w:rPr>
        <w:t>f</w:t>
      </w:r>
      <w:r w:rsidR="00153AFB" w:rsidRPr="001005D4">
        <w:rPr>
          <w:rFonts w:ascii="Arial" w:hAnsi="Arial" w:cs="Arial"/>
          <w:color w:val="000000" w:themeColor="text1"/>
        </w:rPr>
        <w:t>or Technical Working Group Meeting- February 2019</w:t>
      </w:r>
      <w:bookmarkEnd w:id="141"/>
    </w:p>
    <w:p w14:paraId="24E75891" w14:textId="77777777" w:rsidR="00650F2B" w:rsidRPr="00650F2B" w:rsidRDefault="00650F2B" w:rsidP="00650F2B"/>
    <w:p w14:paraId="4F3DD359" w14:textId="77777777" w:rsidR="00650F2B" w:rsidRPr="00650F2B" w:rsidRDefault="00650F2B" w:rsidP="00650F2B"/>
    <w:p w14:paraId="75048A7B" w14:textId="77777777" w:rsidR="00650F2B" w:rsidRPr="00650F2B" w:rsidRDefault="00650F2B" w:rsidP="00650F2B"/>
    <w:p w14:paraId="265285AD" w14:textId="77777777" w:rsidR="00650F2B" w:rsidRPr="00650F2B" w:rsidRDefault="00650F2B" w:rsidP="00650F2B"/>
    <w:p w14:paraId="3F3111C4" w14:textId="2FA2AEEE" w:rsidR="007067DC" w:rsidRPr="001005D4" w:rsidRDefault="00153AFB" w:rsidP="00F07840">
      <w:r w:rsidRPr="001005D4">
        <w:t xml:space="preserve"> </w:t>
      </w:r>
    </w:p>
    <w:tbl>
      <w:tblPr>
        <w:tblpPr w:leftFromText="180" w:rightFromText="180" w:vertAnchor="page" w:horzAnchor="margin" w:tblpY="2353"/>
        <w:tblW w:w="0" w:type="auto"/>
        <w:tblCellMar>
          <w:left w:w="0" w:type="dxa"/>
          <w:right w:w="0" w:type="dxa"/>
        </w:tblCellMar>
        <w:tblLook w:val="04A0" w:firstRow="1" w:lastRow="0" w:firstColumn="1" w:lastColumn="0" w:noHBand="0" w:noVBand="1"/>
      </w:tblPr>
      <w:tblGrid>
        <w:gridCol w:w="1089"/>
        <w:gridCol w:w="16"/>
        <w:gridCol w:w="8245"/>
      </w:tblGrid>
      <w:tr w:rsidR="001005D4" w:rsidRPr="00153AFB" w14:paraId="289281C1" w14:textId="77777777" w:rsidTr="00650F2B">
        <w:trPr>
          <w:trHeight w:val="2960"/>
        </w:trPr>
        <w:tc>
          <w:tcPr>
            <w:tcW w:w="0" w:type="auto"/>
            <w:tcBorders>
              <w:top w:val="single" w:sz="4" w:space="0" w:color="auto"/>
              <w:left w:val="single" w:sz="4" w:space="0" w:color="auto"/>
              <w:bottom w:val="single" w:sz="24" w:space="0" w:color="FFFFFF"/>
              <w:right w:val="single" w:sz="4" w:space="0" w:color="auto"/>
            </w:tcBorders>
            <w:shd w:val="clear" w:color="auto" w:fill="DBDBDB"/>
            <w:tcMar>
              <w:top w:w="15" w:type="dxa"/>
              <w:left w:w="73" w:type="dxa"/>
              <w:bottom w:w="0" w:type="dxa"/>
              <w:right w:w="73" w:type="dxa"/>
            </w:tcMar>
            <w:vAlign w:val="center"/>
            <w:hideMark/>
          </w:tcPr>
          <w:p w14:paraId="37E115E1"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 xml:space="preserve">9:00 am - 10:15 </w:t>
            </w:r>
          </w:p>
        </w:tc>
        <w:tc>
          <w:tcPr>
            <w:tcW w:w="0" w:type="auto"/>
            <w:tcBorders>
              <w:top w:val="single" w:sz="4" w:space="0" w:color="auto"/>
              <w:left w:val="single" w:sz="4" w:space="0" w:color="auto"/>
              <w:bottom w:val="single" w:sz="24" w:space="0" w:color="FFFFFF"/>
              <w:right w:val="single" w:sz="4" w:space="0" w:color="auto"/>
            </w:tcBorders>
            <w:shd w:val="clear" w:color="auto" w:fill="DBDBDB"/>
          </w:tcPr>
          <w:p w14:paraId="5E91871F" w14:textId="77777777" w:rsidR="001005D4" w:rsidRPr="00153AFB" w:rsidRDefault="001005D4" w:rsidP="00650F2B">
            <w:pPr>
              <w:rPr>
                <w:rFonts w:ascii="Arial" w:hAnsi="Arial" w:cs="Arial"/>
                <w:b/>
                <w:bCs/>
                <w:color w:val="000000" w:themeColor="text1"/>
              </w:rPr>
            </w:pPr>
          </w:p>
        </w:tc>
        <w:tc>
          <w:tcPr>
            <w:tcW w:w="0" w:type="auto"/>
            <w:tcBorders>
              <w:top w:val="single" w:sz="4" w:space="0" w:color="auto"/>
              <w:left w:val="single" w:sz="4" w:space="0" w:color="auto"/>
              <w:bottom w:val="single" w:sz="24" w:space="0" w:color="FFFFFF"/>
              <w:right w:val="single" w:sz="4" w:space="0" w:color="auto"/>
            </w:tcBorders>
            <w:shd w:val="clear" w:color="auto" w:fill="DBDBDB"/>
            <w:tcMar>
              <w:top w:w="15" w:type="dxa"/>
              <w:left w:w="73" w:type="dxa"/>
              <w:bottom w:w="0" w:type="dxa"/>
              <w:right w:w="73" w:type="dxa"/>
            </w:tcMar>
            <w:vAlign w:val="center"/>
            <w:hideMark/>
          </w:tcPr>
          <w:p w14:paraId="51113BDE" w14:textId="2B1EFB0A"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 xml:space="preserve">Technical Working Group Meeting, Part I </w:t>
            </w:r>
          </w:p>
          <w:p w14:paraId="1D329967"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 </w:t>
            </w:r>
          </w:p>
          <w:p w14:paraId="3933D185"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Introduction of investment case</w:t>
            </w:r>
          </w:p>
          <w:p w14:paraId="13F9B1A3" w14:textId="77777777" w:rsidR="001005D4" w:rsidRPr="00153AFB" w:rsidRDefault="001005D4" w:rsidP="00650F2B">
            <w:pPr>
              <w:numPr>
                <w:ilvl w:val="0"/>
                <w:numId w:val="30"/>
              </w:numPr>
              <w:rPr>
                <w:rFonts w:ascii="Arial" w:hAnsi="Arial" w:cs="Arial"/>
                <w:color w:val="000000" w:themeColor="text1"/>
              </w:rPr>
            </w:pPr>
            <w:r w:rsidRPr="00153AFB">
              <w:rPr>
                <w:rFonts w:ascii="Arial" w:hAnsi="Arial" w:cs="Arial"/>
                <w:color w:val="000000" w:themeColor="text1"/>
              </w:rPr>
              <w:t xml:space="preserve">Opening Remarks – TACAIDS Executive Director </w:t>
            </w:r>
          </w:p>
          <w:p w14:paraId="6D207747" w14:textId="77777777" w:rsidR="001005D4" w:rsidRPr="00153AFB" w:rsidRDefault="001005D4" w:rsidP="00650F2B">
            <w:pPr>
              <w:numPr>
                <w:ilvl w:val="0"/>
                <w:numId w:val="30"/>
              </w:numPr>
              <w:rPr>
                <w:rFonts w:ascii="Arial" w:hAnsi="Arial" w:cs="Arial"/>
                <w:color w:val="000000" w:themeColor="text1"/>
              </w:rPr>
            </w:pPr>
            <w:r w:rsidRPr="00153AFB">
              <w:rPr>
                <w:rFonts w:ascii="Arial" w:hAnsi="Arial" w:cs="Arial"/>
                <w:color w:val="000000" w:themeColor="text1"/>
              </w:rPr>
              <w:t xml:space="preserve">Remarks – UNAIDS Country Director </w:t>
            </w:r>
          </w:p>
          <w:p w14:paraId="118CE06C" w14:textId="77777777" w:rsidR="001005D4" w:rsidRPr="00153AFB" w:rsidRDefault="001005D4" w:rsidP="00650F2B">
            <w:pPr>
              <w:numPr>
                <w:ilvl w:val="0"/>
                <w:numId w:val="30"/>
              </w:numPr>
              <w:rPr>
                <w:rFonts w:ascii="Arial" w:hAnsi="Arial" w:cs="Arial"/>
                <w:color w:val="000000" w:themeColor="text1"/>
              </w:rPr>
            </w:pPr>
            <w:r w:rsidRPr="00153AFB">
              <w:rPr>
                <w:rFonts w:ascii="Arial" w:hAnsi="Arial" w:cs="Arial"/>
                <w:color w:val="000000" w:themeColor="text1"/>
              </w:rPr>
              <w:t>Introductions of other TWG members</w:t>
            </w:r>
          </w:p>
          <w:p w14:paraId="648A4C00" w14:textId="77777777" w:rsidR="001005D4" w:rsidRPr="00153AFB" w:rsidRDefault="001005D4" w:rsidP="00650F2B">
            <w:pPr>
              <w:numPr>
                <w:ilvl w:val="0"/>
                <w:numId w:val="30"/>
              </w:numPr>
              <w:rPr>
                <w:rFonts w:ascii="Arial" w:hAnsi="Arial" w:cs="Arial"/>
                <w:b/>
                <w:color w:val="000000" w:themeColor="text1"/>
              </w:rPr>
            </w:pPr>
            <w:r w:rsidRPr="00153AFB">
              <w:rPr>
                <w:rFonts w:ascii="Arial" w:hAnsi="Arial" w:cs="Arial"/>
                <w:color w:val="000000" w:themeColor="text1"/>
              </w:rPr>
              <w:t>Recap of investment case objectives and review of findings to date (context, framing questions, major policy questions and stakeholder requests) – Pharos/Avenir</w:t>
            </w:r>
            <w:r w:rsidRPr="00153AFB">
              <w:rPr>
                <w:rFonts w:ascii="Arial" w:hAnsi="Arial" w:cs="Arial"/>
                <w:b/>
                <w:color w:val="000000" w:themeColor="text1"/>
              </w:rPr>
              <w:t xml:space="preserve"> </w:t>
            </w:r>
          </w:p>
        </w:tc>
      </w:tr>
      <w:tr w:rsidR="001005D4" w:rsidRPr="00153AFB" w14:paraId="4DB4510A" w14:textId="77777777" w:rsidTr="00650F2B">
        <w:trPr>
          <w:trHeight w:val="364"/>
        </w:trPr>
        <w:tc>
          <w:tcPr>
            <w:tcW w:w="0" w:type="auto"/>
            <w:tcBorders>
              <w:top w:val="single" w:sz="24" w:space="0" w:color="FFFFFF"/>
              <w:left w:val="single" w:sz="4" w:space="0" w:color="auto"/>
              <w:bottom w:val="single" w:sz="8" w:space="0" w:color="FFFFFF"/>
              <w:right w:val="single" w:sz="4" w:space="0" w:color="auto"/>
            </w:tcBorders>
            <w:shd w:val="clear" w:color="auto" w:fill="FFFFFF"/>
            <w:tcMar>
              <w:top w:w="15" w:type="dxa"/>
              <w:left w:w="73" w:type="dxa"/>
              <w:bottom w:w="0" w:type="dxa"/>
              <w:right w:w="73" w:type="dxa"/>
            </w:tcMar>
            <w:vAlign w:val="center"/>
            <w:hideMark/>
          </w:tcPr>
          <w:p w14:paraId="17889638"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10:15 – 10:30</w:t>
            </w:r>
          </w:p>
        </w:tc>
        <w:tc>
          <w:tcPr>
            <w:tcW w:w="0" w:type="auto"/>
            <w:tcBorders>
              <w:top w:val="single" w:sz="24" w:space="0" w:color="FFFFFF"/>
              <w:left w:val="single" w:sz="4" w:space="0" w:color="auto"/>
              <w:bottom w:val="single" w:sz="8" w:space="0" w:color="FFFFFF"/>
              <w:right w:val="single" w:sz="4" w:space="0" w:color="auto"/>
            </w:tcBorders>
            <w:shd w:val="clear" w:color="auto" w:fill="FFFFFF"/>
          </w:tcPr>
          <w:p w14:paraId="762D96D8" w14:textId="77777777" w:rsidR="001005D4" w:rsidRPr="00153AFB" w:rsidRDefault="001005D4" w:rsidP="00650F2B">
            <w:pPr>
              <w:rPr>
                <w:rFonts w:ascii="Arial" w:hAnsi="Arial" w:cs="Arial"/>
                <w:b/>
                <w:color w:val="000000" w:themeColor="text1"/>
              </w:rPr>
            </w:pPr>
          </w:p>
        </w:tc>
        <w:tc>
          <w:tcPr>
            <w:tcW w:w="0" w:type="auto"/>
            <w:tcBorders>
              <w:top w:val="single" w:sz="24" w:space="0" w:color="FFFFFF"/>
              <w:left w:val="single" w:sz="4" w:space="0" w:color="auto"/>
              <w:bottom w:val="single" w:sz="8" w:space="0" w:color="FFFFFF"/>
              <w:right w:val="single" w:sz="4" w:space="0" w:color="auto"/>
            </w:tcBorders>
            <w:shd w:val="clear" w:color="auto" w:fill="FFFFFF"/>
            <w:tcMar>
              <w:top w:w="15" w:type="dxa"/>
              <w:left w:w="73" w:type="dxa"/>
              <w:bottom w:w="0" w:type="dxa"/>
              <w:right w:w="73" w:type="dxa"/>
            </w:tcMar>
            <w:vAlign w:val="center"/>
            <w:hideMark/>
          </w:tcPr>
          <w:p w14:paraId="6DF7924C" w14:textId="0FF99DF6" w:rsidR="001005D4" w:rsidRPr="00153AFB" w:rsidRDefault="001005D4" w:rsidP="00650F2B">
            <w:pPr>
              <w:rPr>
                <w:rFonts w:ascii="Arial" w:hAnsi="Arial" w:cs="Arial"/>
                <w:b/>
                <w:color w:val="000000" w:themeColor="text1"/>
              </w:rPr>
            </w:pPr>
            <w:r w:rsidRPr="00153AFB">
              <w:rPr>
                <w:rFonts w:ascii="Arial" w:hAnsi="Arial" w:cs="Arial"/>
                <w:b/>
                <w:color w:val="000000" w:themeColor="text1"/>
              </w:rPr>
              <w:t xml:space="preserve">Coffee break </w:t>
            </w:r>
          </w:p>
        </w:tc>
      </w:tr>
      <w:tr w:rsidR="001005D4" w:rsidRPr="00153AFB" w14:paraId="0331BD28" w14:textId="77777777" w:rsidTr="00650F2B">
        <w:trPr>
          <w:trHeight w:val="1968"/>
        </w:trPr>
        <w:tc>
          <w:tcPr>
            <w:tcW w:w="0" w:type="auto"/>
            <w:tcBorders>
              <w:top w:val="single" w:sz="8" w:space="0" w:color="FFFFFF"/>
              <w:left w:val="single" w:sz="4" w:space="0" w:color="auto"/>
              <w:bottom w:val="single" w:sz="8" w:space="0" w:color="FFFFFF"/>
              <w:right w:val="single" w:sz="4" w:space="0" w:color="auto"/>
            </w:tcBorders>
            <w:shd w:val="clear" w:color="auto" w:fill="DBDBDB"/>
            <w:tcMar>
              <w:top w:w="15" w:type="dxa"/>
              <w:left w:w="73" w:type="dxa"/>
              <w:bottom w:w="0" w:type="dxa"/>
              <w:right w:w="73" w:type="dxa"/>
            </w:tcMar>
            <w:vAlign w:val="center"/>
            <w:hideMark/>
          </w:tcPr>
          <w:p w14:paraId="1995C7F9"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10:30 – 13:00</w:t>
            </w:r>
          </w:p>
        </w:tc>
        <w:tc>
          <w:tcPr>
            <w:tcW w:w="0" w:type="auto"/>
            <w:tcBorders>
              <w:top w:val="single" w:sz="8" w:space="0" w:color="FFFFFF"/>
              <w:left w:val="single" w:sz="4" w:space="0" w:color="auto"/>
              <w:bottom w:val="single" w:sz="8" w:space="0" w:color="FFFFFF"/>
              <w:right w:val="single" w:sz="4" w:space="0" w:color="auto"/>
            </w:tcBorders>
            <w:shd w:val="clear" w:color="auto" w:fill="DBDBDB"/>
          </w:tcPr>
          <w:p w14:paraId="0F5E43FF" w14:textId="77777777" w:rsidR="001005D4" w:rsidRPr="00153AFB" w:rsidRDefault="001005D4" w:rsidP="00650F2B">
            <w:pPr>
              <w:rPr>
                <w:rFonts w:ascii="Arial" w:hAnsi="Arial" w:cs="Arial"/>
                <w:b/>
                <w:color w:val="000000" w:themeColor="text1"/>
              </w:rPr>
            </w:pPr>
          </w:p>
        </w:tc>
        <w:tc>
          <w:tcPr>
            <w:tcW w:w="0" w:type="auto"/>
            <w:tcBorders>
              <w:top w:val="single" w:sz="8" w:space="0" w:color="FFFFFF"/>
              <w:left w:val="single" w:sz="4" w:space="0" w:color="auto"/>
              <w:bottom w:val="single" w:sz="8" w:space="0" w:color="FFFFFF"/>
              <w:right w:val="single" w:sz="4" w:space="0" w:color="auto"/>
            </w:tcBorders>
            <w:shd w:val="clear" w:color="auto" w:fill="DBDBDB"/>
            <w:tcMar>
              <w:top w:w="15" w:type="dxa"/>
              <w:left w:w="73" w:type="dxa"/>
              <w:bottom w:w="0" w:type="dxa"/>
              <w:right w:w="73" w:type="dxa"/>
            </w:tcMar>
            <w:vAlign w:val="center"/>
            <w:hideMark/>
          </w:tcPr>
          <w:p w14:paraId="22255F0B" w14:textId="4E00CA50" w:rsidR="001005D4" w:rsidRPr="00153AFB" w:rsidRDefault="001005D4" w:rsidP="00650F2B">
            <w:pPr>
              <w:rPr>
                <w:rFonts w:ascii="Arial" w:hAnsi="Arial" w:cs="Arial"/>
                <w:b/>
                <w:color w:val="000000" w:themeColor="text1"/>
              </w:rPr>
            </w:pPr>
            <w:r w:rsidRPr="00153AFB">
              <w:rPr>
                <w:rFonts w:ascii="Arial" w:hAnsi="Arial" w:cs="Arial"/>
                <w:b/>
                <w:color w:val="000000" w:themeColor="text1"/>
              </w:rPr>
              <w:t> </w:t>
            </w:r>
            <w:r w:rsidRPr="00153AFB">
              <w:rPr>
                <w:rFonts w:ascii="Arial" w:hAnsi="Arial" w:cs="Arial"/>
                <w:b/>
                <w:bCs/>
                <w:color w:val="000000" w:themeColor="text1"/>
              </w:rPr>
              <w:t>Technical Working Group Meeting, Part II</w:t>
            </w:r>
          </w:p>
          <w:p w14:paraId="0EBBFCB2"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 </w:t>
            </w:r>
          </w:p>
          <w:p w14:paraId="5CD9E804"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Presentation of scenarios</w:t>
            </w:r>
          </w:p>
          <w:p w14:paraId="2EA6D9DD" w14:textId="77777777" w:rsidR="001005D4" w:rsidRPr="00153AFB" w:rsidRDefault="001005D4" w:rsidP="00650F2B">
            <w:pPr>
              <w:numPr>
                <w:ilvl w:val="0"/>
                <w:numId w:val="31"/>
              </w:numPr>
              <w:rPr>
                <w:rFonts w:ascii="Arial" w:hAnsi="Arial" w:cs="Arial"/>
                <w:color w:val="000000" w:themeColor="text1"/>
              </w:rPr>
            </w:pPr>
            <w:r w:rsidRPr="00153AFB">
              <w:rPr>
                <w:rFonts w:ascii="Arial" w:hAnsi="Arial" w:cs="Arial"/>
                <w:color w:val="000000" w:themeColor="text1"/>
              </w:rPr>
              <w:t xml:space="preserve">Presentation of preliminary scenarios – Pharos/Avenir </w:t>
            </w:r>
          </w:p>
          <w:p w14:paraId="5200C927" w14:textId="77777777" w:rsidR="001005D4" w:rsidRPr="00153AFB" w:rsidRDefault="001005D4" w:rsidP="00650F2B">
            <w:pPr>
              <w:numPr>
                <w:ilvl w:val="0"/>
                <w:numId w:val="31"/>
              </w:numPr>
              <w:rPr>
                <w:rFonts w:ascii="Arial" w:hAnsi="Arial" w:cs="Arial"/>
                <w:b/>
                <w:color w:val="000000" w:themeColor="text1"/>
              </w:rPr>
            </w:pPr>
            <w:r w:rsidRPr="00153AFB">
              <w:rPr>
                <w:rFonts w:ascii="Arial" w:hAnsi="Arial" w:cs="Arial"/>
                <w:color w:val="000000" w:themeColor="text1"/>
              </w:rPr>
              <w:t>Discussion and feedback on scenario design</w:t>
            </w:r>
          </w:p>
        </w:tc>
      </w:tr>
      <w:tr w:rsidR="001005D4" w:rsidRPr="00153AFB" w14:paraId="3A372645" w14:textId="77777777" w:rsidTr="00650F2B">
        <w:trPr>
          <w:trHeight w:val="364"/>
        </w:trPr>
        <w:tc>
          <w:tcPr>
            <w:tcW w:w="0" w:type="auto"/>
            <w:tcBorders>
              <w:top w:val="single" w:sz="8" w:space="0" w:color="FFFFFF"/>
              <w:left w:val="single" w:sz="4" w:space="0" w:color="auto"/>
              <w:bottom w:val="single" w:sz="8" w:space="0" w:color="FFFFFF"/>
              <w:right w:val="single" w:sz="4" w:space="0" w:color="auto"/>
            </w:tcBorders>
            <w:shd w:val="clear" w:color="auto" w:fill="FFFFFF"/>
            <w:tcMar>
              <w:top w:w="15" w:type="dxa"/>
              <w:left w:w="73" w:type="dxa"/>
              <w:bottom w:w="0" w:type="dxa"/>
              <w:right w:w="73" w:type="dxa"/>
            </w:tcMar>
            <w:vAlign w:val="center"/>
            <w:hideMark/>
          </w:tcPr>
          <w:p w14:paraId="26324ECC"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13:00 – 14:00</w:t>
            </w:r>
          </w:p>
        </w:tc>
        <w:tc>
          <w:tcPr>
            <w:tcW w:w="0" w:type="auto"/>
            <w:tcBorders>
              <w:top w:val="single" w:sz="8" w:space="0" w:color="FFFFFF"/>
              <w:left w:val="single" w:sz="4" w:space="0" w:color="auto"/>
              <w:bottom w:val="single" w:sz="8" w:space="0" w:color="FFFFFF"/>
              <w:right w:val="single" w:sz="4" w:space="0" w:color="auto"/>
            </w:tcBorders>
            <w:shd w:val="clear" w:color="auto" w:fill="FFFFFF"/>
          </w:tcPr>
          <w:p w14:paraId="2EDFFD10" w14:textId="77777777" w:rsidR="001005D4" w:rsidRPr="00153AFB" w:rsidRDefault="001005D4" w:rsidP="00650F2B">
            <w:pPr>
              <w:rPr>
                <w:rFonts w:ascii="Arial" w:hAnsi="Arial" w:cs="Arial"/>
                <w:b/>
                <w:color w:val="000000" w:themeColor="text1"/>
              </w:rPr>
            </w:pPr>
          </w:p>
        </w:tc>
        <w:tc>
          <w:tcPr>
            <w:tcW w:w="0" w:type="auto"/>
            <w:tcBorders>
              <w:top w:val="single" w:sz="8" w:space="0" w:color="FFFFFF"/>
              <w:left w:val="single" w:sz="4" w:space="0" w:color="auto"/>
              <w:bottom w:val="single" w:sz="8" w:space="0" w:color="FFFFFF"/>
              <w:right w:val="single" w:sz="4" w:space="0" w:color="auto"/>
            </w:tcBorders>
            <w:shd w:val="clear" w:color="auto" w:fill="FFFFFF"/>
            <w:tcMar>
              <w:top w:w="15" w:type="dxa"/>
              <w:left w:w="73" w:type="dxa"/>
              <w:bottom w:w="0" w:type="dxa"/>
              <w:right w:w="73" w:type="dxa"/>
            </w:tcMar>
            <w:vAlign w:val="center"/>
            <w:hideMark/>
          </w:tcPr>
          <w:p w14:paraId="7305A27A" w14:textId="2E633473" w:rsidR="001005D4" w:rsidRPr="00153AFB" w:rsidRDefault="001005D4" w:rsidP="00650F2B">
            <w:pPr>
              <w:rPr>
                <w:rFonts w:ascii="Arial" w:hAnsi="Arial" w:cs="Arial"/>
                <w:b/>
                <w:color w:val="000000" w:themeColor="text1"/>
              </w:rPr>
            </w:pPr>
            <w:r w:rsidRPr="00153AFB">
              <w:rPr>
                <w:rFonts w:ascii="Arial" w:hAnsi="Arial" w:cs="Arial"/>
                <w:b/>
                <w:color w:val="000000" w:themeColor="text1"/>
              </w:rPr>
              <w:t xml:space="preserve">Lunch break </w:t>
            </w:r>
          </w:p>
        </w:tc>
      </w:tr>
      <w:tr w:rsidR="001005D4" w:rsidRPr="00153AFB" w14:paraId="271695AD" w14:textId="77777777" w:rsidTr="00650F2B">
        <w:trPr>
          <w:trHeight w:val="2960"/>
        </w:trPr>
        <w:tc>
          <w:tcPr>
            <w:tcW w:w="0" w:type="auto"/>
            <w:tcBorders>
              <w:top w:val="single" w:sz="8" w:space="0" w:color="FFFFFF"/>
              <w:left w:val="single" w:sz="4" w:space="0" w:color="auto"/>
              <w:bottom w:val="single" w:sz="4" w:space="0" w:color="auto"/>
              <w:right w:val="single" w:sz="4" w:space="0" w:color="auto"/>
            </w:tcBorders>
            <w:shd w:val="clear" w:color="auto" w:fill="DBDBDB"/>
            <w:tcMar>
              <w:top w:w="15" w:type="dxa"/>
              <w:left w:w="73" w:type="dxa"/>
              <w:bottom w:w="0" w:type="dxa"/>
              <w:right w:w="73" w:type="dxa"/>
            </w:tcMar>
            <w:vAlign w:val="center"/>
            <w:hideMark/>
          </w:tcPr>
          <w:p w14:paraId="70C3F9F5"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 xml:space="preserve">14:00 – 16:00 </w:t>
            </w:r>
          </w:p>
        </w:tc>
        <w:tc>
          <w:tcPr>
            <w:tcW w:w="0" w:type="auto"/>
            <w:tcBorders>
              <w:top w:val="single" w:sz="8" w:space="0" w:color="FFFFFF"/>
              <w:left w:val="single" w:sz="4" w:space="0" w:color="auto"/>
              <w:bottom w:val="single" w:sz="4" w:space="0" w:color="auto"/>
              <w:right w:val="single" w:sz="4" w:space="0" w:color="auto"/>
            </w:tcBorders>
            <w:shd w:val="clear" w:color="auto" w:fill="DBDBDB"/>
          </w:tcPr>
          <w:p w14:paraId="228236E7" w14:textId="77777777" w:rsidR="001005D4" w:rsidRPr="00153AFB" w:rsidRDefault="001005D4" w:rsidP="00650F2B">
            <w:pPr>
              <w:rPr>
                <w:rFonts w:ascii="Arial" w:hAnsi="Arial" w:cs="Arial"/>
                <w:b/>
                <w:bCs/>
                <w:color w:val="000000" w:themeColor="text1"/>
              </w:rPr>
            </w:pPr>
          </w:p>
        </w:tc>
        <w:tc>
          <w:tcPr>
            <w:tcW w:w="0" w:type="auto"/>
            <w:tcBorders>
              <w:top w:val="single" w:sz="8" w:space="0" w:color="FFFFFF"/>
              <w:left w:val="single" w:sz="4" w:space="0" w:color="auto"/>
              <w:bottom w:val="single" w:sz="4" w:space="0" w:color="auto"/>
              <w:right w:val="single" w:sz="4" w:space="0" w:color="auto"/>
            </w:tcBorders>
            <w:shd w:val="clear" w:color="auto" w:fill="DBDBDB"/>
            <w:tcMar>
              <w:top w:w="15" w:type="dxa"/>
              <w:left w:w="73" w:type="dxa"/>
              <w:bottom w:w="0" w:type="dxa"/>
              <w:right w:w="73" w:type="dxa"/>
            </w:tcMar>
            <w:vAlign w:val="center"/>
            <w:hideMark/>
          </w:tcPr>
          <w:p w14:paraId="2959247E" w14:textId="61FC2E1F"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Technical Working Group Meeting, Part III</w:t>
            </w:r>
          </w:p>
          <w:p w14:paraId="5BD9AC3F"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 </w:t>
            </w:r>
          </w:p>
          <w:p w14:paraId="48B1C8C0" w14:textId="77777777" w:rsidR="001005D4" w:rsidRPr="00153AFB" w:rsidRDefault="001005D4" w:rsidP="00650F2B">
            <w:pPr>
              <w:rPr>
                <w:rFonts w:ascii="Arial" w:hAnsi="Arial" w:cs="Arial"/>
                <w:b/>
                <w:color w:val="000000" w:themeColor="text1"/>
              </w:rPr>
            </w:pPr>
            <w:r w:rsidRPr="00153AFB">
              <w:rPr>
                <w:rFonts w:ascii="Arial" w:hAnsi="Arial" w:cs="Arial"/>
                <w:b/>
                <w:bCs/>
                <w:color w:val="000000" w:themeColor="text1"/>
              </w:rPr>
              <w:t>Review key assumptions and missing data</w:t>
            </w:r>
          </w:p>
          <w:p w14:paraId="676F3BC0" w14:textId="77777777" w:rsidR="001005D4" w:rsidRPr="00153AFB" w:rsidRDefault="001005D4" w:rsidP="00650F2B">
            <w:pPr>
              <w:numPr>
                <w:ilvl w:val="0"/>
                <w:numId w:val="32"/>
              </w:numPr>
              <w:rPr>
                <w:rFonts w:ascii="Arial" w:hAnsi="Arial" w:cs="Arial"/>
                <w:color w:val="000000" w:themeColor="text1"/>
              </w:rPr>
            </w:pPr>
            <w:r w:rsidRPr="00153AFB">
              <w:rPr>
                <w:rFonts w:ascii="Arial" w:hAnsi="Arial" w:cs="Arial"/>
                <w:color w:val="000000" w:themeColor="text1"/>
              </w:rPr>
              <w:t>Complete scenario discussion, as needed</w:t>
            </w:r>
          </w:p>
          <w:p w14:paraId="315411F6" w14:textId="77777777" w:rsidR="001005D4" w:rsidRPr="00153AFB" w:rsidRDefault="001005D4" w:rsidP="00650F2B">
            <w:pPr>
              <w:numPr>
                <w:ilvl w:val="0"/>
                <w:numId w:val="32"/>
              </w:numPr>
              <w:rPr>
                <w:rFonts w:ascii="Arial" w:hAnsi="Arial" w:cs="Arial"/>
                <w:color w:val="000000" w:themeColor="text1"/>
              </w:rPr>
            </w:pPr>
            <w:r w:rsidRPr="00153AFB">
              <w:rPr>
                <w:rFonts w:ascii="Arial" w:hAnsi="Arial" w:cs="Arial"/>
                <w:color w:val="000000" w:themeColor="text1"/>
              </w:rPr>
              <w:t xml:space="preserve">Discussion of missing data and key assumptions: epi assumptions, coverage assumptions, cost assumptions, and financing projections </w:t>
            </w:r>
          </w:p>
          <w:p w14:paraId="0141E2B6" w14:textId="77777777" w:rsidR="001005D4" w:rsidRPr="00153AFB" w:rsidRDefault="001005D4" w:rsidP="00650F2B">
            <w:pPr>
              <w:numPr>
                <w:ilvl w:val="0"/>
                <w:numId w:val="32"/>
              </w:numPr>
              <w:rPr>
                <w:rFonts w:ascii="Arial" w:hAnsi="Arial" w:cs="Arial"/>
                <w:color w:val="000000" w:themeColor="text1"/>
              </w:rPr>
            </w:pPr>
            <w:r w:rsidRPr="00153AFB">
              <w:rPr>
                <w:rFonts w:ascii="Arial" w:hAnsi="Arial" w:cs="Arial"/>
                <w:color w:val="000000" w:themeColor="text1"/>
              </w:rPr>
              <w:t>Recap discussions from today</w:t>
            </w:r>
          </w:p>
          <w:p w14:paraId="57A31983" w14:textId="77777777" w:rsidR="001005D4" w:rsidRPr="00153AFB" w:rsidRDefault="001005D4" w:rsidP="00650F2B">
            <w:pPr>
              <w:numPr>
                <w:ilvl w:val="0"/>
                <w:numId w:val="32"/>
              </w:numPr>
              <w:rPr>
                <w:rFonts w:ascii="Arial" w:hAnsi="Arial" w:cs="Arial"/>
                <w:b/>
                <w:color w:val="000000" w:themeColor="text1"/>
              </w:rPr>
            </w:pPr>
            <w:r w:rsidRPr="00153AFB">
              <w:rPr>
                <w:rFonts w:ascii="Arial" w:hAnsi="Arial" w:cs="Arial"/>
                <w:color w:val="000000" w:themeColor="text1"/>
              </w:rPr>
              <w:t>Map follow-up responsibilities and discuss investment case process – Pharos/Avenir</w:t>
            </w:r>
          </w:p>
        </w:tc>
      </w:tr>
    </w:tbl>
    <w:p w14:paraId="50FFACFB" w14:textId="77777777" w:rsidR="00CC53DD" w:rsidRDefault="00CC53DD" w:rsidP="007067DC">
      <w:pPr>
        <w:spacing w:after="0"/>
        <w:rPr>
          <w:rFonts w:ascii="Arial" w:hAnsi="Arial" w:cs="Arial"/>
          <w:color w:val="000000" w:themeColor="text1"/>
        </w:rPr>
      </w:pPr>
    </w:p>
    <w:p w14:paraId="7DF458D6" w14:textId="372B60C5" w:rsidR="001005D4" w:rsidRPr="005B5A2B" w:rsidRDefault="00D5380A" w:rsidP="001005D4">
      <w:pPr>
        <w:pStyle w:val="Heading2"/>
        <w:rPr>
          <w:rFonts w:ascii="Arial" w:hAnsi="Arial" w:cs="Arial"/>
          <w:color w:val="000000" w:themeColor="text1"/>
        </w:rPr>
      </w:pPr>
      <w:bookmarkStart w:id="142" w:name="_Toc57035235"/>
      <w:r w:rsidRPr="005B5A2B">
        <w:rPr>
          <w:rFonts w:ascii="Arial" w:hAnsi="Arial" w:cs="Arial"/>
          <w:color w:val="000000" w:themeColor="text1"/>
        </w:rPr>
        <w:t xml:space="preserve">Annex </w:t>
      </w:r>
      <w:r w:rsidR="0094260B" w:rsidRPr="005B5A2B">
        <w:rPr>
          <w:rFonts w:ascii="Arial" w:hAnsi="Arial" w:cs="Arial"/>
          <w:color w:val="000000" w:themeColor="text1"/>
        </w:rPr>
        <w:t>3</w:t>
      </w:r>
      <w:r w:rsidRPr="005B5A2B">
        <w:rPr>
          <w:rFonts w:ascii="Arial" w:hAnsi="Arial" w:cs="Arial"/>
          <w:color w:val="000000" w:themeColor="text1"/>
        </w:rPr>
        <w:t xml:space="preserve">. </w:t>
      </w:r>
      <w:r w:rsidR="0094260B" w:rsidRPr="005B5A2B">
        <w:rPr>
          <w:rFonts w:ascii="Arial" w:hAnsi="Arial" w:cs="Arial"/>
          <w:color w:val="000000" w:themeColor="text1"/>
        </w:rPr>
        <w:t>HIV p</w:t>
      </w:r>
      <w:r w:rsidRPr="005B5A2B">
        <w:rPr>
          <w:rFonts w:ascii="Arial" w:hAnsi="Arial" w:cs="Arial"/>
          <w:color w:val="000000" w:themeColor="text1"/>
        </w:rPr>
        <w:t xml:space="preserve">revalence </w:t>
      </w:r>
      <w:r w:rsidR="0094260B" w:rsidRPr="005B5A2B">
        <w:rPr>
          <w:rFonts w:ascii="Arial" w:hAnsi="Arial" w:cs="Arial"/>
          <w:color w:val="000000" w:themeColor="text1"/>
        </w:rPr>
        <w:t xml:space="preserve">in Tanzania </w:t>
      </w:r>
      <w:r w:rsidRPr="005B5A2B">
        <w:rPr>
          <w:rFonts w:ascii="Arial" w:hAnsi="Arial" w:cs="Arial"/>
          <w:color w:val="000000" w:themeColor="text1"/>
        </w:rPr>
        <w:t>by age and sex</w:t>
      </w:r>
      <w:bookmarkEnd w:id="142"/>
      <w:r w:rsidRPr="005B5A2B">
        <w:rPr>
          <w:rFonts w:ascii="Arial" w:hAnsi="Arial" w:cs="Arial"/>
          <w:color w:val="000000" w:themeColor="text1"/>
        </w:rPr>
        <w:t xml:space="preserve"> </w:t>
      </w:r>
    </w:p>
    <w:p w14:paraId="02CE3468" w14:textId="77777777" w:rsidR="00D5380A" w:rsidRPr="00D5380A" w:rsidRDefault="00D5380A" w:rsidP="00D5380A"/>
    <w:tbl>
      <w:tblPr>
        <w:tblW w:w="9350" w:type="dxa"/>
        <w:tblLayout w:type="fixed"/>
        <w:tblLook w:val="04A0" w:firstRow="1" w:lastRow="0" w:firstColumn="1" w:lastColumn="0" w:noHBand="0" w:noVBand="1"/>
      </w:tblPr>
      <w:tblGrid>
        <w:gridCol w:w="1345"/>
        <w:gridCol w:w="1440"/>
        <w:gridCol w:w="1139"/>
        <w:gridCol w:w="1471"/>
        <w:gridCol w:w="1260"/>
        <w:gridCol w:w="1530"/>
        <w:gridCol w:w="1165"/>
      </w:tblGrid>
      <w:tr w:rsidR="00D5380A" w:rsidRPr="00D5380A" w14:paraId="5BEB9F9E" w14:textId="77777777" w:rsidTr="00D5380A">
        <w:trPr>
          <w:trHeight w:val="261"/>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4A03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 </w:t>
            </w:r>
          </w:p>
        </w:tc>
        <w:tc>
          <w:tcPr>
            <w:tcW w:w="25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F385BF"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Males</w:t>
            </w:r>
          </w:p>
        </w:tc>
        <w:tc>
          <w:tcPr>
            <w:tcW w:w="27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5EBE89"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Females</w:t>
            </w:r>
          </w:p>
        </w:tc>
        <w:tc>
          <w:tcPr>
            <w:tcW w:w="26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C078EA"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Total</w:t>
            </w:r>
          </w:p>
        </w:tc>
      </w:tr>
      <w:tr w:rsidR="00D5380A" w:rsidRPr="00D5380A" w14:paraId="20EFB816"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9575EEA" w14:textId="0C8B3D7B"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 Age group</w:t>
            </w:r>
          </w:p>
        </w:tc>
        <w:tc>
          <w:tcPr>
            <w:tcW w:w="1440" w:type="dxa"/>
            <w:tcBorders>
              <w:top w:val="nil"/>
              <w:left w:val="nil"/>
              <w:bottom w:val="single" w:sz="4" w:space="0" w:color="auto"/>
              <w:right w:val="single" w:sz="4" w:space="0" w:color="auto"/>
            </w:tcBorders>
            <w:shd w:val="clear" w:color="auto" w:fill="auto"/>
            <w:noWrap/>
            <w:vAlign w:val="bottom"/>
            <w:hideMark/>
          </w:tcPr>
          <w:p w14:paraId="27E13424" w14:textId="70B8476B"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Percentage HIV positive</w:t>
            </w:r>
          </w:p>
        </w:tc>
        <w:tc>
          <w:tcPr>
            <w:tcW w:w="1139" w:type="dxa"/>
            <w:tcBorders>
              <w:top w:val="nil"/>
              <w:left w:val="nil"/>
              <w:bottom w:val="single" w:sz="4" w:space="0" w:color="auto"/>
              <w:right w:val="single" w:sz="4" w:space="0" w:color="auto"/>
            </w:tcBorders>
            <w:shd w:val="clear" w:color="auto" w:fill="auto"/>
            <w:noWrap/>
            <w:vAlign w:val="bottom"/>
            <w:hideMark/>
          </w:tcPr>
          <w:p w14:paraId="059A09BF"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Number</w:t>
            </w:r>
          </w:p>
        </w:tc>
        <w:tc>
          <w:tcPr>
            <w:tcW w:w="1471" w:type="dxa"/>
            <w:tcBorders>
              <w:top w:val="nil"/>
              <w:left w:val="nil"/>
              <w:bottom w:val="single" w:sz="4" w:space="0" w:color="auto"/>
              <w:right w:val="single" w:sz="4" w:space="0" w:color="auto"/>
            </w:tcBorders>
            <w:shd w:val="clear" w:color="auto" w:fill="auto"/>
            <w:noWrap/>
            <w:vAlign w:val="bottom"/>
            <w:hideMark/>
          </w:tcPr>
          <w:p w14:paraId="01748E80"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Percentage HIV positive</w:t>
            </w:r>
          </w:p>
        </w:tc>
        <w:tc>
          <w:tcPr>
            <w:tcW w:w="1260" w:type="dxa"/>
            <w:tcBorders>
              <w:top w:val="nil"/>
              <w:left w:val="nil"/>
              <w:bottom w:val="single" w:sz="4" w:space="0" w:color="auto"/>
              <w:right w:val="single" w:sz="4" w:space="0" w:color="auto"/>
            </w:tcBorders>
            <w:shd w:val="clear" w:color="auto" w:fill="auto"/>
            <w:noWrap/>
            <w:vAlign w:val="bottom"/>
            <w:hideMark/>
          </w:tcPr>
          <w:p w14:paraId="6F8B7B1F"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Number</w:t>
            </w:r>
          </w:p>
        </w:tc>
        <w:tc>
          <w:tcPr>
            <w:tcW w:w="1530" w:type="dxa"/>
            <w:tcBorders>
              <w:top w:val="nil"/>
              <w:left w:val="nil"/>
              <w:bottom w:val="single" w:sz="4" w:space="0" w:color="auto"/>
              <w:right w:val="single" w:sz="4" w:space="0" w:color="auto"/>
            </w:tcBorders>
            <w:shd w:val="clear" w:color="auto" w:fill="auto"/>
            <w:noWrap/>
            <w:vAlign w:val="bottom"/>
            <w:hideMark/>
          </w:tcPr>
          <w:p w14:paraId="54FF3E10"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Percentage HIV positive</w:t>
            </w:r>
          </w:p>
        </w:tc>
        <w:tc>
          <w:tcPr>
            <w:tcW w:w="1165" w:type="dxa"/>
            <w:tcBorders>
              <w:top w:val="nil"/>
              <w:left w:val="nil"/>
              <w:bottom w:val="single" w:sz="4" w:space="0" w:color="auto"/>
              <w:right w:val="single" w:sz="4" w:space="0" w:color="auto"/>
            </w:tcBorders>
            <w:shd w:val="clear" w:color="auto" w:fill="auto"/>
            <w:noWrap/>
            <w:vAlign w:val="bottom"/>
            <w:hideMark/>
          </w:tcPr>
          <w:p w14:paraId="5EFCBD1C" w14:textId="77777777" w:rsidR="00D5380A" w:rsidRPr="00D5380A" w:rsidRDefault="00D5380A" w:rsidP="00D5380A">
            <w:pPr>
              <w:spacing w:after="0" w:line="240" w:lineRule="auto"/>
              <w:jc w:val="center"/>
              <w:rPr>
                <w:rFonts w:ascii="Arial" w:eastAsia="Times New Roman" w:hAnsi="Arial" w:cs="Arial"/>
                <w:color w:val="000000"/>
                <w:szCs w:val="22"/>
              </w:rPr>
            </w:pPr>
            <w:r w:rsidRPr="00D5380A">
              <w:rPr>
                <w:rFonts w:ascii="Arial" w:eastAsia="Times New Roman" w:hAnsi="Arial" w:cs="Arial"/>
                <w:color w:val="000000"/>
                <w:szCs w:val="22"/>
              </w:rPr>
              <w:t>Number</w:t>
            </w:r>
          </w:p>
        </w:tc>
      </w:tr>
      <w:tr w:rsidR="00D5380A" w:rsidRPr="00D5380A" w14:paraId="1E12C865"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775E07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0-17 months</w:t>
            </w:r>
          </w:p>
        </w:tc>
        <w:tc>
          <w:tcPr>
            <w:tcW w:w="1440" w:type="dxa"/>
            <w:tcBorders>
              <w:top w:val="nil"/>
              <w:left w:val="nil"/>
              <w:bottom w:val="single" w:sz="4" w:space="0" w:color="auto"/>
              <w:right w:val="single" w:sz="4" w:space="0" w:color="auto"/>
            </w:tcBorders>
            <w:shd w:val="clear" w:color="auto" w:fill="auto"/>
            <w:noWrap/>
            <w:vAlign w:val="bottom"/>
            <w:hideMark/>
          </w:tcPr>
          <w:p w14:paraId="7030D8B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0.1</w:t>
            </w:r>
          </w:p>
        </w:tc>
        <w:tc>
          <w:tcPr>
            <w:tcW w:w="1139" w:type="dxa"/>
            <w:tcBorders>
              <w:top w:val="nil"/>
              <w:left w:val="nil"/>
              <w:bottom w:val="single" w:sz="4" w:space="0" w:color="auto"/>
              <w:right w:val="single" w:sz="4" w:space="0" w:color="auto"/>
            </w:tcBorders>
            <w:shd w:val="clear" w:color="auto" w:fill="auto"/>
            <w:noWrap/>
            <w:vAlign w:val="bottom"/>
            <w:hideMark/>
          </w:tcPr>
          <w:p w14:paraId="1CF7F4F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538</w:t>
            </w:r>
          </w:p>
        </w:tc>
        <w:tc>
          <w:tcPr>
            <w:tcW w:w="1471" w:type="dxa"/>
            <w:tcBorders>
              <w:top w:val="nil"/>
              <w:left w:val="nil"/>
              <w:bottom w:val="single" w:sz="4" w:space="0" w:color="auto"/>
              <w:right w:val="single" w:sz="4" w:space="0" w:color="auto"/>
            </w:tcBorders>
            <w:shd w:val="clear" w:color="auto" w:fill="auto"/>
            <w:noWrap/>
            <w:vAlign w:val="bottom"/>
            <w:hideMark/>
          </w:tcPr>
          <w:p w14:paraId="6F7DC95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0.4</w:t>
            </w:r>
          </w:p>
        </w:tc>
        <w:tc>
          <w:tcPr>
            <w:tcW w:w="1260" w:type="dxa"/>
            <w:tcBorders>
              <w:top w:val="nil"/>
              <w:left w:val="nil"/>
              <w:bottom w:val="single" w:sz="4" w:space="0" w:color="auto"/>
              <w:right w:val="single" w:sz="4" w:space="0" w:color="auto"/>
            </w:tcBorders>
            <w:shd w:val="clear" w:color="auto" w:fill="auto"/>
            <w:noWrap/>
            <w:vAlign w:val="bottom"/>
            <w:hideMark/>
          </w:tcPr>
          <w:p w14:paraId="47A253D1"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525</w:t>
            </w:r>
          </w:p>
        </w:tc>
        <w:tc>
          <w:tcPr>
            <w:tcW w:w="1530" w:type="dxa"/>
            <w:tcBorders>
              <w:top w:val="nil"/>
              <w:left w:val="nil"/>
              <w:bottom w:val="single" w:sz="4" w:space="0" w:color="auto"/>
              <w:right w:val="single" w:sz="4" w:space="0" w:color="auto"/>
            </w:tcBorders>
            <w:shd w:val="clear" w:color="auto" w:fill="auto"/>
            <w:noWrap/>
            <w:vAlign w:val="bottom"/>
            <w:hideMark/>
          </w:tcPr>
          <w:p w14:paraId="397655C3"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0.3</w:t>
            </w:r>
          </w:p>
        </w:tc>
        <w:tc>
          <w:tcPr>
            <w:tcW w:w="1165" w:type="dxa"/>
            <w:tcBorders>
              <w:top w:val="nil"/>
              <w:left w:val="nil"/>
              <w:bottom w:val="single" w:sz="4" w:space="0" w:color="auto"/>
              <w:right w:val="single" w:sz="4" w:space="0" w:color="auto"/>
            </w:tcBorders>
            <w:shd w:val="clear" w:color="auto" w:fill="auto"/>
            <w:noWrap/>
            <w:vAlign w:val="bottom"/>
            <w:hideMark/>
          </w:tcPr>
          <w:p w14:paraId="0BC4F5B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1,063</w:t>
            </w:r>
          </w:p>
        </w:tc>
      </w:tr>
      <w:tr w:rsidR="00D5380A" w:rsidRPr="00D5380A" w14:paraId="1F21317A"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19E818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18-59 months</w:t>
            </w:r>
          </w:p>
        </w:tc>
        <w:tc>
          <w:tcPr>
            <w:tcW w:w="1440" w:type="dxa"/>
            <w:tcBorders>
              <w:top w:val="nil"/>
              <w:left w:val="nil"/>
              <w:bottom w:val="single" w:sz="4" w:space="0" w:color="auto"/>
              <w:right w:val="single" w:sz="4" w:space="0" w:color="auto"/>
            </w:tcBorders>
            <w:shd w:val="clear" w:color="auto" w:fill="auto"/>
            <w:noWrap/>
            <w:vAlign w:val="bottom"/>
            <w:hideMark/>
          </w:tcPr>
          <w:p w14:paraId="48DC637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0.2</w:t>
            </w:r>
          </w:p>
        </w:tc>
        <w:tc>
          <w:tcPr>
            <w:tcW w:w="1139" w:type="dxa"/>
            <w:tcBorders>
              <w:top w:val="nil"/>
              <w:left w:val="nil"/>
              <w:bottom w:val="single" w:sz="4" w:space="0" w:color="auto"/>
              <w:right w:val="single" w:sz="4" w:space="0" w:color="auto"/>
            </w:tcBorders>
            <w:shd w:val="clear" w:color="auto" w:fill="auto"/>
            <w:noWrap/>
            <w:vAlign w:val="bottom"/>
            <w:hideMark/>
          </w:tcPr>
          <w:p w14:paraId="49E0F8B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1,312</w:t>
            </w:r>
          </w:p>
        </w:tc>
        <w:tc>
          <w:tcPr>
            <w:tcW w:w="1471" w:type="dxa"/>
            <w:tcBorders>
              <w:top w:val="nil"/>
              <w:left w:val="nil"/>
              <w:bottom w:val="single" w:sz="4" w:space="0" w:color="auto"/>
              <w:right w:val="single" w:sz="4" w:space="0" w:color="auto"/>
            </w:tcBorders>
            <w:shd w:val="clear" w:color="auto" w:fill="auto"/>
            <w:noWrap/>
            <w:vAlign w:val="bottom"/>
            <w:hideMark/>
          </w:tcPr>
          <w:p w14:paraId="56B2639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0.7</w:t>
            </w:r>
          </w:p>
        </w:tc>
        <w:tc>
          <w:tcPr>
            <w:tcW w:w="1260" w:type="dxa"/>
            <w:tcBorders>
              <w:top w:val="nil"/>
              <w:left w:val="nil"/>
              <w:bottom w:val="single" w:sz="4" w:space="0" w:color="auto"/>
              <w:right w:val="single" w:sz="4" w:space="0" w:color="auto"/>
            </w:tcBorders>
            <w:shd w:val="clear" w:color="auto" w:fill="auto"/>
            <w:noWrap/>
            <w:vAlign w:val="bottom"/>
            <w:hideMark/>
          </w:tcPr>
          <w:p w14:paraId="14A2786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1,251</w:t>
            </w:r>
          </w:p>
        </w:tc>
        <w:tc>
          <w:tcPr>
            <w:tcW w:w="1530" w:type="dxa"/>
            <w:tcBorders>
              <w:top w:val="nil"/>
              <w:left w:val="nil"/>
              <w:bottom w:val="single" w:sz="4" w:space="0" w:color="auto"/>
              <w:right w:val="single" w:sz="4" w:space="0" w:color="auto"/>
            </w:tcBorders>
            <w:shd w:val="clear" w:color="auto" w:fill="auto"/>
            <w:noWrap/>
            <w:vAlign w:val="bottom"/>
            <w:hideMark/>
          </w:tcPr>
          <w:p w14:paraId="37F2199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0.4</w:t>
            </w:r>
          </w:p>
        </w:tc>
        <w:tc>
          <w:tcPr>
            <w:tcW w:w="1165" w:type="dxa"/>
            <w:tcBorders>
              <w:top w:val="nil"/>
              <w:left w:val="nil"/>
              <w:bottom w:val="single" w:sz="4" w:space="0" w:color="auto"/>
              <w:right w:val="single" w:sz="4" w:space="0" w:color="auto"/>
            </w:tcBorders>
            <w:shd w:val="clear" w:color="auto" w:fill="auto"/>
            <w:noWrap/>
            <w:vAlign w:val="bottom"/>
            <w:hideMark/>
          </w:tcPr>
          <w:p w14:paraId="5DCD116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2,563</w:t>
            </w:r>
          </w:p>
        </w:tc>
      </w:tr>
      <w:tr w:rsidR="00D5380A" w:rsidRPr="00D5380A" w14:paraId="7BAFC986"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773CA5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5-9</w:t>
            </w:r>
          </w:p>
        </w:tc>
        <w:tc>
          <w:tcPr>
            <w:tcW w:w="1440" w:type="dxa"/>
            <w:tcBorders>
              <w:top w:val="nil"/>
              <w:left w:val="nil"/>
              <w:bottom w:val="single" w:sz="4" w:space="0" w:color="auto"/>
              <w:right w:val="single" w:sz="4" w:space="0" w:color="auto"/>
            </w:tcBorders>
            <w:shd w:val="clear" w:color="auto" w:fill="auto"/>
            <w:noWrap/>
            <w:vAlign w:val="bottom"/>
            <w:hideMark/>
          </w:tcPr>
          <w:p w14:paraId="1027691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0.5</w:t>
            </w:r>
          </w:p>
        </w:tc>
        <w:tc>
          <w:tcPr>
            <w:tcW w:w="1139" w:type="dxa"/>
            <w:tcBorders>
              <w:top w:val="nil"/>
              <w:left w:val="nil"/>
              <w:bottom w:val="single" w:sz="4" w:space="0" w:color="auto"/>
              <w:right w:val="single" w:sz="4" w:space="0" w:color="auto"/>
            </w:tcBorders>
            <w:shd w:val="clear" w:color="auto" w:fill="auto"/>
            <w:noWrap/>
            <w:vAlign w:val="bottom"/>
            <w:hideMark/>
          </w:tcPr>
          <w:p w14:paraId="52F680C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1,661</w:t>
            </w:r>
          </w:p>
        </w:tc>
        <w:tc>
          <w:tcPr>
            <w:tcW w:w="1471" w:type="dxa"/>
            <w:tcBorders>
              <w:top w:val="nil"/>
              <w:left w:val="nil"/>
              <w:bottom w:val="single" w:sz="4" w:space="0" w:color="auto"/>
              <w:right w:val="single" w:sz="4" w:space="0" w:color="auto"/>
            </w:tcBorders>
            <w:shd w:val="clear" w:color="auto" w:fill="auto"/>
            <w:noWrap/>
            <w:vAlign w:val="bottom"/>
            <w:hideMark/>
          </w:tcPr>
          <w:p w14:paraId="55B61BD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0.5</w:t>
            </w:r>
          </w:p>
        </w:tc>
        <w:tc>
          <w:tcPr>
            <w:tcW w:w="1260" w:type="dxa"/>
            <w:tcBorders>
              <w:top w:val="nil"/>
              <w:left w:val="nil"/>
              <w:bottom w:val="single" w:sz="4" w:space="0" w:color="auto"/>
              <w:right w:val="single" w:sz="4" w:space="0" w:color="auto"/>
            </w:tcBorders>
            <w:shd w:val="clear" w:color="auto" w:fill="auto"/>
            <w:noWrap/>
            <w:vAlign w:val="bottom"/>
            <w:hideMark/>
          </w:tcPr>
          <w:p w14:paraId="4656FBF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1,607</w:t>
            </w:r>
          </w:p>
        </w:tc>
        <w:tc>
          <w:tcPr>
            <w:tcW w:w="1530" w:type="dxa"/>
            <w:tcBorders>
              <w:top w:val="nil"/>
              <w:left w:val="nil"/>
              <w:bottom w:val="single" w:sz="4" w:space="0" w:color="auto"/>
              <w:right w:val="single" w:sz="4" w:space="0" w:color="auto"/>
            </w:tcBorders>
            <w:shd w:val="clear" w:color="auto" w:fill="auto"/>
            <w:noWrap/>
            <w:vAlign w:val="bottom"/>
            <w:hideMark/>
          </w:tcPr>
          <w:p w14:paraId="120E26E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0.5</w:t>
            </w:r>
          </w:p>
        </w:tc>
        <w:tc>
          <w:tcPr>
            <w:tcW w:w="1165" w:type="dxa"/>
            <w:tcBorders>
              <w:top w:val="nil"/>
              <w:left w:val="nil"/>
              <w:bottom w:val="single" w:sz="4" w:space="0" w:color="auto"/>
              <w:right w:val="single" w:sz="4" w:space="0" w:color="auto"/>
            </w:tcBorders>
            <w:shd w:val="clear" w:color="auto" w:fill="auto"/>
            <w:noWrap/>
            <w:vAlign w:val="bottom"/>
            <w:hideMark/>
          </w:tcPr>
          <w:p w14:paraId="43F7276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3,268</w:t>
            </w:r>
          </w:p>
        </w:tc>
      </w:tr>
      <w:tr w:rsidR="00D5380A" w:rsidRPr="00D5380A" w14:paraId="7AD4903B"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1D3067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10-14</w:t>
            </w:r>
          </w:p>
        </w:tc>
        <w:tc>
          <w:tcPr>
            <w:tcW w:w="1440" w:type="dxa"/>
            <w:tcBorders>
              <w:top w:val="nil"/>
              <w:left w:val="nil"/>
              <w:bottom w:val="single" w:sz="4" w:space="0" w:color="auto"/>
              <w:right w:val="single" w:sz="4" w:space="0" w:color="auto"/>
            </w:tcBorders>
            <w:shd w:val="clear" w:color="auto" w:fill="auto"/>
            <w:noWrap/>
            <w:vAlign w:val="bottom"/>
            <w:hideMark/>
          </w:tcPr>
          <w:p w14:paraId="37AC464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0.3</w:t>
            </w:r>
          </w:p>
        </w:tc>
        <w:tc>
          <w:tcPr>
            <w:tcW w:w="1139" w:type="dxa"/>
            <w:tcBorders>
              <w:top w:val="nil"/>
              <w:left w:val="nil"/>
              <w:bottom w:val="single" w:sz="4" w:space="0" w:color="auto"/>
              <w:right w:val="single" w:sz="4" w:space="0" w:color="auto"/>
            </w:tcBorders>
            <w:shd w:val="clear" w:color="auto" w:fill="auto"/>
            <w:noWrap/>
            <w:vAlign w:val="bottom"/>
            <w:hideMark/>
          </w:tcPr>
          <w:p w14:paraId="671097A3"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1,345</w:t>
            </w:r>
          </w:p>
        </w:tc>
        <w:tc>
          <w:tcPr>
            <w:tcW w:w="1471" w:type="dxa"/>
            <w:tcBorders>
              <w:top w:val="nil"/>
              <w:left w:val="nil"/>
              <w:bottom w:val="single" w:sz="4" w:space="0" w:color="auto"/>
              <w:right w:val="single" w:sz="4" w:space="0" w:color="auto"/>
            </w:tcBorders>
            <w:shd w:val="clear" w:color="auto" w:fill="auto"/>
            <w:noWrap/>
            <w:vAlign w:val="bottom"/>
            <w:hideMark/>
          </w:tcPr>
          <w:p w14:paraId="0296288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0.3</w:t>
            </w:r>
          </w:p>
        </w:tc>
        <w:tc>
          <w:tcPr>
            <w:tcW w:w="1260" w:type="dxa"/>
            <w:tcBorders>
              <w:top w:val="nil"/>
              <w:left w:val="nil"/>
              <w:bottom w:val="single" w:sz="4" w:space="0" w:color="auto"/>
              <w:right w:val="single" w:sz="4" w:space="0" w:color="auto"/>
            </w:tcBorders>
            <w:shd w:val="clear" w:color="auto" w:fill="auto"/>
            <w:noWrap/>
            <w:vAlign w:val="bottom"/>
            <w:hideMark/>
          </w:tcPr>
          <w:p w14:paraId="559C79A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1,377</w:t>
            </w:r>
          </w:p>
        </w:tc>
        <w:tc>
          <w:tcPr>
            <w:tcW w:w="1530" w:type="dxa"/>
            <w:tcBorders>
              <w:top w:val="nil"/>
              <w:left w:val="nil"/>
              <w:bottom w:val="single" w:sz="4" w:space="0" w:color="auto"/>
              <w:right w:val="single" w:sz="4" w:space="0" w:color="auto"/>
            </w:tcBorders>
            <w:shd w:val="clear" w:color="auto" w:fill="auto"/>
            <w:noWrap/>
            <w:vAlign w:val="bottom"/>
            <w:hideMark/>
          </w:tcPr>
          <w:p w14:paraId="6EF3327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0.3</w:t>
            </w:r>
          </w:p>
        </w:tc>
        <w:tc>
          <w:tcPr>
            <w:tcW w:w="1165" w:type="dxa"/>
            <w:tcBorders>
              <w:top w:val="nil"/>
              <w:left w:val="nil"/>
              <w:bottom w:val="single" w:sz="4" w:space="0" w:color="auto"/>
              <w:right w:val="single" w:sz="4" w:space="0" w:color="auto"/>
            </w:tcBorders>
            <w:shd w:val="clear" w:color="auto" w:fill="auto"/>
            <w:noWrap/>
            <w:vAlign w:val="bottom"/>
            <w:hideMark/>
          </w:tcPr>
          <w:p w14:paraId="02E3DE5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2,722</w:t>
            </w:r>
          </w:p>
        </w:tc>
      </w:tr>
      <w:tr w:rsidR="00D5380A" w:rsidRPr="00D5380A" w14:paraId="68C483A2"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7AE1A3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0-4</w:t>
            </w:r>
          </w:p>
        </w:tc>
        <w:tc>
          <w:tcPr>
            <w:tcW w:w="1440" w:type="dxa"/>
            <w:tcBorders>
              <w:top w:val="nil"/>
              <w:left w:val="nil"/>
              <w:bottom w:val="single" w:sz="4" w:space="0" w:color="auto"/>
              <w:right w:val="single" w:sz="4" w:space="0" w:color="auto"/>
            </w:tcBorders>
            <w:shd w:val="clear" w:color="auto" w:fill="auto"/>
            <w:noWrap/>
            <w:vAlign w:val="bottom"/>
            <w:hideMark/>
          </w:tcPr>
          <w:p w14:paraId="7D30F81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0.2</w:t>
            </w:r>
          </w:p>
        </w:tc>
        <w:tc>
          <w:tcPr>
            <w:tcW w:w="1139" w:type="dxa"/>
            <w:tcBorders>
              <w:top w:val="nil"/>
              <w:left w:val="nil"/>
              <w:bottom w:val="single" w:sz="4" w:space="0" w:color="auto"/>
              <w:right w:val="single" w:sz="4" w:space="0" w:color="auto"/>
            </w:tcBorders>
            <w:shd w:val="clear" w:color="auto" w:fill="auto"/>
            <w:noWrap/>
            <w:vAlign w:val="bottom"/>
            <w:hideMark/>
          </w:tcPr>
          <w:p w14:paraId="5AAB509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1,850</w:t>
            </w:r>
          </w:p>
        </w:tc>
        <w:tc>
          <w:tcPr>
            <w:tcW w:w="1471" w:type="dxa"/>
            <w:tcBorders>
              <w:top w:val="nil"/>
              <w:left w:val="nil"/>
              <w:bottom w:val="single" w:sz="4" w:space="0" w:color="auto"/>
              <w:right w:val="single" w:sz="4" w:space="0" w:color="auto"/>
            </w:tcBorders>
            <w:shd w:val="clear" w:color="auto" w:fill="auto"/>
            <w:noWrap/>
            <w:vAlign w:val="bottom"/>
            <w:hideMark/>
          </w:tcPr>
          <w:p w14:paraId="793FABF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0.6</w:t>
            </w:r>
          </w:p>
        </w:tc>
        <w:tc>
          <w:tcPr>
            <w:tcW w:w="1260" w:type="dxa"/>
            <w:tcBorders>
              <w:top w:val="nil"/>
              <w:left w:val="nil"/>
              <w:bottom w:val="single" w:sz="4" w:space="0" w:color="auto"/>
              <w:right w:val="single" w:sz="4" w:space="0" w:color="auto"/>
            </w:tcBorders>
            <w:shd w:val="clear" w:color="auto" w:fill="auto"/>
            <w:noWrap/>
            <w:vAlign w:val="bottom"/>
            <w:hideMark/>
          </w:tcPr>
          <w:p w14:paraId="1AB4E6E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1,776</w:t>
            </w:r>
          </w:p>
        </w:tc>
        <w:tc>
          <w:tcPr>
            <w:tcW w:w="1530" w:type="dxa"/>
            <w:tcBorders>
              <w:top w:val="nil"/>
              <w:left w:val="nil"/>
              <w:bottom w:val="single" w:sz="4" w:space="0" w:color="auto"/>
              <w:right w:val="single" w:sz="4" w:space="0" w:color="auto"/>
            </w:tcBorders>
            <w:shd w:val="clear" w:color="auto" w:fill="auto"/>
            <w:noWrap/>
            <w:vAlign w:val="bottom"/>
            <w:hideMark/>
          </w:tcPr>
          <w:p w14:paraId="290B843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0.4</w:t>
            </w:r>
          </w:p>
        </w:tc>
        <w:tc>
          <w:tcPr>
            <w:tcW w:w="1165" w:type="dxa"/>
            <w:tcBorders>
              <w:top w:val="nil"/>
              <w:left w:val="nil"/>
              <w:bottom w:val="single" w:sz="4" w:space="0" w:color="auto"/>
              <w:right w:val="single" w:sz="4" w:space="0" w:color="auto"/>
            </w:tcBorders>
            <w:shd w:val="clear" w:color="auto" w:fill="auto"/>
            <w:noWrap/>
            <w:vAlign w:val="bottom"/>
            <w:hideMark/>
          </w:tcPr>
          <w:p w14:paraId="39DCDAD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3,626</w:t>
            </w:r>
          </w:p>
        </w:tc>
      </w:tr>
      <w:tr w:rsidR="00D5380A" w:rsidRPr="00D5380A" w14:paraId="7AD3B7B5"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5FABEA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0-14</w:t>
            </w:r>
          </w:p>
        </w:tc>
        <w:tc>
          <w:tcPr>
            <w:tcW w:w="1440" w:type="dxa"/>
            <w:tcBorders>
              <w:top w:val="nil"/>
              <w:left w:val="nil"/>
              <w:bottom w:val="single" w:sz="4" w:space="0" w:color="auto"/>
              <w:right w:val="single" w:sz="4" w:space="0" w:color="auto"/>
            </w:tcBorders>
            <w:shd w:val="clear" w:color="auto" w:fill="auto"/>
            <w:noWrap/>
            <w:vAlign w:val="bottom"/>
            <w:hideMark/>
          </w:tcPr>
          <w:p w14:paraId="0F7126F3"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0.3</w:t>
            </w:r>
          </w:p>
        </w:tc>
        <w:tc>
          <w:tcPr>
            <w:tcW w:w="1139" w:type="dxa"/>
            <w:tcBorders>
              <w:top w:val="nil"/>
              <w:left w:val="nil"/>
              <w:bottom w:val="single" w:sz="4" w:space="0" w:color="auto"/>
              <w:right w:val="single" w:sz="4" w:space="0" w:color="auto"/>
            </w:tcBorders>
            <w:shd w:val="clear" w:color="auto" w:fill="auto"/>
            <w:noWrap/>
            <w:vAlign w:val="bottom"/>
            <w:hideMark/>
          </w:tcPr>
          <w:p w14:paraId="02EFEBAF"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4,856</w:t>
            </w:r>
          </w:p>
        </w:tc>
        <w:tc>
          <w:tcPr>
            <w:tcW w:w="1471" w:type="dxa"/>
            <w:tcBorders>
              <w:top w:val="nil"/>
              <w:left w:val="nil"/>
              <w:bottom w:val="single" w:sz="4" w:space="0" w:color="auto"/>
              <w:right w:val="single" w:sz="4" w:space="0" w:color="auto"/>
            </w:tcBorders>
            <w:shd w:val="clear" w:color="auto" w:fill="auto"/>
            <w:noWrap/>
            <w:vAlign w:val="bottom"/>
            <w:hideMark/>
          </w:tcPr>
          <w:p w14:paraId="49313CE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0.5</w:t>
            </w:r>
          </w:p>
        </w:tc>
        <w:tc>
          <w:tcPr>
            <w:tcW w:w="1260" w:type="dxa"/>
            <w:tcBorders>
              <w:top w:val="nil"/>
              <w:left w:val="nil"/>
              <w:bottom w:val="single" w:sz="4" w:space="0" w:color="auto"/>
              <w:right w:val="single" w:sz="4" w:space="0" w:color="auto"/>
            </w:tcBorders>
            <w:shd w:val="clear" w:color="auto" w:fill="auto"/>
            <w:noWrap/>
            <w:vAlign w:val="bottom"/>
            <w:hideMark/>
          </w:tcPr>
          <w:p w14:paraId="00FABA8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4,760</w:t>
            </w:r>
          </w:p>
        </w:tc>
        <w:tc>
          <w:tcPr>
            <w:tcW w:w="1530" w:type="dxa"/>
            <w:tcBorders>
              <w:top w:val="nil"/>
              <w:left w:val="nil"/>
              <w:bottom w:val="single" w:sz="4" w:space="0" w:color="auto"/>
              <w:right w:val="single" w:sz="4" w:space="0" w:color="auto"/>
            </w:tcBorders>
            <w:shd w:val="clear" w:color="auto" w:fill="auto"/>
            <w:noWrap/>
            <w:vAlign w:val="bottom"/>
            <w:hideMark/>
          </w:tcPr>
          <w:p w14:paraId="2DD2652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0.4</w:t>
            </w:r>
          </w:p>
        </w:tc>
        <w:tc>
          <w:tcPr>
            <w:tcW w:w="1165" w:type="dxa"/>
            <w:tcBorders>
              <w:top w:val="nil"/>
              <w:left w:val="nil"/>
              <w:bottom w:val="single" w:sz="4" w:space="0" w:color="auto"/>
              <w:right w:val="single" w:sz="4" w:space="0" w:color="auto"/>
            </w:tcBorders>
            <w:shd w:val="clear" w:color="auto" w:fill="auto"/>
            <w:noWrap/>
            <w:vAlign w:val="bottom"/>
            <w:hideMark/>
          </w:tcPr>
          <w:p w14:paraId="7B800F31"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9,616</w:t>
            </w:r>
          </w:p>
        </w:tc>
      </w:tr>
      <w:tr w:rsidR="00D5380A" w:rsidRPr="00D5380A" w14:paraId="720AB9BA"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73B886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15-19</w:t>
            </w:r>
          </w:p>
        </w:tc>
        <w:tc>
          <w:tcPr>
            <w:tcW w:w="1440" w:type="dxa"/>
            <w:tcBorders>
              <w:top w:val="nil"/>
              <w:left w:val="nil"/>
              <w:bottom w:val="single" w:sz="4" w:space="0" w:color="auto"/>
              <w:right w:val="single" w:sz="4" w:space="0" w:color="auto"/>
            </w:tcBorders>
            <w:shd w:val="clear" w:color="auto" w:fill="auto"/>
            <w:noWrap/>
            <w:vAlign w:val="bottom"/>
            <w:hideMark/>
          </w:tcPr>
          <w:p w14:paraId="31EB9AD3"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0.4</w:t>
            </w:r>
          </w:p>
        </w:tc>
        <w:tc>
          <w:tcPr>
            <w:tcW w:w="1139" w:type="dxa"/>
            <w:tcBorders>
              <w:top w:val="nil"/>
              <w:left w:val="nil"/>
              <w:bottom w:val="single" w:sz="4" w:space="0" w:color="auto"/>
              <w:right w:val="single" w:sz="4" w:space="0" w:color="auto"/>
            </w:tcBorders>
            <w:shd w:val="clear" w:color="auto" w:fill="auto"/>
            <w:noWrap/>
            <w:vAlign w:val="bottom"/>
            <w:hideMark/>
          </w:tcPr>
          <w:p w14:paraId="369F633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2,533</w:t>
            </w:r>
          </w:p>
        </w:tc>
        <w:tc>
          <w:tcPr>
            <w:tcW w:w="1471" w:type="dxa"/>
            <w:tcBorders>
              <w:top w:val="nil"/>
              <w:left w:val="nil"/>
              <w:bottom w:val="single" w:sz="4" w:space="0" w:color="auto"/>
              <w:right w:val="single" w:sz="4" w:space="0" w:color="auto"/>
            </w:tcBorders>
            <w:shd w:val="clear" w:color="auto" w:fill="auto"/>
            <w:noWrap/>
            <w:vAlign w:val="bottom"/>
            <w:hideMark/>
          </w:tcPr>
          <w:p w14:paraId="1BAE61F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w:t>
            </w:r>
          </w:p>
        </w:tc>
        <w:tc>
          <w:tcPr>
            <w:tcW w:w="1260" w:type="dxa"/>
            <w:tcBorders>
              <w:top w:val="nil"/>
              <w:left w:val="nil"/>
              <w:bottom w:val="single" w:sz="4" w:space="0" w:color="auto"/>
              <w:right w:val="single" w:sz="4" w:space="0" w:color="auto"/>
            </w:tcBorders>
            <w:shd w:val="clear" w:color="auto" w:fill="auto"/>
            <w:noWrap/>
            <w:vAlign w:val="bottom"/>
            <w:hideMark/>
          </w:tcPr>
          <w:p w14:paraId="0BF2106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2,999</w:t>
            </w:r>
          </w:p>
        </w:tc>
        <w:tc>
          <w:tcPr>
            <w:tcW w:w="1530" w:type="dxa"/>
            <w:tcBorders>
              <w:top w:val="nil"/>
              <w:left w:val="nil"/>
              <w:bottom w:val="single" w:sz="4" w:space="0" w:color="auto"/>
              <w:right w:val="single" w:sz="4" w:space="0" w:color="auto"/>
            </w:tcBorders>
            <w:shd w:val="clear" w:color="auto" w:fill="auto"/>
            <w:noWrap/>
            <w:vAlign w:val="bottom"/>
            <w:hideMark/>
          </w:tcPr>
          <w:p w14:paraId="606C5C6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0.7</w:t>
            </w:r>
          </w:p>
        </w:tc>
        <w:tc>
          <w:tcPr>
            <w:tcW w:w="1165" w:type="dxa"/>
            <w:tcBorders>
              <w:top w:val="nil"/>
              <w:left w:val="nil"/>
              <w:bottom w:val="single" w:sz="4" w:space="0" w:color="auto"/>
              <w:right w:val="single" w:sz="4" w:space="0" w:color="auto"/>
            </w:tcBorders>
            <w:shd w:val="clear" w:color="auto" w:fill="auto"/>
            <w:noWrap/>
            <w:vAlign w:val="bottom"/>
            <w:hideMark/>
          </w:tcPr>
          <w:p w14:paraId="382156C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5,532</w:t>
            </w:r>
          </w:p>
        </w:tc>
      </w:tr>
      <w:tr w:rsidR="00D5380A" w:rsidRPr="00D5380A" w14:paraId="48A56A8D"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083FF9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20-24</w:t>
            </w:r>
          </w:p>
        </w:tc>
        <w:tc>
          <w:tcPr>
            <w:tcW w:w="1440" w:type="dxa"/>
            <w:tcBorders>
              <w:top w:val="nil"/>
              <w:left w:val="nil"/>
              <w:bottom w:val="single" w:sz="4" w:space="0" w:color="auto"/>
              <w:right w:val="single" w:sz="4" w:space="0" w:color="auto"/>
            </w:tcBorders>
            <w:shd w:val="clear" w:color="auto" w:fill="auto"/>
            <w:noWrap/>
            <w:vAlign w:val="bottom"/>
            <w:hideMark/>
          </w:tcPr>
          <w:p w14:paraId="02F0463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0.9</w:t>
            </w:r>
          </w:p>
        </w:tc>
        <w:tc>
          <w:tcPr>
            <w:tcW w:w="1139" w:type="dxa"/>
            <w:tcBorders>
              <w:top w:val="nil"/>
              <w:left w:val="nil"/>
              <w:bottom w:val="single" w:sz="4" w:space="0" w:color="auto"/>
              <w:right w:val="single" w:sz="4" w:space="0" w:color="auto"/>
            </w:tcBorders>
            <w:shd w:val="clear" w:color="auto" w:fill="auto"/>
            <w:noWrap/>
            <w:vAlign w:val="bottom"/>
            <w:hideMark/>
          </w:tcPr>
          <w:p w14:paraId="56C1FB4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1,987</w:t>
            </w:r>
          </w:p>
        </w:tc>
        <w:tc>
          <w:tcPr>
            <w:tcW w:w="1471" w:type="dxa"/>
            <w:tcBorders>
              <w:top w:val="nil"/>
              <w:left w:val="nil"/>
              <w:bottom w:val="single" w:sz="4" w:space="0" w:color="auto"/>
              <w:right w:val="single" w:sz="4" w:space="0" w:color="auto"/>
            </w:tcBorders>
            <w:shd w:val="clear" w:color="auto" w:fill="auto"/>
            <w:noWrap/>
            <w:vAlign w:val="bottom"/>
            <w:hideMark/>
          </w:tcPr>
          <w:p w14:paraId="6AD1AA1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3.4</w:t>
            </w:r>
          </w:p>
        </w:tc>
        <w:tc>
          <w:tcPr>
            <w:tcW w:w="1260" w:type="dxa"/>
            <w:tcBorders>
              <w:top w:val="nil"/>
              <w:left w:val="nil"/>
              <w:bottom w:val="single" w:sz="4" w:space="0" w:color="auto"/>
              <w:right w:val="single" w:sz="4" w:space="0" w:color="auto"/>
            </w:tcBorders>
            <w:shd w:val="clear" w:color="auto" w:fill="auto"/>
            <w:noWrap/>
            <w:vAlign w:val="bottom"/>
            <w:hideMark/>
          </w:tcPr>
          <w:p w14:paraId="0876EFE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2,845</w:t>
            </w:r>
          </w:p>
        </w:tc>
        <w:tc>
          <w:tcPr>
            <w:tcW w:w="1530" w:type="dxa"/>
            <w:tcBorders>
              <w:top w:val="nil"/>
              <w:left w:val="nil"/>
              <w:bottom w:val="single" w:sz="4" w:space="0" w:color="auto"/>
              <w:right w:val="single" w:sz="4" w:space="0" w:color="auto"/>
            </w:tcBorders>
            <w:shd w:val="clear" w:color="auto" w:fill="auto"/>
            <w:noWrap/>
            <w:vAlign w:val="bottom"/>
            <w:hideMark/>
          </w:tcPr>
          <w:p w14:paraId="55DF1A2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2.2</w:t>
            </w:r>
          </w:p>
        </w:tc>
        <w:tc>
          <w:tcPr>
            <w:tcW w:w="1165" w:type="dxa"/>
            <w:tcBorders>
              <w:top w:val="nil"/>
              <w:left w:val="nil"/>
              <w:bottom w:val="single" w:sz="4" w:space="0" w:color="auto"/>
              <w:right w:val="single" w:sz="4" w:space="0" w:color="auto"/>
            </w:tcBorders>
            <w:shd w:val="clear" w:color="auto" w:fill="auto"/>
            <w:noWrap/>
            <w:vAlign w:val="bottom"/>
            <w:hideMark/>
          </w:tcPr>
          <w:p w14:paraId="6AFB602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4,832</w:t>
            </w:r>
          </w:p>
        </w:tc>
      </w:tr>
      <w:tr w:rsidR="00D5380A" w:rsidRPr="00D5380A" w14:paraId="421732A0"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CF572B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25-29</w:t>
            </w:r>
          </w:p>
        </w:tc>
        <w:tc>
          <w:tcPr>
            <w:tcW w:w="1440" w:type="dxa"/>
            <w:tcBorders>
              <w:top w:val="nil"/>
              <w:left w:val="nil"/>
              <w:bottom w:val="single" w:sz="4" w:space="0" w:color="auto"/>
              <w:right w:val="single" w:sz="4" w:space="0" w:color="auto"/>
            </w:tcBorders>
            <w:shd w:val="clear" w:color="auto" w:fill="auto"/>
            <w:noWrap/>
            <w:vAlign w:val="bottom"/>
            <w:hideMark/>
          </w:tcPr>
          <w:p w14:paraId="3F3EF25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2.3</w:t>
            </w:r>
          </w:p>
        </w:tc>
        <w:tc>
          <w:tcPr>
            <w:tcW w:w="1139" w:type="dxa"/>
            <w:tcBorders>
              <w:top w:val="nil"/>
              <w:left w:val="nil"/>
              <w:bottom w:val="single" w:sz="4" w:space="0" w:color="auto"/>
              <w:right w:val="single" w:sz="4" w:space="0" w:color="auto"/>
            </w:tcBorders>
            <w:shd w:val="clear" w:color="auto" w:fill="auto"/>
            <w:noWrap/>
            <w:vAlign w:val="bottom"/>
            <w:hideMark/>
          </w:tcPr>
          <w:p w14:paraId="6CE3798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1,670</w:t>
            </w:r>
          </w:p>
        </w:tc>
        <w:tc>
          <w:tcPr>
            <w:tcW w:w="1471" w:type="dxa"/>
            <w:tcBorders>
              <w:top w:val="nil"/>
              <w:left w:val="nil"/>
              <w:bottom w:val="single" w:sz="4" w:space="0" w:color="auto"/>
              <w:right w:val="single" w:sz="4" w:space="0" w:color="auto"/>
            </w:tcBorders>
            <w:shd w:val="clear" w:color="auto" w:fill="auto"/>
            <w:noWrap/>
            <w:vAlign w:val="bottom"/>
            <w:hideMark/>
          </w:tcPr>
          <w:p w14:paraId="6DB9F0E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5.6</w:t>
            </w:r>
          </w:p>
        </w:tc>
        <w:tc>
          <w:tcPr>
            <w:tcW w:w="1260" w:type="dxa"/>
            <w:tcBorders>
              <w:top w:val="nil"/>
              <w:left w:val="nil"/>
              <w:bottom w:val="single" w:sz="4" w:space="0" w:color="auto"/>
              <w:right w:val="single" w:sz="4" w:space="0" w:color="auto"/>
            </w:tcBorders>
            <w:shd w:val="clear" w:color="auto" w:fill="auto"/>
            <w:noWrap/>
            <w:vAlign w:val="bottom"/>
            <w:hideMark/>
          </w:tcPr>
          <w:p w14:paraId="115CBFF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2,521</w:t>
            </w:r>
          </w:p>
        </w:tc>
        <w:tc>
          <w:tcPr>
            <w:tcW w:w="1530" w:type="dxa"/>
            <w:tcBorders>
              <w:top w:val="nil"/>
              <w:left w:val="nil"/>
              <w:bottom w:val="single" w:sz="4" w:space="0" w:color="auto"/>
              <w:right w:val="single" w:sz="4" w:space="0" w:color="auto"/>
            </w:tcBorders>
            <w:shd w:val="clear" w:color="auto" w:fill="auto"/>
            <w:noWrap/>
            <w:vAlign w:val="bottom"/>
            <w:hideMark/>
          </w:tcPr>
          <w:p w14:paraId="2E3E2B8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4.0</w:t>
            </w:r>
          </w:p>
        </w:tc>
        <w:tc>
          <w:tcPr>
            <w:tcW w:w="1165" w:type="dxa"/>
            <w:tcBorders>
              <w:top w:val="nil"/>
              <w:left w:val="nil"/>
              <w:bottom w:val="single" w:sz="4" w:space="0" w:color="auto"/>
              <w:right w:val="single" w:sz="4" w:space="0" w:color="auto"/>
            </w:tcBorders>
            <w:shd w:val="clear" w:color="auto" w:fill="auto"/>
            <w:noWrap/>
            <w:vAlign w:val="bottom"/>
            <w:hideMark/>
          </w:tcPr>
          <w:p w14:paraId="22195D2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4,191</w:t>
            </w:r>
          </w:p>
        </w:tc>
      </w:tr>
      <w:tr w:rsidR="00D5380A" w:rsidRPr="00D5380A" w14:paraId="00F99E23"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EFE0A5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30-34</w:t>
            </w:r>
          </w:p>
        </w:tc>
        <w:tc>
          <w:tcPr>
            <w:tcW w:w="1440" w:type="dxa"/>
            <w:tcBorders>
              <w:top w:val="nil"/>
              <w:left w:val="nil"/>
              <w:bottom w:val="single" w:sz="4" w:space="0" w:color="auto"/>
              <w:right w:val="single" w:sz="4" w:space="0" w:color="auto"/>
            </w:tcBorders>
            <w:shd w:val="clear" w:color="auto" w:fill="auto"/>
            <w:noWrap/>
            <w:vAlign w:val="bottom"/>
            <w:hideMark/>
          </w:tcPr>
          <w:p w14:paraId="42DF091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3.9</w:t>
            </w:r>
          </w:p>
        </w:tc>
        <w:tc>
          <w:tcPr>
            <w:tcW w:w="1139" w:type="dxa"/>
            <w:tcBorders>
              <w:top w:val="nil"/>
              <w:left w:val="nil"/>
              <w:bottom w:val="single" w:sz="4" w:space="0" w:color="auto"/>
              <w:right w:val="single" w:sz="4" w:space="0" w:color="auto"/>
            </w:tcBorders>
            <w:shd w:val="clear" w:color="auto" w:fill="auto"/>
            <w:noWrap/>
            <w:vAlign w:val="bottom"/>
            <w:hideMark/>
          </w:tcPr>
          <w:p w14:paraId="016B8EC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1,453</w:t>
            </w:r>
          </w:p>
        </w:tc>
        <w:tc>
          <w:tcPr>
            <w:tcW w:w="1471" w:type="dxa"/>
            <w:tcBorders>
              <w:top w:val="nil"/>
              <w:left w:val="nil"/>
              <w:bottom w:val="single" w:sz="4" w:space="0" w:color="auto"/>
              <w:right w:val="single" w:sz="4" w:space="0" w:color="auto"/>
            </w:tcBorders>
            <w:shd w:val="clear" w:color="auto" w:fill="auto"/>
            <w:noWrap/>
            <w:vAlign w:val="bottom"/>
            <w:hideMark/>
          </w:tcPr>
          <w:p w14:paraId="1650DAE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8.6</w:t>
            </w:r>
          </w:p>
        </w:tc>
        <w:tc>
          <w:tcPr>
            <w:tcW w:w="1260" w:type="dxa"/>
            <w:tcBorders>
              <w:top w:val="nil"/>
              <w:left w:val="nil"/>
              <w:bottom w:val="single" w:sz="4" w:space="0" w:color="auto"/>
              <w:right w:val="single" w:sz="4" w:space="0" w:color="auto"/>
            </w:tcBorders>
            <w:shd w:val="clear" w:color="auto" w:fill="auto"/>
            <w:noWrap/>
            <w:vAlign w:val="bottom"/>
            <w:hideMark/>
          </w:tcPr>
          <w:p w14:paraId="36E9D63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2,062</w:t>
            </w:r>
          </w:p>
        </w:tc>
        <w:tc>
          <w:tcPr>
            <w:tcW w:w="1530" w:type="dxa"/>
            <w:tcBorders>
              <w:top w:val="nil"/>
              <w:left w:val="nil"/>
              <w:bottom w:val="single" w:sz="4" w:space="0" w:color="auto"/>
              <w:right w:val="single" w:sz="4" w:space="0" w:color="auto"/>
            </w:tcBorders>
            <w:shd w:val="clear" w:color="auto" w:fill="auto"/>
            <w:noWrap/>
            <w:vAlign w:val="bottom"/>
            <w:hideMark/>
          </w:tcPr>
          <w:p w14:paraId="43CCA1B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6.4</w:t>
            </w:r>
          </w:p>
        </w:tc>
        <w:tc>
          <w:tcPr>
            <w:tcW w:w="1165" w:type="dxa"/>
            <w:tcBorders>
              <w:top w:val="nil"/>
              <w:left w:val="nil"/>
              <w:bottom w:val="single" w:sz="4" w:space="0" w:color="auto"/>
              <w:right w:val="single" w:sz="4" w:space="0" w:color="auto"/>
            </w:tcBorders>
            <w:shd w:val="clear" w:color="auto" w:fill="auto"/>
            <w:noWrap/>
            <w:vAlign w:val="bottom"/>
            <w:hideMark/>
          </w:tcPr>
          <w:p w14:paraId="1C659B0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3,515</w:t>
            </w:r>
          </w:p>
        </w:tc>
      </w:tr>
      <w:tr w:rsidR="00D5380A" w:rsidRPr="00D5380A" w14:paraId="2B9A0CD4"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3344D7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35-39</w:t>
            </w:r>
          </w:p>
        </w:tc>
        <w:tc>
          <w:tcPr>
            <w:tcW w:w="1440" w:type="dxa"/>
            <w:tcBorders>
              <w:top w:val="nil"/>
              <w:left w:val="nil"/>
              <w:bottom w:val="single" w:sz="4" w:space="0" w:color="auto"/>
              <w:right w:val="single" w:sz="4" w:space="0" w:color="auto"/>
            </w:tcBorders>
            <w:shd w:val="clear" w:color="auto" w:fill="auto"/>
            <w:noWrap/>
            <w:vAlign w:val="bottom"/>
            <w:hideMark/>
          </w:tcPr>
          <w:p w14:paraId="088D13F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5.6</w:t>
            </w:r>
          </w:p>
        </w:tc>
        <w:tc>
          <w:tcPr>
            <w:tcW w:w="1139" w:type="dxa"/>
            <w:tcBorders>
              <w:top w:val="nil"/>
              <w:left w:val="nil"/>
              <w:bottom w:val="single" w:sz="4" w:space="0" w:color="auto"/>
              <w:right w:val="single" w:sz="4" w:space="0" w:color="auto"/>
            </w:tcBorders>
            <w:shd w:val="clear" w:color="auto" w:fill="auto"/>
            <w:noWrap/>
            <w:vAlign w:val="bottom"/>
            <w:hideMark/>
          </w:tcPr>
          <w:p w14:paraId="2743DD7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1,307</w:t>
            </w:r>
          </w:p>
        </w:tc>
        <w:tc>
          <w:tcPr>
            <w:tcW w:w="1471" w:type="dxa"/>
            <w:tcBorders>
              <w:top w:val="nil"/>
              <w:left w:val="nil"/>
              <w:bottom w:val="single" w:sz="4" w:space="0" w:color="auto"/>
              <w:right w:val="single" w:sz="4" w:space="0" w:color="auto"/>
            </w:tcBorders>
            <w:shd w:val="clear" w:color="auto" w:fill="auto"/>
            <w:noWrap/>
            <w:vAlign w:val="bottom"/>
            <w:hideMark/>
          </w:tcPr>
          <w:p w14:paraId="719494B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11.6</w:t>
            </w:r>
          </w:p>
        </w:tc>
        <w:tc>
          <w:tcPr>
            <w:tcW w:w="1260" w:type="dxa"/>
            <w:tcBorders>
              <w:top w:val="nil"/>
              <w:left w:val="nil"/>
              <w:bottom w:val="single" w:sz="4" w:space="0" w:color="auto"/>
              <w:right w:val="single" w:sz="4" w:space="0" w:color="auto"/>
            </w:tcBorders>
            <w:shd w:val="clear" w:color="auto" w:fill="auto"/>
            <w:noWrap/>
            <w:vAlign w:val="bottom"/>
            <w:hideMark/>
          </w:tcPr>
          <w:p w14:paraId="6C1A19D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1,749</w:t>
            </w:r>
          </w:p>
        </w:tc>
        <w:tc>
          <w:tcPr>
            <w:tcW w:w="1530" w:type="dxa"/>
            <w:tcBorders>
              <w:top w:val="nil"/>
              <w:left w:val="nil"/>
              <w:bottom w:val="single" w:sz="4" w:space="0" w:color="auto"/>
              <w:right w:val="single" w:sz="4" w:space="0" w:color="auto"/>
            </w:tcBorders>
            <w:shd w:val="clear" w:color="auto" w:fill="auto"/>
            <w:noWrap/>
            <w:vAlign w:val="bottom"/>
            <w:hideMark/>
          </w:tcPr>
          <w:p w14:paraId="405DC2D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8.6</w:t>
            </w:r>
          </w:p>
        </w:tc>
        <w:tc>
          <w:tcPr>
            <w:tcW w:w="1165" w:type="dxa"/>
            <w:tcBorders>
              <w:top w:val="nil"/>
              <w:left w:val="nil"/>
              <w:bottom w:val="single" w:sz="4" w:space="0" w:color="auto"/>
              <w:right w:val="single" w:sz="4" w:space="0" w:color="auto"/>
            </w:tcBorders>
            <w:shd w:val="clear" w:color="auto" w:fill="auto"/>
            <w:noWrap/>
            <w:vAlign w:val="bottom"/>
            <w:hideMark/>
          </w:tcPr>
          <w:p w14:paraId="6808907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3,056</w:t>
            </w:r>
          </w:p>
        </w:tc>
      </w:tr>
      <w:tr w:rsidR="00D5380A" w:rsidRPr="00D5380A" w14:paraId="4450749D"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FEAE95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40-44</w:t>
            </w:r>
          </w:p>
        </w:tc>
        <w:tc>
          <w:tcPr>
            <w:tcW w:w="1440" w:type="dxa"/>
            <w:tcBorders>
              <w:top w:val="nil"/>
              <w:left w:val="nil"/>
              <w:bottom w:val="single" w:sz="4" w:space="0" w:color="auto"/>
              <w:right w:val="single" w:sz="4" w:space="0" w:color="auto"/>
            </w:tcBorders>
            <w:shd w:val="clear" w:color="auto" w:fill="auto"/>
            <w:noWrap/>
            <w:vAlign w:val="bottom"/>
            <w:hideMark/>
          </w:tcPr>
          <w:p w14:paraId="0205D37F"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8.4</w:t>
            </w:r>
          </w:p>
        </w:tc>
        <w:tc>
          <w:tcPr>
            <w:tcW w:w="1139" w:type="dxa"/>
            <w:tcBorders>
              <w:top w:val="nil"/>
              <w:left w:val="nil"/>
              <w:bottom w:val="single" w:sz="4" w:space="0" w:color="auto"/>
              <w:right w:val="single" w:sz="4" w:space="0" w:color="auto"/>
            </w:tcBorders>
            <w:shd w:val="clear" w:color="auto" w:fill="auto"/>
            <w:noWrap/>
            <w:vAlign w:val="bottom"/>
            <w:hideMark/>
          </w:tcPr>
          <w:p w14:paraId="348F676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1,144</w:t>
            </w:r>
          </w:p>
        </w:tc>
        <w:tc>
          <w:tcPr>
            <w:tcW w:w="1471" w:type="dxa"/>
            <w:tcBorders>
              <w:top w:val="nil"/>
              <w:left w:val="nil"/>
              <w:bottom w:val="single" w:sz="4" w:space="0" w:color="auto"/>
              <w:right w:val="single" w:sz="4" w:space="0" w:color="auto"/>
            </w:tcBorders>
            <w:shd w:val="clear" w:color="auto" w:fill="auto"/>
            <w:noWrap/>
            <w:vAlign w:val="bottom"/>
            <w:hideMark/>
          </w:tcPr>
          <w:p w14:paraId="7C7EEA6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11.0</w:t>
            </w:r>
          </w:p>
        </w:tc>
        <w:tc>
          <w:tcPr>
            <w:tcW w:w="1260" w:type="dxa"/>
            <w:tcBorders>
              <w:top w:val="nil"/>
              <w:left w:val="nil"/>
              <w:bottom w:val="single" w:sz="4" w:space="0" w:color="auto"/>
              <w:right w:val="single" w:sz="4" w:space="0" w:color="auto"/>
            </w:tcBorders>
            <w:shd w:val="clear" w:color="auto" w:fill="auto"/>
            <w:noWrap/>
            <w:vAlign w:val="bottom"/>
            <w:hideMark/>
          </w:tcPr>
          <w:p w14:paraId="2BF4732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1,405</w:t>
            </w:r>
          </w:p>
        </w:tc>
        <w:tc>
          <w:tcPr>
            <w:tcW w:w="1530" w:type="dxa"/>
            <w:tcBorders>
              <w:top w:val="nil"/>
              <w:left w:val="nil"/>
              <w:bottom w:val="single" w:sz="4" w:space="0" w:color="auto"/>
              <w:right w:val="single" w:sz="4" w:space="0" w:color="auto"/>
            </w:tcBorders>
            <w:shd w:val="clear" w:color="auto" w:fill="auto"/>
            <w:noWrap/>
            <w:vAlign w:val="bottom"/>
            <w:hideMark/>
          </w:tcPr>
          <w:p w14:paraId="5BF255F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9.7</w:t>
            </w:r>
          </w:p>
        </w:tc>
        <w:tc>
          <w:tcPr>
            <w:tcW w:w="1165" w:type="dxa"/>
            <w:tcBorders>
              <w:top w:val="nil"/>
              <w:left w:val="nil"/>
              <w:bottom w:val="single" w:sz="4" w:space="0" w:color="auto"/>
              <w:right w:val="single" w:sz="4" w:space="0" w:color="auto"/>
            </w:tcBorders>
            <w:shd w:val="clear" w:color="auto" w:fill="auto"/>
            <w:noWrap/>
            <w:vAlign w:val="bottom"/>
            <w:hideMark/>
          </w:tcPr>
          <w:p w14:paraId="7AD7CFE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2,549</w:t>
            </w:r>
          </w:p>
        </w:tc>
      </w:tr>
      <w:tr w:rsidR="00D5380A" w:rsidRPr="00D5380A" w14:paraId="2AF5A014"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D9689D1"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45-49</w:t>
            </w:r>
          </w:p>
        </w:tc>
        <w:tc>
          <w:tcPr>
            <w:tcW w:w="1440" w:type="dxa"/>
            <w:tcBorders>
              <w:top w:val="nil"/>
              <w:left w:val="nil"/>
              <w:bottom w:val="single" w:sz="4" w:space="0" w:color="auto"/>
              <w:right w:val="single" w:sz="4" w:space="0" w:color="auto"/>
            </w:tcBorders>
            <w:shd w:val="clear" w:color="auto" w:fill="auto"/>
            <w:noWrap/>
            <w:vAlign w:val="bottom"/>
            <w:hideMark/>
          </w:tcPr>
          <w:p w14:paraId="73320E8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6.8</w:t>
            </w:r>
          </w:p>
        </w:tc>
        <w:tc>
          <w:tcPr>
            <w:tcW w:w="1139" w:type="dxa"/>
            <w:tcBorders>
              <w:top w:val="nil"/>
              <w:left w:val="nil"/>
              <w:bottom w:val="single" w:sz="4" w:space="0" w:color="auto"/>
              <w:right w:val="single" w:sz="4" w:space="0" w:color="auto"/>
            </w:tcBorders>
            <w:shd w:val="clear" w:color="auto" w:fill="auto"/>
            <w:noWrap/>
            <w:vAlign w:val="bottom"/>
            <w:hideMark/>
          </w:tcPr>
          <w:p w14:paraId="62638D8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877</w:t>
            </w:r>
          </w:p>
        </w:tc>
        <w:tc>
          <w:tcPr>
            <w:tcW w:w="1471" w:type="dxa"/>
            <w:tcBorders>
              <w:top w:val="nil"/>
              <w:left w:val="nil"/>
              <w:bottom w:val="single" w:sz="4" w:space="0" w:color="auto"/>
              <w:right w:val="single" w:sz="4" w:space="0" w:color="auto"/>
            </w:tcBorders>
            <w:shd w:val="clear" w:color="auto" w:fill="auto"/>
            <w:noWrap/>
            <w:vAlign w:val="bottom"/>
            <w:hideMark/>
          </w:tcPr>
          <w:p w14:paraId="2039816F"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12.0</w:t>
            </w:r>
          </w:p>
        </w:tc>
        <w:tc>
          <w:tcPr>
            <w:tcW w:w="1260" w:type="dxa"/>
            <w:tcBorders>
              <w:top w:val="nil"/>
              <w:left w:val="nil"/>
              <w:bottom w:val="single" w:sz="4" w:space="0" w:color="auto"/>
              <w:right w:val="single" w:sz="4" w:space="0" w:color="auto"/>
            </w:tcBorders>
            <w:shd w:val="clear" w:color="auto" w:fill="auto"/>
            <w:noWrap/>
            <w:vAlign w:val="bottom"/>
            <w:hideMark/>
          </w:tcPr>
          <w:p w14:paraId="59274FC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1,048</w:t>
            </w:r>
          </w:p>
        </w:tc>
        <w:tc>
          <w:tcPr>
            <w:tcW w:w="1530" w:type="dxa"/>
            <w:tcBorders>
              <w:top w:val="nil"/>
              <w:left w:val="nil"/>
              <w:bottom w:val="single" w:sz="4" w:space="0" w:color="auto"/>
              <w:right w:val="single" w:sz="4" w:space="0" w:color="auto"/>
            </w:tcBorders>
            <w:shd w:val="clear" w:color="auto" w:fill="auto"/>
            <w:noWrap/>
            <w:vAlign w:val="bottom"/>
            <w:hideMark/>
          </w:tcPr>
          <w:p w14:paraId="542D221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9.4</w:t>
            </w:r>
          </w:p>
        </w:tc>
        <w:tc>
          <w:tcPr>
            <w:tcW w:w="1165" w:type="dxa"/>
            <w:tcBorders>
              <w:top w:val="nil"/>
              <w:left w:val="nil"/>
              <w:bottom w:val="single" w:sz="4" w:space="0" w:color="auto"/>
              <w:right w:val="single" w:sz="4" w:space="0" w:color="auto"/>
            </w:tcBorders>
            <w:shd w:val="clear" w:color="auto" w:fill="auto"/>
            <w:noWrap/>
            <w:vAlign w:val="bottom"/>
            <w:hideMark/>
          </w:tcPr>
          <w:p w14:paraId="6281DC8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1,925</w:t>
            </w:r>
          </w:p>
        </w:tc>
      </w:tr>
      <w:tr w:rsidR="00D5380A" w:rsidRPr="00D5380A" w14:paraId="17C7138C"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C0AD6D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50-54</w:t>
            </w:r>
          </w:p>
        </w:tc>
        <w:tc>
          <w:tcPr>
            <w:tcW w:w="1440" w:type="dxa"/>
            <w:tcBorders>
              <w:top w:val="nil"/>
              <w:left w:val="nil"/>
              <w:bottom w:val="single" w:sz="4" w:space="0" w:color="auto"/>
              <w:right w:val="single" w:sz="4" w:space="0" w:color="auto"/>
            </w:tcBorders>
            <w:shd w:val="clear" w:color="auto" w:fill="auto"/>
            <w:noWrap/>
            <w:vAlign w:val="bottom"/>
            <w:hideMark/>
          </w:tcPr>
          <w:p w14:paraId="36E1AD9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7.4</w:t>
            </w:r>
          </w:p>
        </w:tc>
        <w:tc>
          <w:tcPr>
            <w:tcW w:w="1139" w:type="dxa"/>
            <w:tcBorders>
              <w:top w:val="nil"/>
              <w:left w:val="nil"/>
              <w:bottom w:val="single" w:sz="4" w:space="0" w:color="auto"/>
              <w:right w:val="single" w:sz="4" w:space="0" w:color="auto"/>
            </w:tcBorders>
            <w:shd w:val="clear" w:color="auto" w:fill="auto"/>
            <w:noWrap/>
            <w:vAlign w:val="bottom"/>
            <w:hideMark/>
          </w:tcPr>
          <w:p w14:paraId="0ACD0A0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728</w:t>
            </w:r>
          </w:p>
        </w:tc>
        <w:tc>
          <w:tcPr>
            <w:tcW w:w="1471" w:type="dxa"/>
            <w:tcBorders>
              <w:top w:val="nil"/>
              <w:left w:val="nil"/>
              <w:bottom w:val="single" w:sz="4" w:space="0" w:color="auto"/>
              <w:right w:val="single" w:sz="4" w:space="0" w:color="auto"/>
            </w:tcBorders>
            <w:shd w:val="clear" w:color="auto" w:fill="auto"/>
            <w:noWrap/>
            <w:vAlign w:val="bottom"/>
            <w:hideMark/>
          </w:tcPr>
          <w:p w14:paraId="7707047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9.4</w:t>
            </w:r>
          </w:p>
        </w:tc>
        <w:tc>
          <w:tcPr>
            <w:tcW w:w="1260" w:type="dxa"/>
            <w:tcBorders>
              <w:top w:val="nil"/>
              <w:left w:val="nil"/>
              <w:bottom w:val="single" w:sz="4" w:space="0" w:color="auto"/>
              <w:right w:val="single" w:sz="4" w:space="0" w:color="auto"/>
            </w:tcBorders>
            <w:shd w:val="clear" w:color="auto" w:fill="auto"/>
            <w:noWrap/>
            <w:vAlign w:val="bottom"/>
            <w:hideMark/>
          </w:tcPr>
          <w:p w14:paraId="6343131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872</w:t>
            </w:r>
          </w:p>
        </w:tc>
        <w:tc>
          <w:tcPr>
            <w:tcW w:w="1530" w:type="dxa"/>
            <w:tcBorders>
              <w:top w:val="nil"/>
              <w:left w:val="nil"/>
              <w:bottom w:val="single" w:sz="4" w:space="0" w:color="auto"/>
              <w:right w:val="single" w:sz="4" w:space="0" w:color="auto"/>
            </w:tcBorders>
            <w:shd w:val="clear" w:color="auto" w:fill="auto"/>
            <w:noWrap/>
            <w:vAlign w:val="bottom"/>
            <w:hideMark/>
          </w:tcPr>
          <w:p w14:paraId="1F40F6E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8.4</w:t>
            </w:r>
          </w:p>
        </w:tc>
        <w:tc>
          <w:tcPr>
            <w:tcW w:w="1165" w:type="dxa"/>
            <w:tcBorders>
              <w:top w:val="nil"/>
              <w:left w:val="nil"/>
              <w:bottom w:val="single" w:sz="4" w:space="0" w:color="auto"/>
              <w:right w:val="single" w:sz="4" w:space="0" w:color="auto"/>
            </w:tcBorders>
            <w:shd w:val="clear" w:color="auto" w:fill="auto"/>
            <w:noWrap/>
            <w:vAlign w:val="bottom"/>
            <w:hideMark/>
          </w:tcPr>
          <w:p w14:paraId="1A4D050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1,600</w:t>
            </w:r>
          </w:p>
        </w:tc>
      </w:tr>
      <w:tr w:rsidR="00D5380A" w:rsidRPr="00D5380A" w14:paraId="3A28E463"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B459D3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55-59</w:t>
            </w:r>
          </w:p>
        </w:tc>
        <w:tc>
          <w:tcPr>
            <w:tcW w:w="1440" w:type="dxa"/>
            <w:tcBorders>
              <w:top w:val="nil"/>
              <w:left w:val="nil"/>
              <w:bottom w:val="single" w:sz="4" w:space="0" w:color="auto"/>
              <w:right w:val="single" w:sz="4" w:space="0" w:color="auto"/>
            </w:tcBorders>
            <w:shd w:val="clear" w:color="auto" w:fill="auto"/>
            <w:noWrap/>
            <w:vAlign w:val="bottom"/>
            <w:hideMark/>
          </w:tcPr>
          <w:p w14:paraId="48ACA85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8.0</w:t>
            </w:r>
          </w:p>
        </w:tc>
        <w:tc>
          <w:tcPr>
            <w:tcW w:w="1139" w:type="dxa"/>
            <w:tcBorders>
              <w:top w:val="nil"/>
              <w:left w:val="nil"/>
              <w:bottom w:val="single" w:sz="4" w:space="0" w:color="auto"/>
              <w:right w:val="single" w:sz="4" w:space="0" w:color="auto"/>
            </w:tcBorders>
            <w:shd w:val="clear" w:color="auto" w:fill="auto"/>
            <w:noWrap/>
            <w:vAlign w:val="bottom"/>
            <w:hideMark/>
          </w:tcPr>
          <w:p w14:paraId="22C2B9E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572</w:t>
            </w:r>
          </w:p>
        </w:tc>
        <w:tc>
          <w:tcPr>
            <w:tcW w:w="1471" w:type="dxa"/>
            <w:tcBorders>
              <w:top w:val="nil"/>
              <w:left w:val="nil"/>
              <w:bottom w:val="single" w:sz="4" w:space="0" w:color="auto"/>
              <w:right w:val="single" w:sz="4" w:space="0" w:color="auto"/>
            </w:tcBorders>
            <w:shd w:val="clear" w:color="auto" w:fill="auto"/>
            <w:noWrap/>
            <w:vAlign w:val="bottom"/>
            <w:hideMark/>
          </w:tcPr>
          <w:p w14:paraId="23633B93"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9.7</w:t>
            </w:r>
          </w:p>
        </w:tc>
        <w:tc>
          <w:tcPr>
            <w:tcW w:w="1260" w:type="dxa"/>
            <w:tcBorders>
              <w:top w:val="nil"/>
              <w:left w:val="nil"/>
              <w:bottom w:val="single" w:sz="4" w:space="0" w:color="auto"/>
              <w:right w:val="single" w:sz="4" w:space="0" w:color="auto"/>
            </w:tcBorders>
            <w:shd w:val="clear" w:color="auto" w:fill="auto"/>
            <w:noWrap/>
            <w:vAlign w:val="bottom"/>
            <w:hideMark/>
          </w:tcPr>
          <w:p w14:paraId="30F129A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580</w:t>
            </w:r>
          </w:p>
        </w:tc>
        <w:tc>
          <w:tcPr>
            <w:tcW w:w="1530" w:type="dxa"/>
            <w:tcBorders>
              <w:top w:val="nil"/>
              <w:left w:val="nil"/>
              <w:bottom w:val="single" w:sz="4" w:space="0" w:color="auto"/>
              <w:right w:val="single" w:sz="4" w:space="0" w:color="auto"/>
            </w:tcBorders>
            <w:shd w:val="clear" w:color="auto" w:fill="auto"/>
            <w:noWrap/>
            <w:vAlign w:val="bottom"/>
            <w:hideMark/>
          </w:tcPr>
          <w:p w14:paraId="2ED7CEC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8.9</w:t>
            </w:r>
          </w:p>
        </w:tc>
        <w:tc>
          <w:tcPr>
            <w:tcW w:w="1165" w:type="dxa"/>
            <w:tcBorders>
              <w:top w:val="nil"/>
              <w:left w:val="nil"/>
              <w:bottom w:val="single" w:sz="4" w:space="0" w:color="auto"/>
              <w:right w:val="single" w:sz="4" w:space="0" w:color="auto"/>
            </w:tcBorders>
            <w:shd w:val="clear" w:color="auto" w:fill="auto"/>
            <w:noWrap/>
            <w:vAlign w:val="bottom"/>
            <w:hideMark/>
          </w:tcPr>
          <w:p w14:paraId="28254DD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1,152</w:t>
            </w:r>
          </w:p>
        </w:tc>
      </w:tr>
      <w:tr w:rsidR="00D5380A" w:rsidRPr="00D5380A" w14:paraId="521DCC5A"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DCE804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60-64</w:t>
            </w:r>
          </w:p>
        </w:tc>
        <w:tc>
          <w:tcPr>
            <w:tcW w:w="1440" w:type="dxa"/>
            <w:tcBorders>
              <w:top w:val="nil"/>
              <w:left w:val="nil"/>
              <w:bottom w:val="single" w:sz="4" w:space="0" w:color="auto"/>
              <w:right w:val="single" w:sz="4" w:space="0" w:color="auto"/>
            </w:tcBorders>
            <w:shd w:val="clear" w:color="auto" w:fill="auto"/>
            <w:noWrap/>
            <w:vAlign w:val="bottom"/>
            <w:hideMark/>
          </w:tcPr>
          <w:p w14:paraId="061C2D9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3.6</w:t>
            </w:r>
          </w:p>
        </w:tc>
        <w:tc>
          <w:tcPr>
            <w:tcW w:w="1139" w:type="dxa"/>
            <w:tcBorders>
              <w:top w:val="nil"/>
              <w:left w:val="nil"/>
              <w:bottom w:val="single" w:sz="4" w:space="0" w:color="auto"/>
              <w:right w:val="single" w:sz="4" w:space="0" w:color="auto"/>
            </w:tcBorders>
            <w:shd w:val="clear" w:color="auto" w:fill="auto"/>
            <w:noWrap/>
            <w:vAlign w:val="bottom"/>
            <w:hideMark/>
          </w:tcPr>
          <w:p w14:paraId="020DAEC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459</w:t>
            </w:r>
          </w:p>
        </w:tc>
        <w:tc>
          <w:tcPr>
            <w:tcW w:w="1471" w:type="dxa"/>
            <w:tcBorders>
              <w:top w:val="nil"/>
              <w:left w:val="nil"/>
              <w:bottom w:val="single" w:sz="4" w:space="0" w:color="auto"/>
              <w:right w:val="single" w:sz="4" w:space="0" w:color="auto"/>
            </w:tcBorders>
            <w:shd w:val="clear" w:color="auto" w:fill="auto"/>
            <w:noWrap/>
            <w:vAlign w:val="bottom"/>
            <w:hideMark/>
          </w:tcPr>
          <w:p w14:paraId="61F6051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6.5</w:t>
            </w:r>
          </w:p>
        </w:tc>
        <w:tc>
          <w:tcPr>
            <w:tcW w:w="1260" w:type="dxa"/>
            <w:tcBorders>
              <w:top w:val="nil"/>
              <w:left w:val="nil"/>
              <w:bottom w:val="single" w:sz="4" w:space="0" w:color="auto"/>
              <w:right w:val="single" w:sz="4" w:space="0" w:color="auto"/>
            </w:tcBorders>
            <w:shd w:val="clear" w:color="auto" w:fill="auto"/>
            <w:noWrap/>
            <w:vAlign w:val="bottom"/>
            <w:hideMark/>
          </w:tcPr>
          <w:p w14:paraId="362E418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558</w:t>
            </w:r>
          </w:p>
        </w:tc>
        <w:tc>
          <w:tcPr>
            <w:tcW w:w="1530" w:type="dxa"/>
            <w:tcBorders>
              <w:top w:val="nil"/>
              <w:left w:val="nil"/>
              <w:bottom w:val="single" w:sz="4" w:space="0" w:color="auto"/>
              <w:right w:val="single" w:sz="4" w:space="0" w:color="auto"/>
            </w:tcBorders>
            <w:shd w:val="clear" w:color="auto" w:fill="auto"/>
            <w:noWrap/>
            <w:vAlign w:val="bottom"/>
            <w:hideMark/>
          </w:tcPr>
          <w:p w14:paraId="2795111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5.2</w:t>
            </w:r>
          </w:p>
        </w:tc>
        <w:tc>
          <w:tcPr>
            <w:tcW w:w="1165" w:type="dxa"/>
            <w:tcBorders>
              <w:top w:val="nil"/>
              <w:left w:val="nil"/>
              <w:bottom w:val="single" w:sz="4" w:space="0" w:color="auto"/>
              <w:right w:val="single" w:sz="4" w:space="0" w:color="auto"/>
            </w:tcBorders>
            <w:shd w:val="clear" w:color="auto" w:fill="auto"/>
            <w:noWrap/>
            <w:vAlign w:val="bottom"/>
            <w:hideMark/>
          </w:tcPr>
          <w:p w14:paraId="1CBE786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1,017</w:t>
            </w:r>
          </w:p>
        </w:tc>
      </w:tr>
      <w:tr w:rsidR="00D5380A" w:rsidRPr="00D5380A" w14:paraId="77DF1760"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C3576B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65-69</w:t>
            </w:r>
          </w:p>
        </w:tc>
        <w:tc>
          <w:tcPr>
            <w:tcW w:w="1440" w:type="dxa"/>
            <w:tcBorders>
              <w:top w:val="nil"/>
              <w:left w:val="nil"/>
              <w:bottom w:val="single" w:sz="4" w:space="0" w:color="auto"/>
              <w:right w:val="single" w:sz="4" w:space="0" w:color="auto"/>
            </w:tcBorders>
            <w:shd w:val="clear" w:color="auto" w:fill="auto"/>
            <w:noWrap/>
            <w:vAlign w:val="bottom"/>
            <w:hideMark/>
          </w:tcPr>
          <w:p w14:paraId="0A18BC3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2.3</w:t>
            </w:r>
          </w:p>
        </w:tc>
        <w:tc>
          <w:tcPr>
            <w:tcW w:w="1139" w:type="dxa"/>
            <w:tcBorders>
              <w:top w:val="nil"/>
              <w:left w:val="nil"/>
              <w:bottom w:val="single" w:sz="4" w:space="0" w:color="auto"/>
              <w:right w:val="single" w:sz="4" w:space="0" w:color="auto"/>
            </w:tcBorders>
            <w:shd w:val="clear" w:color="auto" w:fill="auto"/>
            <w:noWrap/>
            <w:vAlign w:val="bottom"/>
            <w:hideMark/>
          </w:tcPr>
          <w:p w14:paraId="71F8C951"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344</w:t>
            </w:r>
          </w:p>
        </w:tc>
        <w:tc>
          <w:tcPr>
            <w:tcW w:w="1471" w:type="dxa"/>
            <w:tcBorders>
              <w:top w:val="nil"/>
              <w:left w:val="nil"/>
              <w:bottom w:val="single" w:sz="4" w:space="0" w:color="auto"/>
              <w:right w:val="single" w:sz="4" w:space="0" w:color="auto"/>
            </w:tcBorders>
            <w:shd w:val="clear" w:color="auto" w:fill="auto"/>
            <w:noWrap/>
            <w:vAlign w:val="bottom"/>
            <w:hideMark/>
          </w:tcPr>
          <w:p w14:paraId="70500BA1"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3.0</w:t>
            </w:r>
          </w:p>
        </w:tc>
        <w:tc>
          <w:tcPr>
            <w:tcW w:w="1260" w:type="dxa"/>
            <w:tcBorders>
              <w:top w:val="nil"/>
              <w:left w:val="nil"/>
              <w:bottom w:val="single" w:sz="4" w:space="0" w:color="auto"/>
              <w:right w:val="single" w:sz="4" w:space="0" w:color="auto"/>
            </w:tcBorders>
            <w:shd w:val="clear" w:color="auto" w:fill="auto"/>
            <w:noWrap/>
            <w:vAlign w:val="bottom"/>
            <w:hideMark/>
          </w:tcPr>
          <w:p w14:paraId="49DB0C3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395</w:t>
            </w:r>
          </w:p>
        </w:tc>
        <w:tc>
          <w:tcPr>
            <w:tcW w:w="1530" w:type="dxa"/>
            <w:tcBorders>
              <w:top w:val="nil"/>
              <w:left w:val="nil"/>
              <w:bottom w:val="single" w:sz="4" w:space="0" w:color="auto"/>
              <w:right w:val="single" w:sz="4" w:space="0" w:color="auto"/>
            </w:tcBorders>
            <w:shd w:val="clear" w:color="auto" w:fill="auto"/>
            <w:noWrap/>
            <w:vAlign w:val="bottom"/>
            <w:hideMark/>
          </w:tcPr>
          <w:p w14:paraId="73703CA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2.7</w:t>
            </w:r>
          </w:p>
        </w:tc>
        <w:tc>
          <w:tcPr>
            <w:tcW w:w="1165" w:type="dxa"/>
            <w:tcBorders>
              <w:top w:val="nil"/>
              <w:left w:val="nil"/>
              <w:bottom w:val="single" w:sz="4" w:space="0" w:color="auto"/>
              <w:right w:val="single" w:sz="4" w:space="0" w:color="auto"/>
            </w:tcBorders>
            <w:shd w:val="clear" w:color="auto" w:fill="auto"/>
            <w:noWrap/>
            <w:vAlign w:val="bottom"/>
            <w:hideMark/>
          </w:tcPr>
          <w:p w14:paraId="33D4702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739</w:t>
            </w:r>
          </w:p>
        </w:tc>
      </w:tr>
      <w:tr w:rsidR="00D5380A" w:rsidRPr="00D5380A" w14:paraId="56E83817"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490B93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70-74</w:t>
            </w:r>
          </w:p>
        </w:tc>
        <w:tc>
          <w:tcPr>
            <w:tcW w:w="1440" w:type="dxa"/>
            <w:tcBorders>
              <w:top w:val="nil"/>
              <w:left w:val="nil"/>
              <w:bottom w:val="single" w:sz="4" w:space="0" w:color="auto"/>
              <w:right w:val="single" w:sz="4" w:space="0" w:color="auto"/>
            </w:tcBorders>
            <w:shd w:val="clear" w:color="auto" w:fill="auto"/>
            <w:noWrap/>
            <w:vAlign w:val="bottom"/>
            <w:hideMark/>
          </w:tcPr>
          <w:p w14:paraId="7F1DFF7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1.7</w:t>
            </w:r>
          </w:p>
        </w:tc>
        <w:tc>
          <w:tcPr>
            <w:tcW w:w="1139" w:type="dxa"/>
            <w:tcBorders>
              <w:top w:val="nil"/>
              <w:left w:val="nil"/>
              <w:bottom w:val="single" w:sz="4" w:space="0" w:color="auto"/>
              <w:right w:val="single" w:sz="4" w:space="0" w:color="auto"/>
            </w:tcBorders>
            <w:shd w:val="clear" w:color="auto" w:fill="auto"/>
            <w:noWrap/>
            <w:vAlign w:val="bottom"/>
            <w:hideMark/>
          </w:tcPr>
          <w:p w14:paraId="3CDF6B6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254</w:t>
            </w:r>
          </w:p>
        </w:tc>
        <w:tc>
          <w:tcPr>
            <w:tcW w:w="1471" w:type="dxa"/>
            <w:tcBorders>
              <w:top w:val="nil"/>
              <w:left w:val="nil"/>
              <w:bottom w:val="single" w:sz="4" w:space="0" w:color="auto"/>
              <w:right w:val="single" w:sz="4" w:space="0" w:color="auto"/>
            </w:tcBorders>
            <w:shd w:val="clear" w:color="auto" w:fill="auto"/>
            <w:noWrap/>
            <w:vAlign w:val="bottom"/>
            <w:hideMark/>
          </w:tcPr>
          <w:p w14:paraId="622908B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4.4</w:t>
            </w:r>
          </w:p>
        </w:tc>
        <w:tc>
          <w:tcPr>
            <w:tcW w:w="1260" w:type="dxa"/>
            <w:tcBorders>
              <w:top w:val="nil"/>
              <w:left w:val="nil"/>
              <w:bottom w:val="single" w:sz="4" w:space="0" w:color="auto"/>
              <w:right w:val="single" w:sz="4" w:space="0" w:color="auto"/>
            </w:tcBorders>
            <w:shd w:val="clear" w:color="auto" w:fill="auto"/>
            <w:noWrap/>
            <w:vAlign w:val="bottom"/>
            <w:hideMark/>
          </w:tcPr>
          <w:p w14:paraId="5B413A3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322</w:t>
            </w:r>
          </w:p>
        </w:tc>
        <w:tc>
          <w:tcPr>
            <w:tcW w:w="1530" w:type="dxa"/>
            <w:tcBorders>
              <w:top w:val="nil"/>
              <w:left w:val="nil"/>
              <w:bottom w:val="single" w:sz="4" w:space="0" w:color="auto"/>
              <w:right w:val="single" w:sz="4" w:space="0" w:color="auto"/>
            </w:tcBorders>
            <w:shd w:val="clear" w:color="auto" w:fill="auto"/>
            <w:noWrap/>
            <w:vAlign w:val="bottom"/>
            <w:hideMark/>
          </w:tcPr>
          <w:p w14:paraId="7062231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3.3</w:t>
            </w:r>
          </w:p>
        </w:tc>
        <w:tc>
          <w:tcPr>
            <w:tcW w:w="1165" w:type="dxa"/>
            <w:tcBorders>
              <w:top w:val="nil"/>
              <w:left w:val="nil"/>
              <w:bottom w:val="single" w:sz="4" w:space="0" w:color="auto"/>
              <w:right w:val="single" w:sz="4" w:space="0" w:color="auto"/>
            </w:tcBorders>
            <w:shd w:val="clear" w:color="auto" w:fill="auto"/>
            <w:noWrap/>
            <w:vAlign w:val="bottom"/>
            <w:hideMark/>
          </w:tcPr>
          <w:p w14:paraId="7FEA346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576</w:t>
            </w:r>
          </w:p>
        </w:tc>
      </w:tr>
      <w:tr w:rsidR="00D5380A" w:rsidRPr="00D5380A" w14:paraId="76887D5B"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5BCB5E1"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75-79</w:t>
            </w:r>
          </w:p>
        </w:tc>
        <w:tc>
          <w:tcPr>
            <w:tcW w:w="1440" w:type="dxa"/>
            <w:tcBorders>
              <w:top w:val="nil"/>
              <w:left w:val="nil"/>
              <w:bottom w:val="single" w:sz="4" w:space="0" w:color="auto"/>
              <w:right w:val="single" w:sz="4" w:space="0" w:color="auto"/>
            </w:tcBorders>
            <w:shd w:val="clear" w:color="auto" w:fill="auto"/>
            <w:noWrap/>
            <w:vAlign w:val="bottom"/>
            <w:hideMark/>
          </w:tcPr>
          <w:p w14:paraId="539A455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2.0</w:t>
            </w:r>
          </w:p>
        </w:tc>
        <w:tc>
          <w:tcPr>
            <w:tcW w:w="1139" w:type="dxa"/>
            <w:tcBorders>
              <w:top w:val="nil"/>
              <w:left w:val="nil"/>
              <w:bottom w:val="single" w:sz="4" w:space="0" w:color="auto"/>
              <w:right w:val="single" w:sz="4" w:space="0" w:color="auto"/>
            </w:tcBorders>
            <w:shd w:val="clear" w:color="auto" w:fill="auto"/>
            <w:noWrap/>
            <w:vAlign w:val="bottom"/>
            <w:hideMark/>
          </w:tcPr>
          <w:p w14:paraId="6062005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193</w:t>
            </w:r>
          </w:p>
        </w:tc>
        <w:tc>
          <w:tcPr>
            <w:tcW w:w="1471" w:type="dxa"/>
            <w:tcBorders>
              <w:top w:val="nil"/>
              <w:left w:val="nil"/>
              <w:bottom w:val="single" w:sz="4" w:space="0" w:color="auto"/>
              <w:right w:val="single" w:sz="4" w:space="0" w:color="auto"/>
            </w:tcBorders>
            <w:shd w:val="clear" w:color="auto" w:fill="auto"/>
            <w:noWrap/>
            <w:vAlign w:val="bottom"/>
            <w:hideMark/>
          </w:tcPr>
          <w:p w14:paraId="2AB3706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0.2</w:t>
            </w:r>
          </w:p>
        </w:tc>
        <w:tc>
          <w:tcPr>
            <w:tcW w:w="1260" w:type="dxa"/>
            <w:tcBorders>
              <w:top w:val="nil"/>
              <w:left w:val="nil"/>
              <w:bottom w:val="single" w:sz="4" w:space="0" w:color="auto"/>
              <w:right w:val="single" w:sz="4" w:space="0" w:color="auto"/>
            </w:tcBorders>
            <w:shd w:val="clear" w:color="auto" w:fill="auto"/>
            <w:noWrap/>
            <w:vAlign w:val="bottom"/>
            <w:hideMark/>
          </w:tcPr>
          <w:p w14:paraId="40ED049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221</w:t>
            </w:r>
          </w:p>
        </w:tc>
        <w:tc>
          <w:tcPr>
            <w:tcW w:w="1530" w:type="dxa"/>
            <w:tcBorders>
              <w:top w:val="nil"/>
              <w:left w:val="nil"/>
              <w:bottom w:val="single" w:sz="4" w:space="0" w:color="auto"/>
              <w:right w:val="single" w:sz="4" w:space="0" w:color="auto"/>
            </w:tcBorders>
            <w:shd w:val="clear" w:color="auto" w:fill="auto"/>
            <w:noWrap/>
            <w:vAlign w:val="bottom"/>
            <w:hideMark/>
          </w:tcPr>
          <w:p w14:paraId="5FD65D3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w:t>
            </w:r>
          </w:p>
        </w:tc>
        <w:tc>
          <w:tcPr>
            <w:tcW w:w="1165" w:type="dxa"/>
            <w:tcBorders>
              <w:top w:val="nil"/>
              <w:left w:val="nil"/>
              <w:bottom w:val="single" w:sz="4" w:space="0" w:color="auto"/>
              <w:right w:val="single" w:sz="4" w:space="0" w:color="auto"/>
            </w:tcBorders>
            <w:shd w:val="clear" w:color="auto" w:fill="auto"/>
            <w:noWrap/>
            <w:vAlign w:val="bottom"/>
            <w:hideMark/>
          </w:tcPr>
          <w:p w14:paraId="3DC2D59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414</w:t>
            </w:r>
          </w:p>
        </w:tc>
      </w:tr>
      <w:tr w:rsidR="00D5380A" w:rsidRPr="00D5380A" w14:paraId="4D9604FD"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D3E102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≥80</w:t>
            </w:r>
          </w:p>
        </w:tc>
        <w:tc>
          <w:tcPr>
            <w:tcW w:w="1440" w:type="dxa"/>
            <w:tcBorders>
              <w:top w:val="nil"/>
              <w:left w:val="nil"/>
              <w:bottom w:val="single" w:sz="4" w:space="0" w:color="auto"/>
              <w:right w:val="single" w:sz="4" w:space="0" w:color="auto"/>
            </w:tcBorders>
            <w:shd w:val="clear" w:color="auto" w:fill="auto"/>
            <w:noWrap/>
            <w:vAlign w:val="bottom"/>
            <w:hideMark/>
          </w:tcPr>
          <w:p w14:paraId="00FEB15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0.3</w:t>
            </w:r>
          </w:p>
        </w:tc>
        <w:tc>
          <w:tcPr>
            <w:tcW w:w="1139" w:type="dxa"/>
            <w:tcBorders>
              <w:top w:val="nil"/>
              <w:left w:val="nil"/>
              <w:bottom w:val="single" w:sz="4" w:space="0" w:color="auto"/>
              <w:right w:val="single" w:sz="4" w:space="0" w:color="auto"/>
            </w:tcBorders>
            <w:shd w:val="clear" w:color="auto" w:fill="auto"/>
            <w:noWrap/>
            <w:vAlign w:val="bottom"/>
            <w:hideMark/>
          </w:tcPr>
          <w:p w14:paraId="45E706B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229</w:t>
            </w:r>
          </w:p>
        </w:tc>
        <w:tc>
          <w:tcPr>
            <w:tcW w:w="1471" w:type="dxa"/>
            <w:tcBorders>
              <w:top w:val="nil"/>
              <w:left w:val="nil"/>
              <w:bottom w:val="single" w:sz="4" w:space="0" w:color="auto"/>
              <w:right w:val="single" w:sz="4" w:space="0" w:color="auto"/>
            </w:tcBorders>
            <w:shd w:val="clear" w:color="auto" w:fill="auto"/>
            <w:noWrap/>
            <w:vAlign w:val="bottom"/>
            <w:hideMark/>
          </w:tcPr>
          <w:p w14:paraId="4AFA653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1.2</w:t>
            </w:r>
          </w:p>
        </w:tc>
        <w:tc>
          <w:tcPr>
            <w:tcW w:w="1260" w:type="dxa"/>
            <w:tcBorders>
              <w:top w:val="nil"/>
              <w:left w:val="nil"/>
              <w:bottom w:val="single" w:sz="4" w:space="0" w:color="auto"/>
              <w:right w:val="single" w:sz="4" w:space="0" w:color="auto"/>
            </w:tcBorders>
            <w:shd w:val="clear" w:color="auto" w:fill="auto"/>
            <w:noWrap/>
            <w:vAlign w:val="bottom"/>
            <w:hideMark/>
          </w:tcPr>
          <w:p w14:paraId="0309CB2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252</w:t>
            </w:r>
          </w:p>
        </w:tc>
        <w:tc>
          <w:tcPr>
            <w:tcW w:w="1530" w:type="dxa"/>
            <w:tcBorders>
              <w:top w:val="nil"/>
              <w:left w:val="nil"/>
              <w:bottom w:val="single" w:sz="4" w:space="0" w:color="auto"/>
              <w:right w:val="single" w:sz="4" w:space="0" w:color="auto"/>
            </w:tcBorders>
            <w:shd w:val="clear" w:color="auto" w:fill="auto"/>
            <w:noWrap/>
            <w:vAlign w:val="bottom"/>
            <w:hideMark/>
          </w:tcPr>
          <w:p w14:paraId="29C30DF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0.8</w:t>
            </w:r>
          </w:p>
        </w:tc>
        <w:tc>
          <w:tcPr>
            <w:tcW w:w="1165" w:type="dxa"/>
            <w:tcBorders>
              <w:top w:val="nil"/>
              <w:left w:val="nil"/>
              <w:bottom w:val="single" w:sz="4" w:space="0" w:color="auto"/>
              <w:right w:val="single" w:sz="4" w:space="0" w:color="auto"/>
            </w:tcBorders>
            <w:shd w:val="clear" w:color="auto" w:fill="auto"/>
            <w:noWrap/>
            <w:vAlign w:val="bottom"/>
            <w:hideMark/>
          </w:tcPr>
          <w:p w14:paraId="3AFB165F"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481</w:t>
            </w:r>
          </w:p>
        </w:tc>
      </w:tr>
      <w:tr w:rsidR="00D5380A" w:rsidRPr="00D5380A" w14:paraId="58181CF3"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F4A4CE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15-24</w:t>
            </w:r>
          </w:p>
        </w:tc>
        <w:tc>
          <w:tcPr>
            <w:tcW w:w="1440" w:type="dxa"/>
            <w:tcBorders>
              <w:top w:val="nil"/>
              <w:left w:val="nil"/>
              <w:bottom w:val="single" w:sz="4" w:space="0" w:color="auto"/>
              <w:right w:val="single" w:sz="4" w:space="0" w:color="auto"/>
            </w:tcBorders>
            <w:shd w:val="clear" w:color="auto" w:fill="auto"/>
            <w:noWrap/>
            <w:vAlign w:val="bottom"/>
            <w:hideMark/>
          </w:tcPr>
          <w:p w14:paraId="30742DF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0.6</w:t>
            </w:r>
          </w:p>
        </w:tc>
        <w:tc>
          <w:tcPr>
            <w:tcW w:w="1139" w:type="dxa"/>
            <w:tcBorders>
              <w:top w:val="nil"/>
              <w:left w:val="nil"/>
              <w:bottom w:val="single" w:sz="4" w:space="0" w:color="auto"/>
              <w:right w:val="single" w:sz="4" w:space="0" w:color="auto"/>
            </w:tcBorders>
            <w:shd w:val="clear" w:color="auto" w:fill="auto"/>
            <w:noWrap/>
            <w:vAlign w:val="bottom"/>
            <w:hideMark/>
          </w:tcPr>
          <w:p w14:paraId="7413B7CA"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4,520</w:t>
            </w:r>
          </w:p>
        </w:tc>
        <w:tc>
          <w:tcPr>
            <w:tcW w:w="1471" w:type="dxa"/>
            <w:tcBorders>
              <w:top w:val="nil"/>
              <w:left w:val="nil"/>
              <w:bottom w:val="single" w:sz="4" w:space="0" w:color="auto"/>
              <w:right w:val="single" w:sz="4" w:space="0" w:color="auto"/>
            </w:tcBorders>
            <w:shd w:val="clear" w:color="auto" w:fill="auto"/>
            <w:noWrap/>
            <w:vAlign w:val="bottom"/>
            <w:hideMark/>
          </w:tcPr>
          <w:p w14:paraId="337EAB8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2.1</w:t>
            </w:r>
          </w:p>
        </w:tc>
        <w:tc>
          <w:tcPr>
            <w:tcW w:w="1260" w:type="dxa"/>
            <w:tcBorders>
              <w:top w:val="nil"/>
              <w:left w:val="nil"/>
              <w:bottom w:val="single" w:sz="4" w:space="0" w:color="auto"/>
              <w:right w:val="single" w:sz="4" w:space="0" w:color="auto"/>
            </w:tcBorders>
            <w:shd w:val="clear" w:color="auto" w:fill="auto"/>
            <w:noWrap/>
            <w:vAlign w:val="bottom"/>
            <w:hideMark/>
          </w:tcPr>
          <w:p w14:paraId="1D8750A8"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5,844</w:t>
            </w:r>
          </w:p>
        </w:tc>
        <w:tc>
          <w:tcPr>
            <w:tcW w:w="1530" w:type="dxa"/>
            <w:tcBorders>
              <w:top w:val="nil"/>
              <w:left w:val="nil"/>
              <w:bottom w:val="single" w:sz="4" w:space="0" w:color="auto"/>
              <w:right w:val="single" w:sz="4" w:space="0" w:color="auto"/>
            </w:tcBorders>
            <w:shd w:val="clear" w:color="auto" w:fill="auto"/>
            <w:noWrap/>
            <w:vAlign w:val="bottom"/>
            <w:hideMark/>
          </w:tcPr>
          <w:p w14:paraId="6B2E051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1.4</w:t>
            </w:r>
          </w:p>
        </w:tc>
        <w:tc>
          <w:tcPr>
            <w:tcW w:w="1165" w:type="dxa"/>
            <w:tcBorders>
              <w:top w:val="nil"/>
              <w:left w:val="nil"/>
              <w:bottom w:val="single" w:sz="4" w:space="0" w:color="auto"/>
              <w:right w:val="single" w:sz="4" w:space="0" w:color="auto"/>
            </w:tcBorders>
            <w:shd w:val="clear" w:color="auto" w:fill="auto"/>
            <w:noWrap/>
            <w:vAlign w:val="bottom"/>
            <w:hideMark/>
          </w:tcPr>
          <w:p w14:paraId="5F86F95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10,364</w:t>
            </w:r>
          </w:p>
        </w:tc>
      </w:tr>
      <w:tr w:rsidR="00D5380A" w:rsidRPr="00D5380A" w14:paraId="5D7BD8A4"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01B85C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15-49</w:t>
            </w:r>
          </w:p>
        </w:tc>
        <w:tc>
          <w:tcPr>
            <w:tcW w:w="1440" w:type="dxa"/>
            <w:tcBorders>
              <w:top w:val="nil"/>
              <w:left w:val="nil"/>
              <w:bottom w:val="single" w:sz="4" w:space="0" w:color="auto"/>
              <w:right w:val="single" w:sz="4" w:space="0" w:color="auto"/>
            </w:tcBorders>
            <w:shd w:val="clear" w:color="auto" w:fill="auto"/>
            <w:noWrap/>
            <w:vAlign w:val="bottom"/>
            <w:hideMark/>
          </w:tcPr>
          <w:p w14:paraId="2AE7BB32"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3.1</w:t>
            </w:r>
          </w:p>
        </w:tc>
        <w:tc>
          <w:tcPr>
            <w:tcW w:w="1139" w:type="dxa"/>
            <w:tcBorders>
              <w:top w:val="nil"/>
              <w:left w:val="nil"/>
              <w:bottom w:val="single" w:sz="4" w:space="0" w:color="auto"/>
              <w:right w:val="single" w:sz="4" w:space="0" w:color="auto"/>
            </w:tcBorders>
            <w:shd w:val="clear" w:color="auto" w:fill="auto"/>
            <w:noWrap/>
            <w:vAlign w:val="bottom"/>
            <w:hideMark/>
          </w:tcPr>
          <w:p w14:paraId="170544D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10,971</w:t>
            </w:r>
          </w:p>
        </w:tc>
        <w:tc>
          <w:tcPr>
            <w:tcW w:w="1471" w:type="dxa"/>
            <w:tcBorders>
              <w:top w:val="nil"/>
              <w:left w:val="nil"/>
              <w:bottom w:val="single" w:sz="4" w:space="0" w:color="auto"/>
              <w:right w:val="single" w:sz="4" w:space="0" w:color="auto"/>
            </w:tcBorders>
            <w:shd w:val="clear" w:color="auto" w:fill="auto"/>
            <w:noWrap/>
            <w:vAlign w:val="bottom"/>
            <w:hideMark/>
          </w:tcPr>
          <w:p w14:paraId="402E66C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6.2</w:t>
            </w:r>
          </w:p>
        </w:tc>
        <w:tc>
          <w:tcPr>
            <w:tcW w:w="1260" w:type="dxa"/>
            <w:tcBorders>
              <w:top w:val="nil"/>
              <w:left w:val="nil"/>
              <w:bottom w:val="single" w:sz="4" w:space="0" w:color="auto"/>
              <w:right w:val="single" w:sz="4" w:space="0" w:color="auto"/>
            </w:tcBorders>
            <w:shd w:val="clear" w:color="auto" w:fill="auto"/>
            <w:noWrap/>
            <w:vAlign w:val="bottom"/>
            <w:hideMark/>
          </w:tcPr>
          <w:p w14:paraId="4F2A0AD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14,629</w:t>
            </w:r>
          </w:p>
        </w:tc>
        <w:tc>
          <w:tcPr>
            <w:tcW w:w="1530" w:type="dxa"/>
            <w:tcBorders>
              <w:top w:val="nil"/>
              <w:left w:val="nil"/>
              <w:bottom w:val="single" w:sz="4" w:space="0" w:color="auto"/>
              <w:right w:val="single" w:sz="4" w:space="0" w:color="auto"/>
            </w:tcBorders>
            <w:shd w:val="clear" w:color="auto" w:fill="auto"/>
            <w:noWrap/>
            <w:vAlign w:val="bottom"/>
            <w:hideMark/>
          </w:tcPr>
          <w:p w14:paraId="1AEE50B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4.7</w:t>
            </w:r>
          </w:p>
        </w:tc>
        <w:tc>
          <w:tcPr>
            <w:tcW w:w="1165" w:type="dxa"/>
            <w:tcBorders>
              <w:top w:val="nil"/>
              <w:left w:val="nil"/>
              <w:bottom w:val="single" w:sz="4" w:space="0" w:color="auto"/>
              <w:right w:val="single" w:sz="4" w:space="0" w:color="auto"/>
            </w:tcBorders>
            <w:shd w:val="clear" w:color="auto" w:fill="auto"/>
            <w:noWrap/>
            <w:vAlign w:val="bottom"/>
            <w:hideMark/>
          </w:tcPr>
          <w:p w14:paraId="439C47D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25,600</w:t>
            </w:r>
          </w:p>
        </w:tc>
      </w:tr>
      <w:tr w:rsidR="00D5380A" w:rsidRPr="00D5380A" w14:paraId="5DDFBDDE"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33302D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50+</w:t>
            </w:r>
          </w:p>
        </w:tc>
        <w:tc>
          <w:tcPr>
            <w:tcW w:w="1440" w:type="dxa"/>
            <w:tcBorders>
              <w:top w:val="nil"/>
              <w:left w:val="nil"/>
              <w:bottom w:val="single" w:sz="4" w:space="0" w:color="auto"/>
              <w:right w:val="single" w:sz="4" w:space="0" w:color="auto"/>
            </w:tcBorders>
            <w:shd w:val="clear" w:color="auto" w:fill="auto"/>
            <w:noWrap/>
            <w:vAlign w:val="bottom"/>
            <w:hideMark/>
          </w:tcPr>
          <w:p w14:paraId="0701B8B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5.0</w:t>
            </w:r>
          </w:p>
        </w:tc>
        <w:tc>
          <w:tcPr>
            <w:tcW w:w="1139" w:type="dxa"/>
            <w:tcBorders>
              <w:top w:val="nil"/>
              <w:left w:val="nil"/>
              <w:bottom w:val="single" w:sz="4" w:space="0" w:color="auto"/>
              <w:right w:val="single" w:sz="4" w:space="0" w:color="auto"/>
            </w:tcBorders>
            <w:shd w:val="clear" w:color="auto" w:fill="auto"/>
            <w:noWrap/>
            <w:vAlign w:val="bottom"/>
            <w:hideMark/>
          </w:tcPr>
          <w:p w14:paraId="68183BF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2,779</w:t>
            </w:r>
          </w:p>
        </w:tc>
        <w:tc>
          <w:tcPr>
            <w:tcW w:w="1471" w:type="dxa"/>
            <w:tcBorders>
              <w:top w:val="nil"/>
              <w:left w:val="nil"/>
              <w:bottom w:val="single" w:sz="4" w:space="0" w:color="auto"/>
              <w:right w:val="single" w:sz="4" w:space="0" w:color="auto"/>
            </w:tcBorders>
            <w:shd w:val="clear" w:color="auto" w:fill="auto"/>
            <w:noWrap/>
            <w:vAlign w:val="bottom"/>
            <w:hideMark/>
          </w:tcPr>
          <w:p w14:paraId="04C24E4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6.5</w:t>
            </w:r>
          </w:p>
        </w:tc>
        <w:tc>
          <w:tcPr>
            <w:tcW w:w="1260" w:type="dxa"/>
            <w:tcBorders>
              <w:top w:val="nil"/>
              <w:left w:val="nil"/>
              <w:bottom w:val="single" w:sz="4" w:space="0" w:color="auto"/>
              <w:right w:val="single" w:sz="4" w:space="0" w:color="auto"/>
            </w:tcBorders>
            <w:shd w:val="clear" w:color="auto" w:fill="auto"/>
            <w:noWrap/>
            <w:vAlign w:val="bottom"/>
            <w:hideMark/>
          </w:tcPr>
          <w:p w14:paraId="2D40B1F6"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3,200</w:t>
            </w:r>
          </w:p>
        </w:tc>
        <w:tc>
          <w:tcPr>
            <w:tcW w:w="1530" w:type="dxa"/>
            <w:tcBorders>
              <w:top w:val="nil"/>
              <w:left w:val="nil"/>
              <w:bottom w:val="single" w:sz="4" w:space="0" w:color="auto"/>
              <w:right w:val="single" w:sz="4" w:space="0" w:color="auto"/>
            </w:tcBorders>
            <w:shd w:val="clear" w:color="auto" w:fill="auto"/>
            <w:noWrap/>
            <w:vAlign w:val="bottom"/>
            <w:hideMark/>
          </w:tcPr>
          <w:p w14:paraId="25F7F38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5.8</w:t>
            </w:r>
          </w:p>
        </w:tc>
        <w:tc>
          <w:tcPr>
            <w:tcW w:w="1165" w:type="dxa"/>
            <w:tcBorders>
              <w:top w:val="nil"/>
              <w:left w:val="nil"/>
              <w:bottom w:val="single" w:sz="4" w:space="0" w:color="auto"/>
              <w:right w:val="single" w:sz="4" w:space="0" w:color="auto"/>
            </w:tcBorders>
            <w:shd w:val="clear" w:color="auto" w:fill="auto"/>
            <w:noWrap/>
            <w:vAlign w:val="bottom"/>
            <w:hideMark/>
          </w:tcPr>
          <w:p w14:paraId="344533C4"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5,979</w:t>
            </w:r>
          </w:p>
        </w:tc>
      </w:tr>
      <w:tr w:rsidR="00D5380A" w:rsidRPr="00D5380A" w14:paraId="1818CB35"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B83DB6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15-64</w:t>
            </w:r>
          </w:p>
        </w:tc>
        <w:tc>
          <w:tcPr>
            <w:tcW w:w="1440" w:type="dxa"/>
            <w:tcBorders>
              <w:top w:val="nil"/>
              <w:left w:val="nil"/>
              <w:bottom w:val="single" w:sz="4" w:space="0" w:color="auto"/>
              <w:right w:val="single" w:sz="4" w:space="0" w:color="auto"/>
            </w:tcBorders>
            <w:shd w:val="clear" w:color="auto" w:fill="auto"/>
            <w:noWrap/>
            <w:vAlign w:val="bottom"/>
            <w:hideMark/>
          </w:tcPr>
          <w:p w14:paraId="3C8575AF"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3.5</w:t>
            </w:r>
          </w:p>
        </w:tc>
        <w:tc>
          <w:tcPr>
            <w:tcW w:w="1139" w:type="dxa"/>
            <w:tcBorders>
              <w:top w:val="nil"/>
              <w:left w:val="nil"/>
              <w:bottom w:val="single" w:sz="4" w:space="0" w:color="auto"/>
              <w:right w:val="single" w:sz="4" w:space="0" w:color="auto"/>
            </w:tcBorders>
            <w:shd w:val="clear" w:color="auto" w:fill="auto"/>
            <w:noWrap/>
            <w:vAlign w:val="bottom"/>
            <w:hideMark/>
          </w:tcPr>
          <w:p w14:paraId="67007DEF"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12,730</w:t>
            </w:r>
          </w:p>
        </w:tc>
        <w:tc>
          <w:tcPr>
            <w:tcW w:w="1471" w:type="dxa"/>
            <w:tcBorders>
              <w:top w:val="nil"/>
              <w:left w:val="nil"/>
              <w:bottom w:val="single" w:sz="4" w:space="0" w:color="auto"/>
              <w:right w:val="single" w:sz="4" w:space="0" w:color="auto"/>
            </w:tcBorders>
            <w:shd w:val="clear" w:color="auto" w:fill="auto"/>
            <w:noWrap/>
            <w:vAlign w:val="bottom"/>
            <w:hideMark/>
          </w:tcPr>
          <w:p w14:paraId="18EC1EFB"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6.5</w:t>
            </w:r>
          </w:p>
        </w:tc>
        <w:tc>
          <w:tcPr>
            <w:tcW w:w="1260" w:type="dxa"/>
            <w:tcBorders>
              <w:top w:val="nil"/>
              <w:left w:val="nil"/>
              <w:bottom w:val="single" w:sz="4" w:space="0" w:color="auto"/>
              <w:right w:val="single" w:sz="4" w:space="0" w:color="auto"/>
            </w:tcBorders>
            <w:shd w:val="clear" w:color="auto" w:fill="auto"/>
            <w:noWrap/>
            <w:vAlign w:val="bottom"/>
            <w:hideMark/>
          </w:tcPr>
          <w:p w14:paraId="356D3EE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16,639</w:t>
            </w:r>
          </w:p>
        </w:tc>
        <w:tc>
          <w:tcPr>
            <w:tcW w:w="1530" w:type="dxa"/>
            <w:tcBorders>
              <w:top w:val="nil"/>
              <w:left w:val="nil"/>
              <w:bottom w:val="single" w:sz="4" w:space="0" w:color="auto"/>
              <w:right w:val="single" w:sz="4" w:space="0" w:color="auto"/>
            </w:tcBorders>
            <w:shd w:val="clear" w:color="auto" w:fill="auto"/>
            <w:noWrap/>
            <w:vAlign w:val="bottom"/>
            <w:hideMark/>
          </w:tcPr>
          <w:p w14:paraId="3B12F4D7"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5.0</w:t>
            </w:r>
          </w:p>
        </w:tc>
        <w:tc>
          <w:tcPr>
            <w:tcW w:w="1165" w:type="dxa"/>
            <w:tcBorders>
              <w:top w:val="nil"/>
              <w:left w:val="nil"/>
              <w:bottom w:val="single" w:sz="4" w:space="0" w:color="auto"/>
              <w:right w:val="single" w:sz="4" w:space="0" w:color="auto"/>
            </w:tcBorders>
            <w:shd w:val="clear" w:color="auto" w:fill="auto"/>
            <w:noWrap/>
            <w:vAlign w:val="bottom"/>
            <w:hideMark/>
          </w:tcPr>
          <w:p w14:paraId="6147BC8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29,369</w:t>
            </w:r>
          </w:p>
        </w:tc>
      </w:tr>
      <w:tr w:rsidR="00D5380A" w:rsidRPr="00D5380A" w14:paraId="3E9E25C0" w14:textId="77777777" w:rsidTr="00D5380A">
        <w:trPr>
          <w:trHeight w:val="2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A387843"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Total 15+</w:t>
            </w:r>
          </w:p>
        </w:tc>
        <w:tc>
          <w:tcPr>
            <w:tcW w:w="1440" w:type="dxa"/>
            <w:tcBorders>
              <w:top w:val="nil"/>
              <w:left w:val="nil"/>
              <w:bottom w:val="single" w:sz="4" w:space="0" w:color="auto"/>
              <w:right w:val="single" w:sz="4" w:space="0" w:color="auto"/>
            </w:tcBorders>
            <w:shd w:val="clear" w:color="auto" w:fill="auto"/>
            <w:noWrap/>
            <w:vAlign w:val="bottom"/>
            <w:hideMark/>
          </w:tcPr>
          <w:p w14:paraId="336A6B2C"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3.4</w:t>
            </w:r>
          </w:p>
        </w:tc>
        <w:tc>
          <w:tcPr>
            <w:tcW w:w="1139" w:type="dxa"/>
            <w:tcBorders>
              <w:top w:val="nil"/>
              <w:left w:val="nil"/>
              <w:bottom w:val="single" w:sz="4" w:space="0" w:color="auto"/>
              <w:right w:val="single" w:sz="4" w:space="0" w:color="auto"/>
            </w:tcBorders>
            <w:shd w:val="clear" w:color="auto" w:fill="auto"/>
            <w:noWrap/>
            <w:vAlign w:val="bottom"/>
            <w:hideMark/>
          </w:tcPr>
          <w:p w14:paraId="149E3FBE"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13,750</w:t>
            </w:r>
          </w:p>
        </w:tc>
        <w:tc>
          <w:tcPr>
            <w:tcW w:w="1471" w:type="dxa"/>
            <w:tcBorders>
              <w:top w:val="nil"/>
              <w:left w:val="nil"/>
              <w:bottom w:val="single" w:sz="4" w:space="0" w:color="auto"/>
              <w:right w:val="single" w:sz="4" w:space="0" w:color="auto"/>
            </w:tcBorders>
            <w:shd w:val="clear" w:color="auto" w:fill="auto"/>
            <w:noWrap/>
            <w:vAlign w:val="bottom"/>
            <w:hideMark/>
          </w:tcPr>
          <w:p w14:paraId="16001DD0"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6.3</w:t>
            </w:r>
          </w:p>
        </w:tc>
        <w:tc>
          <w:tcPr>
            <w:tcW w:w="1260" w:type="dxa"/>
            <w:tcBorders>
              <w:top w:val="nil"/>
              <w:left w:val="nil"/>
              <w:bottom w:val="single" w:sz="4" w:space="0" w:color="auto"/>
              <w:right w:val="single" w:sz="4" w:space="0" w:color="auto"/>
            </w:tcBorders>
            <w:shd w:val="clear" w:color="auto" w:fill="auto"/>
            <w:noWrap/>
            <w:vAlign w:val="bottom"/>
            <w:hideMark/>
          </w:tcPr>
          <w:p w14:paraId="1D847A79"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17,829</w:t>
            </w:r>
          </w:p>
        </w:tc>
        <w:tc>
          <w:tcPr>
            <w:tcW w:w="1530" w:type="dxa"/>
            <w:tcBorders>
              <w:top w:val="nil"/>
              <w:left w:val="nil"/>
              <w:bottom w:val="single" w:sz="4" w:space="0" w:color="auto"/>
              <w:right w:val="single" w:sz="4" w:space="0" w:color="auto"/>
            </w:tcBorders>
            <w:shd w:val="clear" w:color="auto" w:fill="auto"/>
            <w:noWrap/>
            <w:vAlign w:val="bottom"/>
            <w:hideMark/>
          </w:tcPr>
          <w:p w14:paraId="7E5B397D"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4.9</w:t>
            </w:r>
          </w:p>
        </w:tc>
        <w:tc>
          <w:tcPr>
            <w:tcW w:w="1165" w:type="dxa"/>
            <w:tcBorders>
              <w:top w:val="nil"/>
              <w:left w:val="nil"/>
              <w:bottom w:val="single" w:sz="4" w:space="0" w:color="auto"/>
              <w:right w:val="single" w:sz="4" w:space="0" w:color="auto"/>
            </w:tcBorders>
            <w:shd w:val="clear" w:color="auto" w:fill="auto"/>
            <w:noWrap/>
            <w:vAlign w:val="bottom"/>
            <w:hideMark/>
          </w:tcPr>
          <w:p w14:paraId="0CB95FD5" w14:textId="77777777" w:rsidR="00D5380A" w:rsidRPr="00D5380A" w:rsidRDefault="00D5380A" w:rsidP="00D5380A">
            <w:pPr>
              <w:spacing w:after="0" w:line="240" w:lineRule="auto"/>
              <w:rPr>
                <w:rFonts w:ascii="Arial" w:eastAsia="Times New Roman" w:hAnsi="Arial" w:cs="Arial"/>
                <w:color w:val="000000"/>
                <w:szCs w:val="22"/>
              </w:rPr>
            </w:pPr>
            <w:r w:rsidRPr="00D5380A">
              <w:rPr>
                <w:rFonts w:ascii="Arial" w:eastAsia="Times New Roman" w:hAnsi="Arial" w:cs="Arial"/>
                <w:color w:val="000000"/>
                <w:szCs w:val="22"/>
              </w:rPr>
              <w:t>31,579</w:t>
            </w:r>
          </w:p>
        </w:tc>
      </w:tr>
    </w:tbl>
    <w:p w14:paraId="17335521" w14:textId="5E483B80" w:rsidR="00D5380A" w:rsidRPr="00C74071" w:rsidRDefault="00C74071">
      <w:pPr>
        <w:rPr>
          <w:rFonts w:ascii="Arial" w:hAnsi="Arial" w:cs="Arial"/>
          <w:color w:val="000000" w:themeColor="text1"/>
          <w:sz w:val="18"/>
        </w:rPr>
      </w:pPr>
      <w:r w:rsidRPr="00C74071">
        <w:rPr>
          <w:rFonts w:ascii="Arial" w:hAnsi="Arial" w:cs="Arial"/>
          <w:color w:val="000000" w:themeColor="text1"/>
          <w:sz w:val="18"/>
        </w:rPr>
        <w:t>Source: Tanzania HIV Impact Survey 2016-2017</w:t>
      </w:r>
    </w:p>
    <w:p w14:paraId="141F95EA" w14:textId="1AC6E184" w:rsidR="00C74071" w:rsidRDefault="00C74071">
      <w:pPr>
        <w:rPr>
          <w:rFonts w:ascii="Arial" w:hAnsi="Arial" w:cs="Arial"/>
          <w:color w:val="000000" w:themeColor="text1"/>
        </w:rPr>
      </w:pPr>
    </w:p>
    <w:p w14:paraId="5AC63E92" w14:textId="313DF661" w:rsidR="00C74071" w:rsidRDefault="00C74071">
      <w:pPr>
        <w:rPr>
          <w:rFonts w:ascii="Arial" w:hAnsi="Arial" w:cs="Arial"/>
          <w:color w:val="000000" w:themeColor="text1"/>
        </w:rPr>
      </w:pPr>
    </w:p>
    <w:p w14:paraId="3121B5C1" w14:textId="098595B3" w:rsidR="00C74071" w:rsidRDefault="00C74071">
      <w:pPr>
        <w:rPr>
          <w:rFonts w:ascii="Arial" w:hAnsi="Arial" w:cs="Arial"/>
          <w:color w:val="000000" w:themeColor="text1"/>
        </w:rPr>
      </w:pPr>
    </w:p>
    <w:p w14:paraId="64CCB237" w14:textId="23FD161E" w:rsidR="00C74071" w:rsidRDefault="00C74071">
      <w:pPr>
        <w:rPr>
          <w:rFonts w:ascii="Arial" w:hAnsi="Arial" w:cs="Arial"/>
          <w:color w:val="000000" w:themeColor="text1"/>
        </w:rPr>
      </w:pPr>
    </w:p>
    <w:p w14:paraId="3F4643C8" w14:textId="1DAC51FE" w:rsidR="00C74071" w:rsidRDefault="00C74071">
      <w:pPr>
        <w:rPr>
          <w:rFonts w:ascii="Arial" w:hAnsi="Arial" w:cs="Arial"/>
          <w:color w:val="000000" w:themeColor="text1"/>
        </w:rPr>
      </w:pPr>
    </w:p>
    <w:p w14:paraId="76D251A4" w14:textId="347E9850" w:rsidR="00C74071" w:rsidRDefault="00C74071">
      <w:pPr>
        <w:rPr>
          <w:rFonts w:ascii="Arial" w:hAnsi="Arial" w:cs="Arial"/>
          <w:color w:val="000000" w:themeColor="text1"/>
        </w:rPr>
      </w:pPr>
    </w:p>
    <w:p w14:paraId="77A5F832" w14:textId="1D24F08C" w:rsidR="00C74071" w:rsidRDefault="00C74071">
      <w:pPr>
        <w:rPr>
          <w:rFonts w:ascii="Arial" w:hAnsi="Arial" w:cs="Arial"/>
          <w:color w:val="000000" w:themeColor="text1"/>
        </w:rPr>
      </w:pPr>
    </w:p>
    <w:p w14:paraId="2D2CEB86" w14:textId="5319E6F7" w:rsidR="00C74071" w:rsidRDefault="00C74071">
      <w:pPr>
        <w:rPr>
          <w:rFonts w:ascii="Arial" w:hAnsi="Arial" w:cs="Arial"/>
          <w:color w:val="000000" w:themeColor="text1"/>
        </w:rPr>
      </w:pPr>
    </w:p>
    <w:p w14:paraId="23BE7DDB" w14:textId="77777777" w:rsidR="00C74071" w:rsidRDefault="00C74071">
      <w:pPr>
        <w:rPr>
          <w:rFonts w:ascii="Arial" w:eastAsiaTheme="majorEastAsia" w:hAnsi="Arial" w:cs="Arial"/>
          <w:color w:val="000000" w:themeColor="text1"/>
          <w:sz w:val="28"/>
          <w:szCs w:val="28"/>
        </w:rPr>
      </w:pPr>
    </w:p>
    <w:p w14:paraId="4F6505CF" w14:textId="77777777" w:rsidR="00650F2B" w:rsidRDefault="00650F2B" w:rsidP="00F07840"/>
    <w:p w14:paraId="12707639" w14:textId="719CBE46" w:rsidR="007067DC" w:rsidRDefault="001005D4" w:rsidP="001005D4">
      <w:pPr>
        <w:pStyle w:val="Heading2"/>
        <w:spacing w:before="0"/>
        <w:rPr>
          <w:rFonts w:ascii="Arial" w:hAnsi="Arial" w:cs="Arial"/>
          <w:color w:val="000000" w:themeColor="text1"/>
        </w:rPr>
      </w:pPr>
      <w:bookmarkStart w:id="143" w:name="_Toc57035236"/>
      <w:r w:rsidRPr="001005D4">
        <w:rPr>
          <w:rFonts w:ascii="Arial" w:hAnsi="Arial" w:cs="Arial"/>
          <w:color w:val="000000" w:themeColor="text1"/>
        </w:rPr>
        <w:t xml:space="preserve">Annex </w:t>
      </w:r>
      <w:r w:rsidR="00650F2B">
        <w:rPr>
          <w:rFonts w:ascii="Arial" w:hAnsi="Arial" w:cs="Arial"/>
          <w:color w:val="000000" w:themeColor="text1"/>
        </w:rPr>
        <w:t>4</w:t>
      </w:r>
      <w:r w:rsidRPr="001005D4">
        <w:rPr>
          <w:rFonts w:ascii="Arial" w:hAnsi="Arial" w:cs="Arial"/>
          <w:color w:val="000000" w:themeColor="text1"/>
        </w:rPr>
        <w:t xml:space="preserve">. </w:t>
      </w:r>
      <w:r w:rsidR="007067DC" w:rsidRPr="001005D4">
        <w:rPr>
          <w:rFonts w:ascii="Arial" w:hAnsi="Arial" w:cs="Arial"/>
          <w:color w:val="000000" w:themeColor="text1"/>
        </w:rPr>
        <w:t>Goals model</w:t>
      </w:r>
      <w:bookmarkEnd w:id="143"/>
    </w:p>
    <w:p w14:paraId="25087717" w14:textId="50CD76EF" w:rsidR="003A56C4" w:rsidRDefault="003A56C4" w:rsidP="003A56C4"/>
    <w:p w14:paraId="62A1DADB" w14:textId="0F3270C3" w:rsidR="003A56C4" w:rsidRDefault="003A56C4" w:rsidP="003A56C4">
      <w:pPr>
        <w:spacing w:after="0"/>
        <w:rPr>
          <w:rFonts w:ascii="Arial" w:hAnsi="Arial" w:cs="Arial"/>
        </w:rPr>
      </w:pPr>
      <w:r w:rsidRPr="001B3156">
        <w:rPr>
          <w:rFonts w:ascii="Arial" w:hAnsi="Arial" w:cs="Arial"/>
        </w:rPr>
        <w:t xml:space="preserve">The </w:t>
      </w:r>
      <w:r>
        <w:rPr>
          <w:rFonts w:ascii="Arial" w:hAnsi="Arial" w:cs="Arial"/>
        </w:rPr>
        <w:t xml:space="preserve">Goals </w:t>
      </w:r>
      <w:r w:rsidRPr="001B3156">
        <w:rPr>
          <w:rFonts w:ascii="Arial" w:hAnsi="Arial" w:cs="Arial"/>
        </w:rPr>
        <w:t>model</w:t>
      </w:r>
      <w:r>
        <w:rPr>
          <w:rFonts w:ascii="Arial" w:hAnsi="Arial" w:cs="Arial"/>
        </w:rPr>
        <w:t xml:space="preserve"> is a computer model that links program goals to financing levels (Stover et al 2006). </w:t>
      </w:r>
      <w:r w:rsidRPr="001B3156">
        <w:rPr>
          <w:rFonts w:ascii="Arial" w:hAnsi="Arial" w:cs="Arial"/>
        </w:rPr>
        <w:t xml:space="preserve"> </w:t>
      </w:r>
      <w:r>
        <w:rPr>
          <w:rFonts w:ascii="Arial" w:hAnsi="Arial" w:cs="Arial"/>
        </w:rPr>
        <w:t xml:space="preserve">The model </w:t>
      </w:r>
      <w:r w:rsidRPr="001B3156">
        <w:rPr>
          <w:rFonts w:ascii="Arial" w:hAnsi="Arial" w:cs="Arial"/>
        </w:rPr>
        <w:t>divides the adult population 15-49 by sex and risk group (not sexually active, low risk s</w:t>
      </w:r>
      <w:r w:rsidR="0028213B">
        <w:rPr>
          <w:rFonts w:ascii="Arial" w:hAnsi="Arial" w:cs="Arial"/>
        </w:rPr>
        <w:t>table</w:t>
      </w:r>
      <w:r w:rsidRPr="001B3156">
        <w:rPr>
          <w:rFonts w:ascii="Arial" w:hAnsi="Arial" w:cs="Arial"/>
        </w:rPr>
        <w:t xml:space="preserve"> couples, medium risk people engaging in casual sex, sex workers and clients, men who have sex with men and injecting drug users).</w:t>
      </w:r>
    </w:p>
    <w:p w14:paraId="1383D7C1" w14:textId="43F8D32A" w:rsidR="00185F66" w:rsidRDefault="00185F66" w:rsidP="003A56C4">
      <w:pPr>
        <w:spacing w:after="0"/>
        <w:rPr>
          <w:rFonts w:ascii="Arial" w:hAnsi="Arial" w:cs="Arial"/>
        </w:rPr>
      </w:pPr>
    </w:p>
    <w:p w14:paraId="3AB2D1D4" w14:textId="74FA7BB0" w:rsidR="00185F66" w:rsidRPr="001005D4" w:rsidRDefault="00185F66" w:rsidP="00185F66">
      <w:pPr>
        <w:rPr>
          <w:rFonts w:ascii="Arial" w:hAnsi="Arial" w:cs="Arial"/>
        </w:rPr>
      </w:pPr>
      <w:r w:rsidRPr="00F6627B">
        <w:rPr>
          <w:rFonts w:ascii="Arial" w:hAnsi="Arial" w:cs="Arial"/>
        </w:rPr>
        <w:t xml:space="preserve">The Goals Model links to the AIDS Impact Model (AIM) module in Spectrum to estimate the impact of interventions on the population between the ages of 15 and 49. </w:t>
      </w:r>
      <w:r w:rsidRPr="001005D4">
        <w:rPr>
          <w:rFonts w:ascii="Arial" w:hAnsi="Arial" w:cs="Arial"/>
        </w:rPr>
        <w:t>The Goals model also has an impact matrix that summarizes the impact literature to describe changes in behavior by risk group as a result of exposure to behavior change interventions</w:t>
      </w:r>
      <w:r w:rsidR="00993DF6">
        <w:t xml:space="preserve"> </w:t>
      </w:r>
      <w:r w:rsidR="00993DF6" w:rsidRPr="00993DF6">
        <w:rPr>
          <w:rFonts w:ascii="Arial" w:hAnsi="Arial" w:cs="Arial"/>
        </w:rPr>
        <w:t>(Bollinger 2008)</w:t>
      </w:r>
      <w:r w:rsidRPr="00993DF6">
        <w:rPr>
          <w:rFonts w:ascii="Arial" w:hAnsi="Arial" w:cs="Arial"/>
        </w:rPr>
        <w:t>.</w:t>
      </w:r>
      <w:r w:rsidRPr="001005D4">
        <w:rPr>
          <w:rFonts w:ascii="Arial" w:hAnsi="Arial" w:cs="Arial"/>
        </w:rPr>
        <w:t xml:space="preserve"> </w:t>
      </w:r>
    </w:p>
    <w:p w14:paraId="3BC9DA1C" w14:textId="11926C5D" w:rsidR="00185F66" w:rsidRDefault="00185F66" w:rsidP="008544A5">
      <w:pPr>
        <w:jc w:val="both"/>
        <w:rPr>
          <w:rFonts w:ascii="Arial" w:hAnsi="Arial" w:cs="Arial"/>
        </w:rPr>
      </w:pPr>
      <w:r w:rsidRPr="00F6627B">
        <w:rPr>
          <w:rFonts w:ascii="Arial" w:hAnsi="Arial" w:cs="Arial"/>
        </w:rPr>
        <w:t>Additionally, AIM includes the impact of prevention-of-mother-to-child transmission (PMTCT) programs on the number of pediatric infections. A full description of the methods used in the Goals Model can be found in the model’s manual (Stover</w:t>
      </w:r>
      <w:r w:rsidR="00F07840">
        <w:rPr>
          <w:rFonts w:ascii="Arial" w:hAnsi="Arial" w:cs="Arial"/>
        </w:rPr>
        <w:t xml:space="preserve"> </w:t>
      </w:r>
      <w:r w:rsidRPr="00F6627B">
        <w:rPr>
          <w:rFonts w:ascii="Arial" w:hAnsi="Arial" w:cs="Arial"/>
        </w:rPr>
        <w:t xml:space="preserve">2011). </w:t>
      </w:r>
      <w:r w:rsidRPr="001005D4">
        <w:rPr>
          <w:rFonts w:ascii="Arial" w:hAnsi="Arial" w:cs="Arial"/>
        </w:rPr>
        <w:t xml:space="preserve">The Goals model is linked to the AIM module in Spectrum that calculates the effects on children (0-14) and those above the age of 49. </w:t>
      </w:r>
    </w:p>
    <w:p w14:paraId="7655F393" w14:textId="77777777" w:rsidR="003A56C4" w:rsidRDefault="003A56C4" w:rsidP="003A56C4">
      <w:pPr>
        <w:spacing w:after="0"/>
        <w:rPr>
          <w:rFonts w:ascii="Arial" w:hAnsi="Arial" w:cs="Arial"/>
        </w:rPr>
      </w:pPr>
    </w:p>
    <w:p w14:paraId="5A6E3D72" w14:textId="77777777" w:rsidR="003A56C4" w:rsidRDefault="003A56C4" w:rsidP="003A56C4">
      <w:pPr>
        <w:spacing w:after="0"/>
        <w:rPr>
          <w:rFonts w:ascii="Arial" w:hAnsi="Arial" w:cs="Arial"/>
        </w:rPr>
      </w:pPr>
      <w:r w:rsidRPr="001B3156">
        <w:rPr>
          <w:rFonts w:ascii="Arial" w:hAnsi="Arial" w:cs="Arial"/>
        </w:rPr>
        <w:t>The model has been set up for Tanzania using all available data sources to specify the distribution of the population by risk group, the behaviors for each risk group (number of partners, number of sexual acts per partner per year, condom use, and proportion married).</w:t>
      </w:r>
    </w:p>
    <w:p w14:paraId="4AA5812A" w14:textId="7DDF0A31" w:rsidR="00185F66" w:rsidRDefault="00185F66" w:rsidP="003A56C4">
      <w:pPr>
        <w:jc w:val="both"/>
        <w:rPr>
          <w:rFonts w:ascii="Arial" w:hAnsi="Arial" w:cs="Arial"/>
        </w:rPr>
      </w:pPr>
    </w:p>
    <w:p w14:paraId="295663AA" w14:textId="2DC577F9" w:rsidR="003A56C4" w:rsidRDefault="00185F66" w:rsidP="00650F2B">
      <w:pPr>
        <w:rPr>
          <w:rFonts w:ascii="Arial" w:hAnsi="Arial" w:cs="Arial"/>
        </w:rPr>
      </w:pPr>
      <w:r w:rsidRPr="001005D4">
        <w:rPr>
          <w:rFonts w:ascii="Arial" w:hAnsi="Arial" w:cs="Arial"/>
        </w:rPr>
        <w:t>Additional details on the Goals and AIM models are available from several publications</w:t>
      </w:r>
      <w:r w:rsidR="00993DF6">
        <w:rPr>
          <w:rFonts w:ascii="Arial" w:hAnsi="Arial" w:cs="Arial"/>
        </w:rPr>
        <w:t xml:space="preserve"> (Stover, 2014a; Stover, 2014b)</w:t>
      </w:r>
      <w:r w:rsidRPr="001005D4">
        <w:rPr>
          <w:rFonts w:ascii="Arial" w:hAnsi="Arial" w:cs="Arial"/>
        </w:rPr>
        <w:t>.</w:t>
      </w:r>
    </w:p>
    <w:p w14:paraId="0B985AF6" w14:textId="72959EE4" w:rsidR="00C05153" w:rsidRPr="00C05153" w:rsidRDefault="00C05153" w:rsidP="00650F2B">
      <w:pPr>
        <w:rPr>
          <w:rFonts w:ascii="Arial" w:hAnsi="Arial" w:cs="Arial"/>
          <w:i/>
          <w:sz w:val="18"/>
        </w:rPr>
      </w:pPr>
      <w:r w:rsidRPr="00C05153">
        <w:rPr>
          <w:rFonts w:ascii="Arial" w:hAnsi="Arial" w:cs="Arial"/>
          <w:i/>
          <w:sz w:val="18"/>
        </w:rPr>
        <w:t>Figure 4A-1. Schematic of Goals model</w:t>
      </w:r>
    </w:p>
    <w:p w14:paraId="723A47D2" w14:textId="77777777" w:rsidR="003A56C4" w:rsidRDefault="003A56C4" w:rsidP="003A56C4">
      <w:pPr>
        <w:spacing w:after="0"/>
      </w:pPr>
      <w:r w:rsidRPr="001951AB">
        <w:rPr>
          <w:noProof/>
        </w:rPr>
        <w:drawing>
          <wp:inline distT="0" distB="0" distL="0" distR="0" wp14:anchorId="38DA1C5C" wp14:editId="0D4220CC">
            <wp:extent cx="4088130" cy="2947553"/>
            <wp:effectExtent l="19050" t="19050" r="26670" b="24765"/>
            <wp:docPr id="126" name="Picture 1">
              <a:extLst xmlns:a="http://schemas.openxmlformats.org/drawingml/2006/main">
                <a:ext uri="{FF2B5EF4-FFF2-40B4-BE49-F238E27FC236}">
                  <a16:creationId xmlns:a16="http://schemas.microsoft.com/office/drawing/2014/main" id="{EDA15DC9-787C-48EA-9E31-211D8BDE6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A15DC9-787C-48EA-9E31-211D8BDE6068}"/>
                        </a:ext>
                      </a:extLst>
                    </pic:cNvPr>
                    <pic:cNvPicPr>
                      <a:picLocks noChangeAspect="1"/>
                    </pic:cNvPicPr>
                  </pic:nvPicPr>
                  <pic:blipFill>
                    <a:blip r:embed="rId64"/>
                    <a:stretch>
                      <a:fillRect/>
                    </a:stretch>
                  </pic:blipFill>
                  <pic:spPr>
                    <a:xfrm>
                      <a:off x="0" y="0"/>
                      <a:ext cx="4099945" cy="2956071"/>
                    </a:xfrm>
                    <a:prstGeom prst="rect">
                      <a:avLst/>
                    </a:prstGeom>
                    <a:ln>
                      <a:solidFill>
                        <a:schemeClr val="tx1"/>
                      </a:solidFill>
                    </a:ln>
                  </pic:spPr>
                </pic:pic>
              </a:graphicData>
            </a:graphic>
          </wp:inline>
        </w:drawing>
      </w:r>
    </w:p>
    <w:p w14:paraId="40E2460A" w14:textId="77777777" w:rsidR="003A56C4" w:rsidRDefault="003A56C4" w:rsidP="003A56C4">
      <w:pPr>
        <w:spacing w:after="0"/>
      </w:pPr>
    </w:p>
    <w:p w14:paraId="43A5C620" w14:textId="1A070900" w:rsidR="003A56C4" w:rsidRDefault="003A56C4" w:rsidP="003A56C4">
      <w:pPr>
        <w:spacing w:after="0"/>
        <w:rPr>
          <w:rFonts w:ascii="Arial" w:hAnsi="Arial" w:cs="Arial"/>
          <w:i/>
          <w:sz w:val="16"/>
          <w:szCs w:val="16"/>
        </w:rPr>
      </w:pPr>
      <w:r w:rsidRPr="00993DF6">
        <w:rPr>
          <w:rFonts w:ascii="Arial" w:hAnsi="Arial" w:cs="Arial"/>
          <w:i/>
          <w:sz w:val="16"/>
          <w:szCs w:val="16"/>
        </w:rPr>
        <w:t xml:space="preserve">Source: Avenir Health </w:t>
      </w:r>
    </w:p>
    <w:p w14:paraId="1AF10E6F" w14:textId="77777777" w:rsidR="00993DF6" w:rsidRPr="00993DF6" w:rsidRDefault="00993DF6" w:rsidP="003A56C4">
      <w:pPr>
        <w:spacing w:after="0"/>
        <w:rPr>
          <w:rFonts w:ascii="Arial" w:hAnsi="Arial" w:cs="Arial"/>
          <w:i/>
          <w:sz w:val="16"/>
          <w:szCs w:val="16"/>
        </w:rPr>
      </w:pPr>
    </w:p>
    <w:p w14:paraId="79239C14" w14:textId="15318D4C" w:rsidR="00AD74AA" w:rsidRDefault="00AD74AA" w:rsidP="00AD74AA">
      <w:pPr>
        <w:spacing w:after="0"/>
        <w:rPr>
          <w:rFonts w:ascii="Arial" w:hAnsi="Arial" w:cs="Arial"/>
        </w:rPr>
      </w:pPr>
      <w:r>
        <w:rPr>
          <w:rFonts w:ascii="Arial" w:hAnsi="Arial" w:cs="Arial"/>
        </w:rPr>
        <w:t xml:space="preserve">The </w:t>
      </w:r>
      <w:r w:rsidRPr="00B059F6">
        <w:rPr>
          <w:rFonts w:ascii="Arial" w:hAnsi="Arial" w:cs="Arial"/>
        </w:rPr>
        <w:t>UNAIDS recommended</w:t>
      </w:r>
      <w:r>
        <w:rPr>
          <w:rFonts w:ascii="Arial" w:hAnsi="Arial" w:cs="Arial"/>
        </w:rPr>
        <w:t xml:space="preserve"> packages of prevention interventions for each risk group include in the Goals model are shown below</w:t>
      </w:r>
      <w:r w:rsidR="00C05153">
        <w:rPr>
          <w:rFonts w:ascii="Arial" w:hAnsi="Arial" w:cs="Arial"/>
        </w:rPr>
        <w:t xml:space="preserve"> in </w:t>
      </w:r>
      <w:r w:rsidR="00C05153" w:rsidRPr="00C05153">
        <w:rPr>
          <w:rFonts w:ascii="Arial" w:hAnsi="Arial" w:cs="Arial"/>
          <w:i/>
        </w:rPr>
        <w:t>Figure 4A-2</w:t>
      </w:r>
      <w:r w:rsidR="00C05153">
        <w:rPr>
          <w:rFonts w:ascii="Arial" w:hAnsi="Arial" w:cs="Arial"/>
        </w:rPr>
        <w:t>.</w:t>
      </w:r>
    </w:p>
    <w:p w14:paraId="66279E21" w14:textId="29066059" w:rsidR="00AD74AA" w:rsidRDefault="00AD74AA" w:rsidP="00AD74AA">
      <w:pPr>
        <w:spacing w:after="0"/>
      </w:pPr>
    </w:p>
    <w:p w14:paraId="74AAF199" w14:textId="76585537" w:rsidR="00C05153" w:rsidRPr="00C05153" w:rsidRDefault="00C05153" w:rsidP="00AD74AA">
      <w:pPr>
        <w:spacing w:after="0"/>
        <w:rPr>
          <w:rFonts w:ascii="Arial" w:hAnsi="Arial" w:cs="Arial"/>
          <w:i/>
          <w:sz w:val="18"/>
        </w:rPr>
      </w:pPr>
      <w:r w:rsidRPr="00C05153">
        <w:rPr>
          <w:rFonts w:ascii="Arial" w:hAnsi="Arial" w:cs="Arial"/>
          <w:i/>
          <w:sz w:val="18"/>
        </w:rPr>
        <w:t>Figure 4A-2. Packages of prevention interventions included in Goals model</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959"/>
        <w:gridCol w:w="905"/>
        <w:gridCol w:w="1112"/>
        <w:gridCol w:w="991"/>
        <w:gridCol w:w="951"/>
        <w:gridCol w:w="929"/>
        <w:gridCol w:w="1138"/>
      </w:tblGrid>
      <w:tr w:rsidR="00AD74AA" w:rsidRPr="00B059F6" w14:paraId="3F634A5A" w14:textId="77777777" w:rsidTr="00074CE0">
        <w:trPr>
          <w:trHeight w:val="279"/>
        </w:trPr>
        <w:tc>
          <w:tcPr>
            <w:tcW w:w="2653" w:type="dxa"/>
            <w:shd w:val="clear" w:color="auto" w:fill="auto"/>
            <w:noWrap/>
            <w:vAlign w:val="bottom"/>
            <w:hideMark/>
          </w:tcPr>
          <w:p w14:paraId="18EA435D" w14:textId="77777777" w:rsidR="00AD74AA" w:rsidRPr="00D75FA8" w:rsidRDefault="00AD74AA" w:rsidP="00074CE0">
            <w:pPr>
              <w:spacing w:after="0" w:line="240" w:lineRule="auto"/>
              <w:rPr>
                <w:rFonts w:ascii="Arial" w:eastAsia="Times New Roman" w:hAnsi="Arial" w:cs="Arial"/>
                <w:b/>
                <w:color w:val="000000"/>
                <w:szCs w:val="22"/>
              </w:rPr>
            </w:pPr>
          </w:p>
        </w:tc>
        <w:tc>
          <w:tcPr>
            <w:tcW w:w="959" w:type="dxa"/>
            <w:vAlign w:val="center"/>
          </w:tcPr>
          <w:p w14:paraId="6E27056C"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color w:val="000000"/>
                <w:szCs w:val="22"/>
              </w:rPr>
              <w:t>AGYW</w:t>
            </w:r>
          </w:p>
        </w:tc>
        <w:tc>
          <w:tcPr>
            <w:tcW w:w="905" w:type="dxa"/>
            <w:vAlign w:val="center"/>
          </w:tcPr>
          <w:p w14:paraId="6A07FABD"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color w:val="000000"/>
                <w:szCs w:val="22"/>
              </w:rPr>
              <w:t>FSW</w:t>
            </w:r>
          </w:p>
        </w:tc>
        <w:tc>
          <w:tcPr>
            <w:tcW w:w="1112" w:type="dxa"/>
            <w:vAlign w:val="center"/>
          </w:tcPr>
          <w:p w14:paraId="4F2B2443"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bCs/>
                <w:color w:val="000000"/>
                <w:szCs w:val="22"/>
              </w:rPr>
              <w:t>Women 25+ with multiple partners</w:t>
            </w:r>
          </w:p>
        </w:tc>
        <w:tc>
          <w:tcPr>
            <w:tcW w:w="991" w:type="dxa"/>
            <w:vAlign w:val="center"/>
          </w:tcPr>
          <w:p w14:paraId="451B04FE"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color w:val="000000"/>
                <w:szCs w:val="22"/>
              </w:rPr>
              <w:t>Lower risk women</w:t>
            </w:r>
          </w:p>
        </w:tc>
        <w:tc>
          <w:tcPr>
            <w:tcW w:w="951" w:type="dxa"/>
            <w:vAlign w:val="center"/>
          </w:tcPr>
          <w:p w14:paraId="389B5845"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color w:val="000000"/>
                <w:szCs w:val="22"/>
              </w:rPr>
              <w:t>ABYM</w:t>
            </w:r>
          </w:p>
        </w:tc>
        <w:tc>
          <w:tcPr>
            <w:tcW w:w="929" w:type="dxa"/>
            <w:vAlign w:val="center"/>
          </w:tcPr>
          <w:p w14:paraId="3A961A4C"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color w:val="000000"/>
                <w:szCs w:val="22"/>
              </w:rPr>
              <w:t>Male clients</w:t>
            </w:r>
          </w:p>
        </w:tc>
        <w:tc>
          <w:tcPr>
            <w:tcW w:w="1138" w:type="dxa"/>
            <w:vAlign w:val="center"/>
          </w:tcPr>
          <w:p w14:paraId="2B7B972C" w14:textId="77777777" w:rsidR="00AD74AA" w:rsidRPr="003E62FC" w:rsidRDefault="00AD74AA" w:rsidP="00074CE0">
            <w:pPr>
              <w:spacing w:after="0" w:line="240" w:lineRule="auto"/>
              <w:jc w:val="center"/>
              <w:rPr>
                <w:rFonts w:ascii="Arial" w:eastAsia="Times New Roman" w:hAnsi="Arial" w:cs="Arial"/>
                <w:b/>
                <w:color w:val="000000"/>
                <w:szCs w:val="22"/>
              </w:rPr>
            </w:pPr>
            <w:r w:rsidRPr="003E62FC">
              <w:rPr>
                <w:rFonts w:ascii="Arial" w:eastAsia="Times New Roman" w:hAnsi="Arial" w:cs="Arial"/>
                <w:b/>
                <w:color w:val="000000"/>
                <w:szCs w:val="22"/>
              </w:rPr>
              <w:t>MSM</w:t>
            </w:r>
          </w:p>
        </w:tc>
      </w:tr>
      <w:tr w:rsidR="00AD74AA" w:rsidRPr="00DA19B8" w14:paraId="48024689" w14:textId="77777777" w:rsidTr="00074CE0">
        <w:trPr>
          <w:trHeight w:val="279"/>
        </w:trPr>
        <w:tc>
          <w:tcPr>
            <w:tcW w:w="2653" w:type="dxa"/>
            <w:shd w:val="clear" w:color="auto" w:fill="auto"/>
            <w:noWrap/>
            <w:vAlign w:val="bottom"/>
          </w:tcPr>
          <w:p w14:paraId="5F283097"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Condoms</w:t>
            </w:r>
          </w:p>
        </w:tc>
        <w:tc>
          <w:tcPr>
            <w:tcW w:w="959" w:type="dxa"/>
            <w:vAlign w:val="center"/>
          </w:tcPr>
          <w:p w14:paraId="23DCFF27"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70353D07"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12" w:type="dxa"/>
            <w:vAlign w:val="center"/>
          </w:tcPr>
          <w:p w14:paraId="457328C8" w14:textId="77777777" w:rsidR="00AD74AA" w:rsidRPr="00DA19B8" w:rsidRDefault="00AD74AA" w:rsidP="00074CE0">
            <w:pPr>
              <w:spacing w:after="0" w:line="240" w:lineRule="auto"/>
              <w:jc w:val="center"/>
              <w:rPr>
                <w:rFonts w:ascii="Arial" w:eastAsia="Times New Roman" w:hAnsi="Arial" w:cs="Arial"/>
                <w:bCs/>
                <w:color w:val="000000"/>
                <w:szCs w:val="22"/>
              </w:rPr>
            </w:pPr>
            <w:r w:rsidRPr="00DA19B8">
              <w:rPr>
                <w:rFonts w:ascii="Arial" w:eastAsia="Times New Roman" w:hAnsi="Arial" w:cs="Arial"/>
                <w:bCs/>
                <w:color w:val="000000"/>
                <w:szCs w:val="22"/>
              </w:rPr>
              <w:t>X</w:t>
            </w:r>
          </w:p>
        </w:tc>
        <w:tc>
          <w:tcPr>
            <w:tcW w:w="991" w:type="dxa"/>
            <w:vAlign w:val="center"/>
          </w:tcPr>
          <w:p w14:paraId="6DF06894"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51" w:type="dxa"/>
            <w:vAlign w:val="center"/>
          </w:tcPr>
          <w:p w14:paraId="3AE8F37F"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29" w:type="dxa"/>
            <w:vAlign w:val="center"/>
          </w:tcPr>
          <w:p w14:paraId="15D22130"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1138" w:type="dxa"/>
            <w:vAlign w:val="center"/>
          </w:tcPr>
          <w:p w14:paraId="394FDDF1" w14:textId="77777777" w:rsidR="00AD74AA" w:rsidRPr="00DA19B8" w:rsidRDefault="00AD74AA" w:rsidP="00074CE0">
            <w:pPr>
              <w:spacing w:after="0" w:line="240" w:lineRule="auto"/>
              <w:jc w:val="center"/>
              <w:rPr>
                <w:rFonts w:ascii="Arial" w:eastAsia="Times New Roman" w:hAnsi="Arial" w:cs="Arial"/>
                <w:color w:val="000000"/>
                <w:szCs w:val="22"/>
              </w:rPr>
            </w:pPr>
          </w:p>
        </w:tc>
      </w:tr>
      <w:tr w:rsidR="00AD74AA" w:rsidRPr="00DA19B8" w14:paraId="7D26A47C" w14:textId="77777777" w:rsidTr="00074CE0">
        <w:trPr>
          <w:trHeight w:val="279"/>
        </w:trPr>
        <w:tc>
          <w:tcPr>
            <w:tcW w:w="2653" w:type="dxa"/>
            <w:shd w:val="clear" w:color="auto" w:fill="auto"/>
            <w:noWrap/>
            <w:vAlign w:val="bottom"/>
          </w:tcPr>
          <w:p w14:paraId="1A58C366"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VMMC</w:t>
            </w:r>
          </w:p>
        </w:tc>
        <w:tc>
          <w:tcPr>
            <w:tcW w:w="959" w:type="dxa"/>
            <w:vAlign w:val="center"/>
          </w:tcPr>
          <w:p w14:paraId="5A4CDA6C"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05" w:type="dxa"/>
            <w:vAlign w:val="center"/>
          </w:tcPr>
          <w:p w14:paraId="51644E2E"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12" w:type="dxa"/>
            <w:vAlign w:val="center"/>
          </w:tcPr>
          <w:p w14:paraId="10181899"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07746FEA"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18F61EAE"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29" w:type="dxa"/>
            <w:vAlign w:val="center"/>
          </w:tcPr>
          <w:p w14:paraId="3503B54E"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6A4F3EBC" w14:textId="77777777" w:rsidR="00AD74AA" w:rsidRPr="00DA19B8" w:rsidRDefault="00AD74AA" w:rsidP="00074CE0">
            <w:pPr>
              <w:spacing w:after="0" w:line="240" w:lineRule="auto"/>
              <w:jc w:val="center"/>
              <w:rPr>
                <w:rFonts w:ascii="Arial" w:eastAsia="Times New Roman" w:hAnsi="Arial" w:cs="Arial"/>
                <w:color w:val="000000"/>
                <w:szCs w:val="22"/>
              </w:rPr>
            </w:pPr>
          </w:p>
        </w:tc>
      </w:tr>
      <w:tr w:rsidR="00AD74AA" w:rsidRPr="00DA19B8" w14:paraId="6900CD32" w14:textId="77777777" w:rsidTr="00074CE0">
        <w:trPr>
          <w:trHeight w:val="279"/>
        </w:trPr>
        <w:tc>
          <w:tcPr>
            <w:tcW w:w="2653" w:type="dxa"/>
            <w:shd w:val="clear" w:color="auto" w:fill="auto"/>
            <w:noWrap/>
            <w:vAlign w:val="bottom"/>
          </w:tcPr>
          <w:p w14:paraId="4E81225B"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PrEP</w:t>
            </w:r>
          </w:p>
        </w:tc>
        <w:tc>
          <w:tcPr>
            <w:tcW w:w="959" w:type="dxa"/>
            <w:vAlign w:val="center"/>
          </w:tcPr>
          <w:p w14:paraId="4B0FD9E5"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3A27020E"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1112" w:type="dxa"/>
            <w:vAlign w:val="center"/>
          </w:tcPr>
          <w:p w14:paraId="0586A117" w14:textId="77777777" w:rsidR="00AD74AA" w:rsidRPr="00DA19B8" w:rsidRDefault="00AD74AA" w:rsidP="00074CE0">
            <w:pPr>
              <w:spacing w:after="0" w:line="240" w:lineRule="auto"/>
              <w:jc w:val="center"/>
              <w:rPr>
                <w:rFonts w:ascii="Arial" w:eastAsia="Times New Roman" w:hAnsi="Arial" w:cs="Arial"/>
                <w:bCs/>
                <w:color w:val="000000"/>
                <w:szCs w:val="22"/>
              </w:rPr>
            </w:pPr>
            <w:r w:rsidRPr="00DA19B8">
              <w:rPr>
                <w:rFonts w:ascii="Arial" w:eastAsia="Times New Roman" w:hAnsi="Arial" w:cs="Arial"/>
                <w:bCs/>
                <w:color w:val="000000"/>
                <w:szCs w:val="22"/>
              </w:rPr>
              <w:t>X</w:t>
            </w:r>
          </w:p>
        </w:tc>
        <w:tc>
          <w:tcPr>
            <w:tcW w:w="991" w:type="dxa"/>
            <w:vAlign w:val="center"/>
          </w:tcPr>
          <w:p w14:paraId="18DEA635"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51" w:type="dxa"/>
            <w:vAlign w:val="center"/>
          </w:tcPr>
          <w:p w14:paraId="309AF13B"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29" w:type="dxa"/>
            <w:vAlign w:val="center"/>
          </w:tcPr>
          <w:p w14:paraId="43254431"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07B5EAE3"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r>
      <w:tr w:rsidR="00AD74AA" w:rsidRPr="00DA19B8" w14:paraId="4509C070" w14:textId="77777777" w:rsidTr="00074CE0">
        <w:trPr>
          <w:trHeight w:val="279"/>
        </w:trPr>
        <w:tc>
          <w:tcPr>
            <w:tcW w:w="2653" w:type="dxa"/>
            <w:shd w:val="clear" w:color="auto" w:fill="auto"/>
            <w:noWrap/>
            <w:vAlign w:val="bottom"/>
          </w:tcPr>
          <w:p w14:paraId="5ECCE2FC"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PEP</w:t>
            </w:r>
          </w:p>
        </w:tc>
        <w:tc>
          <w:tcPr>
            <w:tcW w:w="959" w:type="dxa"/>
            <w:vAlign w:val="center"/>
          </w:tcPr>
          <w:p w14:paraId="752CC5FE"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51B4A96B"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1112" w:type="dxa"/>
            <w:vAlign w:val="center"/>
          </w:tcPr>
          <w:p w14:paraId="1AD4495C"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5D0F1FF1"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2849525E"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29" w:type="dxa"/>
            <w:vAlign w:val="center"/>
          </w:tcPr>
          <w:p w14:paraId="1FE9B69E"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640F9666"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r>
      <w:tr w:rsidR="00AD74AA" w:rsidRPr="00DA19B8" w14:paraId="266820A4" w14:textId="77777777" w:rsidTr="00074CE0">
        <w:trPr>
          <w:trHeight w:val="279"/>
        </w:trPr>
        <w:tc>
          <w:tcPr>
            <w:tcW w:w="2653" w:type="dxa"/>
            <w:shd w:val="clear" w:color="auto" w:fill="auto"/>
            <w:noWrap/>
            <w:vAlign w:val="bottom"/>
          </w:tcPr>
          <w:p w14:paraId="22286C6B"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Cash transfers</w:t>
            </w:r>
          </w:p>
        </w:tc>
        <w:tc>
          <w:tcPr>
            <w:tcW w:w="959" w:type="dxa"/>
            <w:vAlign w:val="center"/>
          </w:tcPr>
          <w:p w14:paraId="03D415A6"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7A4F2D6F"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12" w:type="dxa"/>
            <w:vAlign w:val="center"/>
          </w:tcPr>
          <w:p w14:paraId="4A8EFB00"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6A401C9E"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3896CFA3"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29" w:type="dxa"/>
            <w:vAlign w:val="center"/>
          </w:tcPr>
          <w:p w14:paraId="0CA86BD2"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343D1555" w14:textId="77777777" w:rsidR="00AD74AA" w:rsidRPr="00DA19B8" w:rsidRDefault="00AD74AA" w:rsidP="00074CE0">
            <w:pPr>
              <w:spacing w:after="0" w:line="240" w:lineRule="auto"/>
              <w:jc w:val="center"/>
              <w:rPr>
                <w:rFonts w:ascii="Arial" w:eastAsia="Times New Roman" w:hAnsi="Arial" w:cs="Arial"/>
                <w:color w:val="000000"/>
                <w:szCs w:val="22"/>
              </w:rPr>
            </w:pPr>
          </w:p>
        </w:tc>
      </w:tr>
      <w:tr w:rsidR="00AD74AA" w:rsidRPr="00DA19B8" w14:paraId="10FDC388" w14:textId="77777777" w:rsidTr="00074CE0">
        <w:trPr>
          <w:trHeight w:val="279"/>
        </w:trPr>
        <w:tc>
          <w:tcPr>
            <w:tcW w:w="2653" w:type="dxa"/>
            <w:shd w:val="clear" w:color="auto" w:fill="auto"/>
            <w:noWrap/>
            <w:vAlign w:val="bottom"/>
          </w:tcPr>
          <w:p w14:paraId="03B9075A"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VCT</w:t>
            </w:r>
          </w:p>
        </w:tc>
        <w:tc>
          <w:tcPr>
            <w:tcW w:w="959" w:type="dxa"/>
            <w:vAlign w:val="center"/>
          </w:tcPr>
          <w:p w14:paraId="6C5BBE04"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169593BF"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12" w:type="dxa"/>
            <w:vAlign w:val="center"/>
          </w:tcPr>
          <w:p w14:paraId="0351B645"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70CA2B29"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16E6C9A6"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29" w:type="dxa"/>
            <w:vAlign w:val="center"/>
          </w:tcPr>
          <w:p w14:paraId="2ED29230"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5F3F0DB5" w14:textId="77777777" w:rsidR="00AD74AA" w:rsidRPr="00DA19B8" w:rsidRDefault="00AD74AA" w:rsidP="00074CE0">
            <w:pPr>
              <w:spacing w:after="0" w:line="240" w:lineRule="auto"/>
              <w:jc w:val="center"/>
              <w:rPr>
                <w:rFonts w:ascii="Arial" w:eastAsia="Times New Roman" w:hAnsi="Arial" w:cs="Arial"/>
                <w:color w:val="000000"/>
                <w:szCs w:val="22"/>
              </w:rPr>
            </w:pPr>
          </w:p>
        </w:tc>
      </w:tr>
      <w:tr w:rsidR="00AD74AA" w:rsidRPr="00DA19B8" w14:paraId="35B00CA5" w14:textId="77777777" w:rsidTr="00074CE0">
        <w:trPr>
          <w:trHeight w:val="279"/>
        </w:trPr>
        <w:tc>
          <w:tcPr>
            <w:tcW w:w="2653" w:type="dxa"/>
            <w:shd w:val="clear" w:color="auto" w:fill="auto"/>
            <w:noWrap/>
            <w:vAlign w:val="bottom"/>
          </w:tcPr>
          <w:p w14:paraId="7242E5A9"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Self-testing</w:t>
            </w:r>
          </w:p>
        </w:tc>
        <w:tc>
          <w:tcPr>
            <w:tcW w:w="959" w:type="dxa"/>
            <w:vAlign w:val="center"/>
          </w:tcPr>
          <w:p w14:paraId="0B717983"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1B4F4679"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1112" w:type="dxa"/>
            <w:vAlign w:val="center"/>
          </w:tcPr>
          <w:p w14:paraId="4B4F460E"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3B3F6678"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0A4AEC34"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29" w:type="dxa"/>
            <w:vAlign w:val="center"/>
          </w:tcPr>
          <w:p w14:paraId="77543BDD"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7589773B"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r>
      <w:tr w:rsidR="00AD74AA" w:rsidRPr="00DA19B8" w14:paraId="66163607" w14:textId="77777777" w:rsidTr="00074CE0">
        <w:trPr>
          <w:trHeight w:val="279"/>
        </w:trPr>
        <w:tc>
          <w:tcPr>
            <w:tcW w:w="2653" w:type="dxa"/>
            <w:shd w:val="clear" w:color="auto" w:fill="auto"/>
            <w:noWrap/>
            <w:vAlign w:val="bottom"/>
          </w:tcPr>
          <w:p w14:paraId="3DE1D34F"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Demand creation</w:t>
            </w:r>
          </w:p>
        </w:tc>
        <w:tc>
          <w:tcPr>
            <w:tcW w:w="959" w:type="dxa"/>
            <w:vAlign w:val="center"/>
          </w:tcPr>
          <w:p w14:paraId="1B744E79"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57F34A74"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12" w:type="dxa"/>
            <w:vAlign w:val="center"/>
          </w:tcPr>
          <w:p w14:paraId="2B7C1D75"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5382D8C3"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5DC280B6"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29" w:type="dxa"/>
            <w:vAlign w:val="center"/>
          </w:tcPr>
          <w:p w14:paraId="09D0B816"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2732E209" w14:textId="77777777" w:rsidR="00AD74AA" w:rsidRPr="00DA19B8" w:rsidRDefault="00AD74AA" w:rsidP="00074CE0">
            <w:pPr>
              <w:spacing w:after="0" w:line="240" w:lineRule="auto"/>
              <w:jc w:val="center"/>
              <w:rPr>
                <w:rFonts w:ascii="Arial" w:eastAsia="Times New Roman" w:hAnsi="Arial" w:cs="Arial"/>
                <w:color w:val="000000"/>
                <w:szCs w:val="22"/>
              </w:rPr>
            </w:pPr>
          </w:p>
        </w:tc>
      </w:tr>
      <w:tr w:rsidR="00AD74AA" w:rsidRPr="00DA19B8" w14:paraId="7CA15913" w14:textId="77777777" w:rsidTr="00074CE0">
        <w:trPr>
          <w:trHeight w:val="279"/>
        </w:trPr>
        <w:tc>
          <w:tcPr>
            <w:tcW w:w="2653" w:type="dxa"/>
            <w:shd w:val="clear" w:color="auto" w:fill="auto"/>
            <w:noWrap/>
            <w:vAlign w:val="bottom"/>
          </w:tcPr>
          <w:p w14:paraId="7D23A4AC"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Sexuality education</w:t>
            </w:r>
          </w:p>
        </w:tc>
        <w:tc>
          <w:tcPr>
            <w:tcW w:w="959" w:type="dxa"/>
            <w:vAlign w:val="center"/>
          </w:tcPr>
          <w:p w14:paraId="5B715D88"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271E1EC6"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12" w:type="dxa"/>
            <w:vAlign w:val="center"/>
          </w:tcPr>
          <w:p w14:paraId="498F48C7"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18E7D2A3"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1088709D"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29" w:type="dxa"/>
            <w:vAlign w:val="center"/>
          </w:tcPr>
          <w:p w14:paraId="5D54EFC1"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1E7EAC36" w14:textId="77777777" w:rsidR="00AD74AA" w:rsidRPr="00DA19B8" w:rsidRDefault="00AD74AA" w:rsidP="00074CE0">
            <w:pPr>
              <w:spacing w:after="0" w:line="240" w:lineRule="auto"/>
              <w:jc w:val="center"/>
              <w:rPr>
                <w:rFonts w:ascii="Arial" w:eastAsia="Times New Roman" w:hAnsi="Arial" w:cs="Arial"/>
                <w:color w:val="000000"/>
                <w:szCs w:val="22"/>
              </w:rPr>
            </w:pPr>
          </w:p>
        </w:tc>
      </w:tr>
      <w:tr w:rsidR="00AD74AA" w:rsidRPr="00DA19B8" w14:paraId="63AEC8F3" w14:textId="77777777" w:rsidTr="00074CE0">
        <w:trPr>
          <w:trHeight w:val="279"/>
        </w:trPr>
        <w:tc>
          <w:tcPr>
            <w:tcW w:w="2653" w:type="dxa"/>
            <w:shd w:val="clear" w:color="auto" w:fill="auto"/>
            <w:noWrap/>
            <w:vAlign w:val="bottom"/>
          </w:tcPr>
          <w:p w14:paraId="54E3165A"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Economic/community</w:t>
            </w:r>
          </w:p>
          <w:p w14:paraId="26DD5CA1" w14:textId="51009A85"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Empowerment</w:t>
            </w:r>
          </w:p>
        </w:tc>
        <w:tc>
          <w:tcPr>
            <w:tcW w:w="959" w:type="dxa"/>
            <w:vAlign w:val="center"/>
          </w:tcPr>
          <w:p w14:paraId="15374F7A"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905" w:type="dxa"/>
            <w:vAlign w:val="center"/>
          </w:tcPr>
          <w:p w14:paraId="05F0BDA3"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1112" w:type="dxa"/>
            <w:vAlign w:val="center"/>
          </w:tcPr>
          <w:p w14:paraId="7FA7C02C"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61844D65"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2B9A0DCF"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29" w:type="dxa"/>
            <w:vAlign w:val="center"/>
          </w:tcPr>
          <w:p w14:paraId="50108A2D"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2591C13B"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r>
      <w:tr w:rsidR="00AD74AA" w:rsidRPr="00DA19B8" w14:paraId="4C11A132" w14:textId="77777777" w:rsidTr="00074CE0">
        <w:trPr>
          <w:trHeight w:val="279"/>
        </w:trPr>
        <w:tc>
          <w:tcPr>
            <w:tcW w:w="2653" w:type="dxa"/>
            <w:shd w:val="clear" w:color="auto" w:fill="auto"/>
            <w:noWrap/>
            <w:vAlign w:val="bottom"/>
          </w:tcPr>
          <w:p w14:paraId="43600E49" w14:textId="77777777" w:rsidR="00AD74AA" w:rsidRPr="00DA19B8" w:rsidRDefault="00AD74AA" w:rsidP="00074CE0">
            <w:pPr>
              <w:spacing w:after="0" w:line="240" w:lineRule="auto"/>
              <w:rPr>
                <w:rFonts w:ascii="Arial" w:eastAsia="Times New Roman" w:hAnsi="Arial" w:cs="Arial"/>
                <w:color w:val="000000"/>
                <w:szCs w:val="22"/>
              </w:rPr>
            </w:pPr>
            <w:r w:rsidRPr="00DA19B8">
              <w:rPr>
                <w:rFonts w:ascii="Arial" w:eastAsia="Times New Roman" w:hAnsi="Arial" w:cs="Arial"/>
                <w:color w:val="000000"/>
                <w:szCs w:val="22"/>
              </w:rPr>
              <w:t>Outreach</w:t>
            </w:r>
          </w:p>
        </w:tc>
        <w:tc>
          <w:tcPr>
            <w:tcW w:w="959" w:type="dxa"/>
            <w:vAlign w:val="center"/>
          </w:tcPr>
          <w:p w14:paraId="5710D199"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05" w:type="dxa"/>
            <w:vAlign w:val="center"/>
          </w:tcPr>
          <w:p w14:paraId="3B45B492"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c>
          <w:tcPr>
            <w:tcW w:w="1112" w:type="dxa"/>
            <w:vAlign w:val="center"/>
          </w:tcPr>
          <w:p w14:paraId="7C2D24A5" w14:textId="77777777" w:rsidR="00AD74AA" w:rsidRPr="00DA19B8" w:rsidRDefault="00AD74AA" w:rsidP="00074CE0">
            <w:pPr>
              <w:spacing w:after="0" w:line="240" w:lineRule="auto"/>
              <w:jc w:val="center"/>
              <w:rPr>
                <w:rFonts w:ascii="Arial" w:eastAsia="Times New Roman" w:hAnsi="Arial" w:cs="Arial"/>
                <w:bCs/>
                <w:color w:val="000000"/>
                <w:szCs w:val="22"/>
              </w:rPr>
            </w:pPr>
          </w:p>
        </w:tc>
        <w:tc>
          <w:tcPr>
            <w:tcW w:w="991" w:type="dxa"/>
            <w:vAlign w:val="center"/>
          </w:tcPr>
          <w:p w14:paraId="6AE3C573"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51" w:type="dxa"/>
            <w:vAlign w:val="center"/>
          </w:tcPr>
          <w:p w14:paraId="3F1AC231"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929" w:type="dxa"/>
            <w:vAlign w:val="center"/>
          </w:tcPr>
          <w:p w14:paraId="00989D8F" w14:textId="77777777" w:rsidR="00AD74AA" w:rsidRPr="00DA19B8" w:rsidRDefault="00AD74AA" w:rsidP="00074CE0">
            <w:pPr>
              <w:spacing w:after="0" w:line="240" w:lineRule="auto"/>
              <w:jc w:val="center"/>
              <w:rPr>
                <w:rFonts w:ascii="Arial" w:eastAsia="Times New Roman" w:hAnsi="Arial" w:cs="Arial"/>
                <w:color w:val="000000"/>
                <w:szCs w:val="22"/>
              </w:rPr>
            </w:pPr>
          </w:p>
        </w:tc>
        <w:tc>
          <w:tcPr>
            <w:tcW w:w="1138" w:type="dxa"/>
            <w:vAlign w:val="center"/>
          </w:tcPr>
          <w:p w14:paraId="79E11C8F" w14:textId="77777777" w:rsidR="00AD74AA" w:rsidRPr="00DA19B8" w:rsidRDefault="00AD74AA" w:rsidP="00074CE0">
            <w:pPr>
              <w:spacing w:after="0" w:line="240" w:lineRule="auto"/>
              <w:jc w:val="center"/>
              <w:rPr>
                <w:rFonts w:ascii="Arial" w:eastAsia="Times New Roman" w:hAnsi="Arial" w:cs="Arial"/>
                <w:color w:val="000000"/>
                <w:szCs w:val="22"/>
              </w:rPr>
            </w:pPr>
            <w:r w:rsidRPr="00DA19B8">
              <w:rPr>
                <w:rFonts w:ascii="Arial" w:eastAsia="Times New Roman" w:hAnsi="Arial" w:cs="Arial"/>
                <w:color w:val="000000"/>
                <w:szCs w:val="22"/>
              </w:rPr>
              <w:t>X</w:t>
            </w:r>
          </w:p>
        </w:tc>
      </w:tr>
    </w:tbl>
    <w:p w14:paraId="09A77AED" w14:textId="77777777" w:rsidR="00AD74AA" w:rsidRPr="00DA19B8" w:rsidRDefault="00AD74AA" w:rsidP="003A56C4">
      <w:pPr>
        <w:spacing w:after="0"/>
        <w:rPr>
          <w:rFonts w:ascii="Arial" w:hAnsi="Arial" w:cs="Arial"/>
        </w:rPr>
      </w:pPr>
    </w:p>
    <w:p w14:paraId="1A3EB2D8" w14:textId="1FBB0463" w:rsidR="003A56C4" w:rsidRPr="00EC54B7" w:rsidRDefault="00AD74AA" w:rsidP="00EC54B7">
      <w:pPr>
        <w:spacing w:after="0"/>
        <w:rPr>
          <w:rFonts w:ascii="Arial" w:hAnsi="Arial" w:cs="Arial"/>
        </w:rPr>
        <w:sectPr w:rsidR="003A56C4" w:rsidRPr="00EC54B7" w:rsidSect="00CD3475">
          <w:type w:val="continuous"/>
          <w:pgSz w:w="12240" w:h="15840"/>
          <w:pgMar w:top="1440" w:right="1440" w:bottom="1440" w:left="1440" w:header="720" w:footer="720" w:gutter="0"/>
          <w:cols w:space="720"/>
          <w:docGrid w:linePitch="360"/>
        </w:sectPr>
      </w:pPr>
      <w:r w:rsidRPr="00EC54B7">
        <w:rPr>
          <w:rFonts w:ascii="Arial" w:hAnsi="Arial" w:cs="Arial"/>
        </w:rPr>
        <w:t>In addition,</w:t>
      </w:r>
      <w:r w:rsidR="00EC54B7" w:rsidRPr="00EC54B7">
        <w:rPr>
          <w:rFonts w:ascii="Arial" w:hAnsi="Arial" w:cs="Arial"/>
        </w:rPr>
        <w:t xml:space="preserve"> these other interventions are included in the Goals model:</w:t>
      </w:r>
    </w:p>
    <w:p w14:paraId="6FC04679" w14:textId="77777777" w:rsidR="00AD74AA" w:rsidRDefault="00AD74AA" w:rsidP="00EC54B7">
      <w:pPr>
        <w:pStyle w:val="ListParagraph"/>
        <w:spacing w:after="0"/>
        <w:ind w:left="360"/>
        <w:rPr>
          <w:rFonts w:ascii="Arial" w:hAnsi="Arial" w:cs="Arial"/>
        </w:rPr>
      </w:pPr>
    </w:p>
    <w:p w14:paraId="725FC7B5" w14:textId="5426CE2C" w:rsidR="003A56C4" w:rsidRPr="00DA19B8" w:rsidRDefault="003A56C4" w:rsidP="0058354C">
      <w:pPr>
        <w:pStyle w:val="ListParagraph"/>
        <w:numPr>
          <w:ilvl w:val="0"/>
          <w:numId w:val="39"/>
        </w:numPr>
        <w:spacing w:after="0"/>
        <w:rPr>
          <w:rFonts w:ascii="Arial" w:hAnsi="Arial" w:cs="Arial"/>
        </w:rPr>
      </w:pPr>
      <w:r w:rsidRPr="00DA19B8">
        <w:rPr>
          <w:rFonts w:ascii="Arial" w:hAnsi="Arial" w:cs="Arial"/>
        </w:rPr>
        <w:t>Treatment, care, and support</w:t>
      </w:r>
    </w:p>
    <w:p w14:paraId="23270709" w14:textId="77777777" w:rsidR="003A56C4" w:rsidRPr="00DA19B8" w:rsidRDefault="003A56C4" w:rsidP="0058354C">
      <w:pPr>
        <w:pStyle w:val="ListParagraph"/>
        <w:numPr>
          <w:ilvl w:val="0"/>
          <w:numId w:val="39"/>
        </w:numPr>
        <w:spacing w:after="0"/>
        <w:rPr>
          <w:rFonts w:ascii="Arial" w:hAnsi="Arial" w:cs="Arial"/>
        </w:rPr>
      </w:pPr>
      <w:r w:rsidRPr="00DA19B8">
        <w:rPr>
          <w:rFonts w:ascii="Arial" w:hAnsi="Arial" w:cs="Arial"/>
        </w:rPr>
        <w:t>PMTCT</w:t>
      </w:r>
    </w:p>
    <w:p w14:paraId="1236DD68" w14:textId="77777777" w:rsidR="003A56C4" w:rsidRPr="00DA19B8" w:rsidRDefault="003A56C4" w:rsidP="0058354C">
      <w:pPr>
        <w:pStyle w:val="ListParagraph"/>
        <w:numPr>
          <w:ilvl w:val="0"/>
          <w:numId w:val="39"/>
        </w:numPr>
        <w:spacing w:after="0"/>
        <w:rPr>
          <w:rFonts w:ascii="Arial" w:hAnsi="Arial" w:cs="Arial"/>
        </w:rPr>
      </w:pPr>
      <w:r w:rsidRPr="00DA19B8">
        <w:rPr>
          <w:rFonts w:ascii="Arial" w:hAnsi="Arial" w:cs="Arial"/>
        </w:rPr>
        <w:t>HCT</w:t>
      </w:r>
    </w:p>
    <w:p w14:paraId="444B6BD2" w14:textId="77777777" w:rsidR="003A56C4" w:rsidRPr="00DA19B8" w:rsidRDefault="003A56C4" w:rsidP="0058354C">
      <w:pPr>
        <w:pStyle w:val="ListParagraph"/>
        <w:numPr>
          <w:ilvl w:val="0"/>
          <w:numId w:val="39"/>
        </w:numPr>
        <w:spacing w:after="0"/>
        <w:rPr>
          <w:rFonts w:ascii="Arial" w:hAnsi="Arial" w:cs="Arial"/>
        </w:rPr>
      </w:pPr>
      <w:r w:rsidRPr="00DA19B8">
        <w:rPr>
          <w:rFonts w:ascii="Arial" w:hAnsi="Arial" w:cs="Arial"/>
        </w:rPr>
        <w:t>Blood safety</w:t>
      </w:r>
    </w:p>
    <w:p w14:paraId="1C742884" w14:textId="77777777" w:rsidR="003A56C4" w:rsidRPr="00DA19B8" w:rsidRDefault="003A56C4" w:rsidP="0058354C">
      <w:pPr>
        <w:pStyle w:val="ListParagraph"/>
        <w:numPr>
          <w:ilvl w:val="0"/>
          <w:numId w:val="39"/>
        </w:numPr>
        <w:spacing w:after="0"/>
        <w:rPr>
          <w:rFonts w:ascii="Arial" w:hAnsi="Arial" w:cs="Arial"/>
        </w:rPr>
      </w:pPr>
      <w:r w:rsidRPr="00DA19B8">
        <w:rPr>
          <w:rFonts w:ascii="Arial" w:hAnsi="Arial" w:cs="Arial"/>
        </w:rPr>
        <w:t>Universal precautions</w:t>
      </w:r>
    </w:p>
    <w:p w14:paraId="2F42FF89" w14:textId="77777777" w:rsidR="003A56C4" w:rsidRDefault="003A56C4" w:rsidP="0058354C">
      <w:pPr>
        <w:pStyle w:val="ListParagraph"/>
        <w:numPr>
          <w:ilvl w:val="0"/>
          <w:numId w:val="39"/>
        </w:numPr>
        <w:spacing w:after="0"/>
        <w:rPr>
          <w:rFonts w:ascii="Arial" w:hAnsi="Arial" w:cs="Arial"/>
        </w:rPr>
      </w:pPr>
      <w:r w:rsidRPr="00DA19B8">
        <w:rPr>
          <w:rFonts w:ascii="Arial" w:hAnsi="Arial" w:cs="Arial"/>
        </w:rPr>
        <w:t>Post-exposure prophylaxis</w:t>
      </w:r>
    </w:p>
    <w:p w14:paraId="3851EB5C" w14:textId="77777777" w:rsidR="003A56C4" w:rsidRDefault="003A56C4" w:rsidP="003A56C4">
      <w:pPr>
        <w:pStyle w:val="ListParagraph"/>
        <w:spacing w:after="0"/>
        <w:ind w:left="360"/>
        <w:rPr>
          <w:rFonts w:ascii="Arial" w:hAnsi="Arial" w:cs="Arial"/>
        </w:rPr>
        <w:sectPr w:rsidR="003A56C4" w:rsidSect="00EC54B7">
          <w:type w:val="continuous"/>
          <w:pgSz w:w="12240" w:h="15840"/>
          <w:pgMar w:top="1440" w:right="1440" w:bottom="1440" w:left="1440" w:header="720" w:footer="720" w:gutter="0"/>
          <w:cols w:space="720"/>
          <w:docGrid w:linePitch="360"/>
        </w:sectPr>
      </w:pPr>
    </w:p>
    <w:p w14:paraId="39BEF1ED" w14:textId="77777777" w:rsidR="003A56C4" w:rsidRPr="00DA19B8" w:rsidRDefault="003A56C4" w:rsidP="003A56C4">
      <w:pPr>
        <w:pStyle w:val="ListParagraph"/>
        <w:spacing w:after="0"/>
        <w:ind w:left="360"/>
        <w:rPr>
          <w:rFonts w:ascii="Arial" w:hAnsi="Arial" w:cs="Arial"/>
        </w:rPr>
      </w:pPr>
    </w:p>
    <w:p w14:paraId="272A1C5C" w14:textId="10659D37" w:rsidR="00AD74AA" w:rsidRDefault="00AD74AA" w:rsidP="00AD74AA">
      <w:pPr>
        <w:rPr>
          <w:rFonts w:ascii="Arial" w:hAnsi="Arial" w:cs="Arial"/>
        </w:rPr>
      </w:pPr>
      <w:r>
        <w:rPr>
          <w:rFonts w:ascii="Arial" w:hAnsi="Arial" w:cs="Arial"/>
        </w:rPr>
        <w:t xml:space="preserve">Coverage levels for these interventions are shown in </w:t>
      </w:r>
      <w:r w:rsidR="00C05153" w:rsidRPr="00C05153">
        <w:rPr>
          <w:rFonts w:ascii="Arial" w:hAnsi="Arial" w:cs="Arial"/>
          <w:i/>
        </w:rPr>
        <w:t>Figure</w:t>
      </w:r>
      <w:r w:rsidRPr="00C05153">
        <w:rPr>
          <w:rFonts w:ascii="Arial" w:hAnsi="Arial" w:cs="Arial"/>
          <w:i/>
        </w:rPr>
        <w:t xml:space="preserve"> </w:t>
      </w:r>
      <w:r w:rsidR="00C05153" w:rsidRPr="00C05153">
        <w:rPr>
          <w:rFonts w:ascii="Arial" w:hAnsi="Arial" w:cs="Arial"/>
          <w:i/>
        </w:rPr>
        <w:t>4A-3</w:t>
      </w:r>
      <w:r>
        <w:rPr>
          <w:rFonts w:ascii="Arial" w:hAnsi="Arial" w:cs="Arial"/>
        </w:rPr>
        <w:t xml:space="preserve"> below compared to IC 1.0 levels.</w:t>
      </w:r>
    </w:p>
    <w:p w14:paraId="254CF98F" w14:textId="17DB32DA" w:rsidR="00C05153" w:rsidRPr="00C05153" w:rsidRDefault="00C05153" w:rsidP="00AD74AA">
      <w:pPr>
        <w:rPr>
          <w:rFonts w:ascii="Arial" w:hAnsi="Arial" w:cs="Arial"/>
          <w:i/>
          <w:sz w:val="18"/>
        </w:rPr>
      </w:pPr>
      <w:r w:rsidRPr="00C05153">
        <w:rPr>
          <w:rFonts w:ascii="Arial" w:hAnsi="Arial" w:cs="Arial"/>
          <w:i/>
          <w:sz w:val="18"/>
        </w:rPr>
        <w:t>Figure 4A-3. Baseline coverage levels for IC 2.0 compared to baseline for IC 1.0</w:t>
      </w:r>
    </w:p>
    <w:tbl>
      <w:tblPr>
        <w:tblW w:w="9236" w:type="dxa"/>
        <w:tblCellMar>
          <w:left w:w="0" w:type="dxa"/>
          <w:right w:w="0" w:type="dxa"/>
        </w:tblCellMar>
        <w:tblLook w:val="0600" w:firstRow="0" w:lastRow="0" w:firstColumn="0" w:lastColumn="0" w:noHBand="1" w:noVBand="1"/>
      </w:tblPr>
      <w:tblGrid>
        <w:gridCol w:w="4108"/>
        <w:gridCol w:w="1464"/>
        <w:gridCol w:w="1876"/>
        <w:gridCol w:w="1788"/>
      </w:tblGrid>
      <w:tr w:rsidR="00AD74AA" w:rsidRPr="001B3156" w14:paraId="00ACB95B" w14:textId="77777777" w:rsidTr="00074CE0">
        <w:trPr>
          <w:trHeight w:val="547"/>
        </w:trPr>
        <w:tc>
          <w:tcPr>
            <w:tcW w:w="4108" w:type="dxa"/>
            <w:tcBorders>
              <w:top w:val="single" w:sz="6" w:space="0" w:color="000000"/>
              <w:left w:val="single" w:sz="6" w:space="0" w:color="000000"/>
              <w:bottom w:val="single" w:sz="6" w:space="0" w:color="000000"/>
              <w:right w:val="single" w:sz="6" w:space="0" w:color="000000"/>
            </w:tcBorders>
            <w:shd w:val="clear" w:color="auto" w:fill="000000"/>
            <w:tcMar>
              <w:top w:w="5" w:type="dxa"/>
              <w:left w:w="5" w:type="dxa"/>
              <w:bottom w:w="0" w:type="dxa"/>
              <w:right w:w="5" w:type="dxa"/>
            </w:tcMar>
            <w:vAlign w:val="center"/>
            <w:hideMark/>
          </w:tcPr>
          <w:p w14:paraId="158EB962" w14:textId="77777777" w:rsidR="00AD74AA" w:rsidRPr="001B3156" w:rsidRDefault="00AD74AA" w:rsidP="00074CE0">
            <w:pPr>
              <w:spacing w:after="0"/>
              <w:rPr>
                <w:rFonts w:ascii="Arial" w:hAnsi="Arial" w:cs="Arial"/>
                <w:sz w:val="18"/>
              </w:rPr>
            </w:pPr>
            <w:r w:rsidRPr="001B3156">
              <w:rPr>
                <w:rFonts w:ascii="Arial" w:hAnsi="Arial" w:cs="Arial"/>
                <w:b/>
                <w:bCs/>
                <w:sz w:val="18"/>
              </w:rPr>
              <w:t>Intervention</w:t>
            </w:r>
          </w:p>
        </w:tc>
        <w:tc>
          <w:tcPr>
            <w:tcW w:w="1464" w:type="dxa"/>
            <w:tcBorders>
              <w:top w:val="single" w:sz="6" w:space="0" w:color="000000"/>
              <w:left w:val="single" w:sz="6" w:space="0" w:color="000000"/>
              <w:bottom w:val="single" w:sz="6" w:space="0" w:color="000000"/>
              <w:right w:val="single" w:sz="6" w:space="0" w:color="000000"/>
            </w:tcBorders>
            <w:shd w:val="clear" w:color="auto" w:fill="000000"/>
            <w:vAlign w:val="center"/>
          </w:tcPr>
          <w:p w14:paraId="1F6AB4C7" w14:textId="77777777" w:rsidR="00AD74AA" w:rsidRDefault="00AD74AA" w:rsidP="00074CE0">
            <w:pPr>
              <w:spacing w:after="0"/>
              <w:rPr>
                <w:rFonts w:ascii="Arial" w:hAnsi="Arial" w:cs="Arial"/>
                <w:b/>
                <w:bCs/>
                <w:sz w:val="18"/>
              </w:rPr>
            </w:pPr>
            <w:r>
              <w:rPr>
                <w:rFonts w:ascii="Arial" w:hAnsi="Arial" w:cs="Arial"/>
                <w:b/>
                <w:bCs/>
                <w:sz w:val="18"/>
              </w:rPr>
              <w:t xml:space="preserve">Coverage IC 1.0 </w:t>
            </w:r>
          </w:p>
          <w:p w14:paraId="5BA5F767" w14:textId="77777777" w:rsidR="00AD74AA" w:rsidRDefault="00AD74AA" w:rsidP="00074CE0">
            <w:pPr>
              <w:spacing w:after="0"/>
              <w:rPr>
                <w:rFonts w:ascii="Arial" w:hAnsi="Arial" w:cs="Arial"/>
                <w:b/>
                <w:bCs/>
                <w:sz w:val="18"/>
              </w:rPr>
            </w:pPr>
            <w:r>
              <w:rPr>
                <w:rFonts w:ascii="Arial" w:hAnsi="Arial" w:cs="Arial"/>
                <w:b/>
                <w:bCs/>
                <w:sz w:val="18"/>
              </w:rPr>
              <w:t>(2016)</w:t>
            </w:r>
          </w:p>
        </w:tc>
        <w:tc>
          <w:tcPr>
            <w:tcW w:w="1876" w:type="dxa"/>
            <w:tcBorders>
              <w:top w:val="single" w:sz="6" w:space="0" w:color="000000"/>
              <w:left w:val="single" w:sz="6" w:space="0" w:color="000000"/>
              <w:bottom w:val="single" w:sz="6" w:space="0" w:color="000000"/>
              <w:right w:val="single" w:sz="6" w:space="0" w:color="000000"/>
            </w:tcBorders>
            <w:shd w:val="clear" w:color="auto" w:fill="000000"/>
            <w:tcMar>
              <w:top w:w="5" w:type="dxa"/>
              <w:left w:w="5" w:type="dxa"/>
              <w:bottom w:w="0" w:type="dxa"/>
              <w:right w:w="5" w:type="dxa"/>
            </w:tcMar>
            <w:vAlign w:val="center"/>
            <w:hideMark/>
          </w:tcPr>
          <w:p w14:paraId="091124B4" w14:textId="77777777" w:rsidR="00AD74AA" w:rsidRPr="001B3156" w:rsidRDefault="00AD74AA" w:rsidP="00074CE0">
            <w:pPr>
              <w:spacing w:after="0"/>
              <w:rPr>
                <w:rFonts w:ascii="Arial" w:hAnsi="Arial" w:cs="Arial"/>
                <w:sz w:val="18"/>
              </w:rPr>
            </w:pPr>
            <w:r>
              <w:rPr>
                <w:rFonts w:ascii="Arial" w:hAnsi="Arial" w:cs="Arial"/>
                <w:b/>
                <w:bCs/>
                <w:sz w:val="18"/>
              </w:rPr>
              <w:t>Current coverage</w:t>
            </w:r>
            <w:r w:rsidRPr="001B3156">
              <w:rPr>
                <w:rFonts w:ascii="Arial" w:hAnsi="Arial" w:cs="Arial"/>
                <w:b/>
                <w:bCs/>
                <w:sz w:val="18"/>
              </w:rPr>
              <w:t xml:space="preserve"> </w:t>
            </w:r>
            <w:r>
              <w:rPr>
                <w:rFonts w:ascii="Arial" w:hAnsi="Arial" w:cs="Arial"/>
                <w:b/>
                <w:bCs/>
                <w:sz w:val="18"/>
              </w:rPr>
              <w:t>(2018)</w:t>
            </w:r>
          </w:p>
        </w:tc>
        <w:tc>
          <w:tcPr>
            <w:tcW w:w="1788" w:type="dxa"/>
            <w:tcBorders>
              <w:top w:val="single" w:sz="6" w:space="0" w:color="000000"/>
              <w:left w:val="single" w:sz="6" w:space="0" w:color="000000"/>
              <w:bottom w:val="single" w:sz="6" w:space="0" w:color="000000"/>
              <w:right w:val="single" w:sz="6" w:space="0" w:color="000000"/>
            </w:tcBorders>
            <w:shd w:val="clear" w:color="auto" w:fill="000000"/>
            <w:tcMar>
              <w:top w:w="5" w:type="dxa"/>
              <w:left w:w="5" w:type="dxa"/>
              <w:bottom w:w="0" w:type="dxa"/>
              <w:right w:w="5" w:type="dxa"/>
            </w:tcMar>
            <w:vAlign w:val="center"/>
            <w:hideMark/>
          </w:tcPr>
          <w:p w14:paraId="71B9D1A6" w14:textId="77777777" w:rsidR="00AD74AA" w:rsidRPr="001B3156" w:rsidRDefault="00AD74AA" w:rsidP="00074CE0">
            <w:pPr>
              <w:spacing w:after="0"/>
              <w:rPr>
                <w:rFonts w:ascii="Arial" w:hAnsi="Arial" w:cs="Arial"/>
                <w:sz w:val="18"/>
              </w:rPr>
            </w:pPr>
            <w:r>
              <w:rPr>
                <w:rFonts w:ascii="Arial" w:hAnsi="Arial" w:cs="Arial"/>
                <w:b/>
                <w:bCs/>
                <w:sz w:val="18"/>
              </w:rPr>
              <w:t>Sources</w:t>
            </w:r>
          </w:p>
        </w:tc>
      </w:tr>
      <w:tr w:rsidR="00AD74AA" w:rsidRPr="001B3156" w14:paraId="6F415D19" w14:textId="77777777" w:rsidTr="00074CE0">
        <w:trPr>
          <w:trHeight w:val="275"/>
        </w:trPr>
        <w:tc>
          <w:tcPr>
            <w:tcW w:w="9236" w:type="dxa"/>
            <w:gridSpan w:val="4"/>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5" w:type="dxa"/>
              <w:left w:w="5" w:type="dxa"/>
              <w:bottom w:w="0" w:type="dxa"/>
              <w:right w:w="5" w:type="dxa"/>
            </w:tcMar>
            <w:vAlign w:val="center"/>
          </w:tcPr>
          <w:p w14:paraId="7D4F88D5" w14:textId="77777777" w:rsidR="00AD74AA" w:rsidRPr="00505F88" w:rsidRDefault="00AD74AA" w:rsidP="00074CE0">
            <w:pPr>
              <w:spacing w:after="0"/>
              <w:rPr>
                <w:rFonts w:ascii="Arial" w:hAnsi="Arial" w:cs="Arial"/>
                <w:b/>
                <w:sz w:val="18"/>
              </w:rPr>
            </w:pPr>
            <w:r w:rsidRPr="00505F88">
              <w:rPr>
                <w:rFonts w:ascii="Arial" w:hAnsi="Arial" w:cs="Arial"/>
                <w:b/>
                <w:sz w:val="18"/>
              </w:rPr>
              <w:t>HIV testing and counseling</w:t>
            </w:r>
          </w:p>
        </w:tc>
      </w:tr>
      <w:tr w:rsidR="00AD74AA" w:rsidRPr="001B3156" w14:paraId="6546D217"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hideMark/>
          </w:tcPr>
          <w:p w14:paraId="399D67EB" w14:textId="77777777" w:rsidR="00AD74AA" w:rsidRPr="00142CB4" w:rsidRDefault="00AD74AA" w:rsidP="00074CE0">
            <w:pPr>
              <w:spacing w:after="0"/>
              <w:rPr>
                <w:rFonts w:ascii="Arial" w:hAnsi="Arial" w:cs="Arial"/>
                <w:sz w:val="18"/>
              </w:rPr>
            </w:pPr>
            <w:r w:rsidRPr="00142CB4">
              <w:rPr>
                <w:rFonts w:ascii="Arial" w:hAnsi="Arial" w:cs="Arial"/>
                <w:bCs/>
                <w:sz w:val="18"/>
              </w:rPr>
              <w:t>% of PLHIV who know their status</w:t>
            </w:r>
            <w:r>
              <w:rPr>
                <w:rFonts w:ascii="Arial" w:hAnsi="Arial" w:cs="Arial"/>
                <w:bCs/>
                <w:sz w:val="18"/>
              </w:rPr>
              <w:t xml:space="preserve"> (Men)</w:t>
            </w:r>
          </w:p>
        </w:tc>
        <w:tc>
          <w:tcPr>
            <w:tcW w:w="1464" w:type="dxa"/>
            <w:tcBorders>
              <w:top w:val="single" w:sz="6" w:space="0" w:color="000000"/>
              <w:left w:val="single" w:sz="6" w:space="0" w:color="000000"/>
              <w:bottom w:val="single" w:sz="6" w:space="0" w:color="000000"/>
              <w:right w:val="single" w:sz="6" w:space="0" w:color="000000"/>
            </w:tcBorders>
          </w:tcPr>
          <w:p w14:paraId="66A86222" w14:textId="77777777" w:rsidR="00AD74AA" w:rsidRPr="001B3156" w:rsidRDefault="00AD74AA" w:rsidP="00074CE0">
            <w:pPr>
              <w:spacing w:after="0"/>
              <w:rPr>
                <w:rFonts w:ascii="Arial" w:hAnsi="Arial" w:cs="Arial"/>
                <w:sz w:val="18"/>
              </w:rPr>
            </w:pPr>
            <w:r>
              <w:rPr>
                <w:rFonts w:ascii="Arial" w:hAnsi="Arial" w:cs="Arial"/>
                <w:sz w:val="18"/>
              </w:rPr>
              <w:t>47%</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hideMark/>
          </w:tcPr>
          <w:p w14:paraId="64C9A24B" w14:textId="77777777" w:rsidR="00AD74AA" w:rsidRPr="001B3156" w:rsidRDefault="00AD74AA" w:rsidP="00074CE0">
            <w:pPr>
              <w:spacing w:after="0"/>
              <w:rPr>
                <w:rFonts w:ascii="Arial" w:hAnsi="Arial" w:cs="Arial"/>
                <w:sz w:val="18"/>
              </w:rPr>
            </w:pPr>
            <w:r>
              <w:rPr>
                <w:rFonts w:ascii="Arial" w:hAnsi="Arial" w:cs="Arial"/>
                <w:sz w:val="18"/>
              </w:rPr>
              <w:t>52</w:t>
            </w:r>
            <w:r w:rsidRPr="001B3156">
              <w:rPr>
                <w:rFonts w:ascii="Arial" w:hAnsi="Arial" w:cs="Arial"/>
                <w:sz w:val="18"/>
              </w:rPr>
              <w:t>%</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hideMark/>
          </w:tcPr>
          <w:p w14:paraId="2663FF53" w14:textId="77777777" w:rsidR="00AD74AA" w:rsidRPr="001B3156" w:rsidRDefault="00AD74AA" w:rsidP="00074CE0">
            <w:pPr>
              <w:spacing w:after="0"/>
              <w:rPr>
                <w:rFonts w:ascii="Arial" w:hAnsi="Arial" w:cs="Arial"/>
                <w:sz w:val="18"/>
              </w:rPr>
            </w:pPr>
            <w:r>
              <w:rPr>
                <w:rFonts w:ascii="Arial" w:hAnsi="Arial" w:cs="Arial"/>
                <w:sz w:val="18"/>
              </w:rPr>
              <w:t>IC 1.0; THIS 2016-2017</w:t>
            </w:r>
          </w:p>
        </w:tc>
      </w:tr>
      <w:tr w:rsidR="00AD74AA" w:rsidRPr="001B3156" w14:paraId="414C10BE"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68F6AC5F" w14:textId="77777777" w:rsidR="00AD74AA" w:rsidRPr="00142CB4" w:rsidRDefault="00AD74AA" w:rsidP="00074CE0">
            <w:pPr>
              <w:spacing w:after="0"/>
              <w:rPr>
                <w:rFonts w:ascii="Arial" w:hAnsi="Arial" w:cs="Arial"/>
                <w:bCs/>
                <w:sz w:val="18"/>
              </w:rPr>
            </w:pPr>
            <w:r>
              <w:rPr>
                <w:rFonts w:ascii="Arial" w:hAnsi="Arial" w:cs="Arial"/>
                <w:bCs/>
                <w:sz w:val="18"/>
              </w:rPr>
              <w:t>% of PLHIV who know their status (Women)</w:t>
            </w:r>
          </w:p>
        </w:tc>
        <w:tc>
          <w:tcPr>
            <w:tcW w:w="1464" w:type="dxa"/>
            <w:tcBorders>
              <w:top w:val="single" w:sz="6" w:space="0" w:color="000000"/>
              <w:left w:val="single" w:sz="6" w:space="0" w:color="000000"/>
              <w:bottom w:val="single" w:sz="6" w:space="0" w:color="000000"/>
              <w:right w:val="single" w:sz="6" w:space="0" w:color="000000"/>
            </w:tcBorders>
          </w:tcPr>
          <w:p w14:paraId="5A3FA78E" w14:textId="77777777" w:rsidR="00AD74AA" w:rsidRPr="001B3156" w:rsidRDefault="00AD74AA" w:rsidP="00074CE0">
            <w:pPr>
              <w:spacing w:after="0"/>
              <w:rPr>
                <w:rFonts w:ascii="Arial" w:hAnsi="Arial" w:cs="Arial"/>
                <w:sz w:val="18"/>
              </w:rPr>
            </w:pPr>
            <w:r>
              <w:rPr>
                <w:rFonts w:ascii="Arial" w:hAnsi="Arial" w:cs="Arial"/>
                <w:sz w:val="18"/>
              </w:rPr>
              <w:t>62%</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70BD3C4" w14:textId="77777777" w:rsidR="00AD74AA" w:rsidRPr="001B3156" w:rsidRDefault="00AD74AA" w:rsidP="00074CE0">
            <w:pPr>
              <w:spacing w:after="0"/>
              <w:rPr>
                <w:rFonts w:ascii="Arial" w:hAnsi="Arial" w:cs="Arial"/>
                <w:sz w:val="18"/>
              </w:rPr>
            </w:pPr>
            <w:r>
              <w:rPr>
                <w:rFonts w:ascii="Arial" w:hAnsi="Arial" w:cs="Arial"/>
                <w:sz w:val="18"/>
              </w:rPr>
              <w:t>65%</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BC7F698" w14:textId="77777777" w:rsidR="00AD74AA" w:rsidRPr="001B3156" w:rsidRDefault="00AD74AA" w:rsidP="00074CE0">
            <w:pPr>
              <w:spacing w:after="0"/>
              <w:rPr>
                <w:rFonts w:ascii="Arial" w:hAnsi="Arial" w:cs="Arial"/>
                <w:sz w:val="18"/>
              </w:rPr>
            </w:pPr>
            <w:r>
              <w:rPr>
                <w:rFonts w:ascii="Arial" w:hAnsi="Arial" w:cs="Arial"/>
                <w:sz w:val="18"/>
              </w:rPr>
              <w:t>IC 1.0; THIS 2016-2017</w:t>
            </w:r>
          </w:p>
        </w:tc>
      </w:tr>
      <w:tr w:rsidR="00AD74AA" w:rsidRPr="001B3156" w14:paraId="75EB60B7" w14:textId="77777777" w:rsidTr="00074CE0">
        <w:trPr>
          <w:trHeight w:val="259"/>
        </w:trPr>
        <w:tc>
          <w:tcPr>
            <w:tcW w:w="9236" w:type="dxa"/>
            <w:gridSpan w:val="4"/>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5" w:type="dxa"/>
              <w:left w:w="5" w:type="dxa"/>
              <w:bottom w:w="0" w:type="dxa"/>
              <w:right w:w="5" w:type="dxa"/>
            </w:tcMar>
            <w:vAlign w:val="center"/>
          </w:tcPr>
          <w:p w14:paraId="1E2B15AD" w14:textId="77777777" w:rsidR="00AD74AA" w:rsidRPr="00505F88" w:rsidRDefault="00AD74AA" w:rsidP="00074CE0">
            <w:pPr>
              <w:spacing w:after="0"/>
              <w:rPr>
                <w:rFonts w:ascii="Arial" w:hAnsi="Arial" w:cs="Arial"/>
                <w:b/>
                <w:sz w:val="18"/>
              </w:rPr>
            </w:pPr>
            <w:r w:rsidRPr="00505F88">
              <w:rPr>
                <w:rFonts w:ascii="Arial" w:hAnsi="Arial" w:cs="Arial"/>
                <w:b/>
                <w:sz w:val="18"/>
              </w:rPr>
              <w:t>Prevention</w:t>
            </w:r>
          </w:p>
        </w:tc>
      </w:tr>
      <w:tr w:rsidR="00AD74AA" w:rsidRPr="001B3156" w14:paraId="483634D9" w14:textId="77777777" w:rsidTr="00074CE0">
        <w:trPr>
          <w:trHeight w:val="547"/>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61EA48A3" w14:textId="77777777" w:rsidR="00AD74AA" w:rsidRPr="00142CB4" w:rsidRDefault="00AD74AA" w:rsidP="00074CE0">
            <w:pPr>
              <w:spacing w:after="0"/>
              <w:rPr>
                <w:rFonts w:ascii="Arial" w:hAnsi="Arial" w:cs="Arial"/>
                <w:bCs/>
                <w:sz w:val="18"/>
              </w:rPr>
            </w:pPr>
            <w:r w:rsidRPr="00142CB4">
              <w:rPr>
                <w:rFonts w:ascii="Arial" w:hAnsi="Arial" w:cs="Arial"/>
                <w:bCs/>
                <w:sz w:val="18"/>
              </w:rPr>
              <w:t>Condom promotion (% of adults who reported condom during last sex)</w:t>
            </w:r>
          </w:p>
        </w:tc>
        <w:tc>
          <w:tcPr>
            <w:tcW w:w="1464" w:type="dxa"/>
            <w:tcBorders>
              <w:top w:val="single" w:sz="6" w:space="0" w:color="000000"/>
              <w:left w:val="single" w:sz="6" w:space="0" w:color="000000"/>
              <w:bottom w:val="single" w:sz="6" w:space="0" w:color="000000"/>
              <w:right w:val="single" w:sz="6" w:space="0" w:color="000000"/>
            </w:tcBorders>
          </w:tcPr>
          <w:p w14:paraId="73F16E4D" w14:textId="77777777" w:rsidR="00AD74AA" w:rsidRPr="001B3156" w:rsidRDefault="00AD74AA" w:rsidP="00074CE0">
            <w:pPr>
              <w:spacing w:after="0"/>
              <w:rPr>
                <w:rFonts w:ascii="Arial" w:hAnsi="Arial" w:cs="Arial"/>
                <w:sz w:val="18"/>
              </w:rPr>
            </w:pPr>
            <w:r>
              <w:rPr>
                <w:rFonts w:ascii="Arial" w:hAnsi="Arial" w:cs="Arial"/>
                <w:sz w:val="18"/>
              </w:rPr>
              <w:t>44%</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10217F0E" w14:textId="77777777" w:rsidR="00AD74AA" w:rsidRPr="001B3156" w:rsidRDefault="00AD74AA" w:rsidP="00074CE0">
            <w:pPr>
              <w:spacing w:after="0"/>
              <w:rPr>
                <w:rFonts w:ascii="Arial" w:hAnsi="Arial" w:cs="Arial"/>
                <w:sz w:val="18"/>
              </w:rPr>
            </w:pPr>
            <w:r w:rsidRPr="001B3156">
              <w:rPr>
                <w:rFonts w:ascii="Arial" w:hAnsi="Arial" w:cs="Arial"/>
                <w:sz w:val="18"/>
              </w:rPr>
              <w:t>M- 35%/ F -27.78%</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013F1F5" w14:textId="77777777" w:rsidR="00AD74AA" w:rsidRPr="001B3156" w:rsidRDefault="00AD74AA" w:rsidP="00074CE0">
            <w:pPr>
              <w:spacing w:after="0"/>
              <w:rPr>
                <w:rFonts w:ascii="Arial" w:hAnsi="Arial" w:cs="Arial"/>
                <w:sz w:val="18"/>
              </w:rPr>
            </w:pPr>
            <w:r>
              <w:rPr>
                <w:rFonts w:ascii="Arial" w:hAnsi="Arial" w:cs="Arial"/>
                <w:sz w:val="18"/>
              </w:rPr>
              <w:t xml:space="preserve">IC 1.0; </w:t>
            </w:r>
            <w:r w:rsidRPr="001B3156">
              <w:rPr>
                <w:rFonts w:ascii="Arial" w:hAnsi="Arial" w:cs="Arial"/>
                <w:sz w:val="18"/>
              </w:rPr>
              <w:t>THIS</w:t>
            </w:r>
            <w:r>
              <w:rPr>
                <w:rFonts w:ascii="Arial" w:hAnsi="Arial" w:cs="Arial"/>
                <w:sz w:val="18"/>
              </w:rPr>
              <w:t xml:space="preserve"> 2016-207</w:t>
            </w:r>
          </w:p>
        </w:tc>
      </w:tr>
      <w:tr w:rsidR="00AD74AA" w:rsidRPr="001B3156" w14:paraId="761420FC" w14:textId="77777777" w:rsidTr="00074CE0">
        <w:trPr>
          <w:trHeight w:val="547"/>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62963196" w14:textId="77777777" w:rsidR="00AD74AA" w:rsidRPr="00142CB4" w:rsidRDefault="00AD74AA" w:rsidP="00074CE0">
            <w:pPr>
              <w:spacing w:after="0"/>
              <w:rPr>
                <w:rFonts w:ascii="Arial" w:hAnsi="Arial" w:cs="Arial"/>
                <w:sz w:val="18"/>
              </w:rPr>
            </w:pPr>
            <w:r w:rsidRPr="00142CB4">
              <w:rPr>
                <w:rFonts w:ascii="Arial" w:hAnsi="Arial" w:cs="Arial"/>
                <w:bCs/>
                <w:sz w:val="18"/>
              </w:rPr>
              <w:t>Condom promotion (% of youth who reported condom during last sex)</w:t>
            </w:r>
          </w:p>
        </w:tc>
        <w:tc>
          <w:tcPr>
            <w:tcW w:w="1464" w:type="dxa"/>
            <w:tcBorders>
              <w:top w:val="single" w:sz="6" w:space="0" w:color="000000"/>
              <w:left w:val="single" w:sz="6" w:space="0" w:color="000000"/>
              <w:bottom w:val="single" w:sz="6" w:space="0" w:color="000000"/>
              <w:right w:val="single" w:sz="6" w:space="0" w:color="000000"/>
            </w:tcBorders>
          </w:tcPr>
          <w:p w14:paraId="36F92FA5" w14:textId="77777777" w:rsidR="00AD74AA" w:rsidRPr="001B3156" w:rsidRDefault="00AD74AA" w:rsidP="00074CE0">
            <w:pPr>
              <w:spacing w:after="0"/>
              <w:rPr>
                <w:rFonts w:ascii="Arial" w:hAnsi="Arial" w:cs="Arial"/>
                <w:sz w:val="18"/>
              </w:rPr>
            </w:pPr>
            <w:r>
              <w:rPr>
                <w:rFonts w:ascii="Arial" w:hAnsi="Arial" w:cs="Arial"/>
                <w:sz w:val="18"/>
              </w:rPr>
              <w:t>NA</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10A592DA" w14:textId="77777777" w:rsidR="00AD74AA" w:rsidRPr="001B3156" w:rsidRDefault="00AD74AA" w:rsidP="00074CE0">
            <w:pPr>
              <w:spacing w:after="0"/>
              <w:rPr>
                <w:rFonts w:ascii="Arial" w:hAnsi="Arial" w:cs="Arial"/>
                <w:sz w:val="18"/>
              </w:rPr>
            </w:pPr>
            <w:r w:rsidRPr="001B3156">
              <w:rPr>
                <w:rFonts w:ascii="Arial" w:hAnsi="Arial" w:cs="Arial"/>
                <w:sz w:val="18"/>
              </w:rPr>
              <w:t>F-37%/ 42%- M</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3AFF7ABB" w14:textId="77777777" w:rsidR="00AD74AA" w:rsidRPr="001B3156" w:rsidRDefault="00AD74AA" w:rsidP="00074CE0">
            <w:pPr>
              <w:spacing w:after="0"/>
              <w:rPr>
                <w:rFonts w:ascii="Arial" w:hAnsi="Arial" w:cs="Arial"/>
                <w:sz w:val="18"/>
              </w:rPr>
            </w:pPr>
            <w:r>
              <w:rPr>
                <w:rFonts w:ascii="Arial" w:hAnsi="Arial" w:cs="Arial"/>
                <w:sz w:val="18"/>
              </w:rPr>
              <w:t>IC 1.0; NMSF IV</w:t>
            </w:r>
          </w:p>
        </w:tc>
      </w:tr>
      <w:tr w:rsidR="00AD74AA" w:rsidRPr="001B3156" w14:paraId="3896D06F"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D426791" w14:textId="77777777" w:rsidR="00AD74AA" w:rsidRPr="00142CB4" w:rsidRDefault="00AD74AA" w:rsidP="00074CE0">
            <w:pPr>
              <w:spacing w:after="0"/>
              <w:rPr>
                <w:rFonts w:ascii="Arial" w:hAnsi="Arial" w:cs="Arial"/>
                <w:sz w:val="18"/>
              </w:rPr>
            </w:pPr>
            <w:r w:rsidRPr="00142CB4">
              <w:rPr>
                <w:rFonts w:ascii="Arial" w:hAnsi="Arial" w:cs="Arial"/>
                <w:bCs/>
                <w:sz w:val="18"/>
              </w:rPr>
              <w:t>VMMC</w:t>
            </w:r>
            <w:r>
              <w:rPr>
                <w:rFonts w:ascii="Arial" w:hAnsi="Arial" w:cs="Arial"/>
                <w:bCs/>
                <w:sz w:val="18"/>
              </w:rPr>
              <w:t xml:space="preserve"> (ages 15-29)</w:t>
            </w:r>
          </w:p>
        </w:tc>
        <w:tc>
          <w:tcPr>
            <w:tcW w:w="1464" w:type="dxa"/>
            <w:tcBorders>
              <w:top w:val="single" w:sz="6" w:space="0" w:color="000000"/>
              <w:left w:val="single" w:sz="6" w:space="0" w:color="000000"/>
              <w:bottom w:val="single" w:sz="6" w:space="0" w:color="000000"/>
              <w:right w:val="single" w:sz="6" w:space="0" w:color="000000"/>
            </w:tcBorders>
          </w:tcPr>
          <w:p w14:paraId="778C27F9" w14:textId="77777777" w:rsidR="00AD74AA" w:rsidRPr="001B3156" w:rsidRDefault="00AD74AA" w:rsidP="00074CE0">
            <w:pPr>
              <w:spacing w:after="0"/>
              <w:rPr>
                <w:rFonts w:ascii="Arial" w:hAnsi="Arial" w:cs="Arial"/>
                <w:sz w:val="18"/>
              </w:rPr>
            </w:pPr>
            <w:r>
              <w:rPr>
                <w:rFonts w:ascii="Arial" w:hAnsi="Arial" w:cs="Arial"/>
                <w:sz w:val="18"/>
              </w:rPr>
              <w:t>83%</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6E676DD" w14:textId="77777777" w:rsidR="00AD74AA" w:rsidRPr="001B3156" w:rsidRDefault="00AD74AA" w:rsidP="00074CE0">
            <w:pPr>
              <w:spacing w:after="0"/>
              <w:rPr>
                <w:rFonts w:ascii="Arial" w:hAnsi="Arial" w:cs="Arial"/>
                <w:sz w:val="18"/>
              </w:rPr>
            </w:pPr>
            <w:r w:rsidRPr="001B3156">
              <w:rPr>
                <w:rFonts w:ascii="Arial" w:hAnsi="Arial" w:cs="Arial"/>
                <w:sz w:val="18"/>
              </w:rPr>
              <w:t>81%</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626ADC6B" w14:textId="77777777" w:rsidR="00AD74AA" w:rsidRPr="001B3156" w:rsidRDefault="00AD74AA" w:rsidP="00074CE0">
            <w:pPr>
              <w:spacing w:after="0"/>
              <w:rPr>
                <w:rFonts w:ascii="Arial" w:hAnsi="Arial" w:cs="Arial"/>
                <w:sz w:val="18"/>
              </w:rPr>
            </w:pPr>
            <w:r>
              <w:rPr>
                <w:rFonts w:ascii="Arial" w:hAnsi="Arial" w:cs="Arial"/>
                <w:sz w:val="18"/>
              </w:rPr>
              <w:t>THIS 2016-2017</w:t>
            </w:r>
          </w:p>
        </w:tc>
      </w:tr>
      <w:tr w:rsidR="00AD74AA" w:rsidRPr="001B3156" w14:paraId="37AAFE7F" w14:textId="77777777" w:rsidTr="00074CE0">
        <w:trPr>
          <w:trHeight w:val="547"/>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0CC70AD1" w14:textId="77777777" w:rsidR="00AD74AA" w:rsidRPr="00142CB4" w:rsidRDefault="00AD74AA" w:rsidP="00074CE0">
            <w:pPr>
              <w:spacing w:after="0"/>
              <w:rPr>
                <w:rFonts w:ascii="Arial" w:hAnsi="Arial" w:cs="Arial"/>
                <w:sz w:val="18"/>
              </w:rPr>
            </w:pPr>
            <w:r w:rsidRPr="00142CB4">
              <w:rPr>
                <w:rFonts w:ascii="Arial" w:hAnsi="Arial" w:cs="Arial"/>
                <w:bCs/>
                <w:sz w:val="18"/>
              </w:rPr>
              <w:t>PMTCT (% of HIV- positive pregnant women who are on ART)</w:t>
            </w:r>
          </w:p>
        </w:tc>
        <w:tc>
          <w:tcPr>
            <w:tcW w:w="1464" w:type="dxa"/>
            <w:tcBorders>
              <w:top w:val="single" w:sz="6" w:space="0" w:color="000000"/>
              <w:left w:val="single" w:sz="6" w:space="0" w:color="000000"/>
              <w:bottom w:val="single" w:sz="6" w:space="0" w:color="000000"/>
              <w:right w:val="single" w:sz="6" w:space="0" w:color="000000"/>
            </w:tcBorders>
          </w:tcPr>
          <w:p w14:paraId="4AF6BB42" w14:textId="77777777" w:rsidR="00AD74AA" w:rsidRPr="001B3156" w:rsidRDefault="00AD74AA" w:rsidP="00074CE0">
            <w:pPr>
              <w:spacing w:after="0"/>
              <w:rPr>
                <w:rFonts w:ascii="Arial" w:hAnsi="Arial" w:cs="Arial"/>
                <w:sz w:val="18"/>
              </w:rPr>
            </w:pPr>
            <w:r>
              <w:rPr>
                <w:rFonts w:ascii="Arial" w:hAnsi="Arial" w:cs="Arial"/>
                <w:sz w:val="18"/>
              </w:rPr>
              <w:t>71%</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67AA9D1" w14:textId="77777777" w:rsidR="00AD74AA" w:rsidRPr="001B3156" w:rsidRDefault="00AD74AA" w:rsidP="00074CE0">
            <w:pPr>
              <w:spacing w:after="0"/>
              <w:rPr>
                <w:rFonts w:ascii="Arial" w:hAnsi="Arial" w:cs="Arial"/>
                <w:sz w:val="18"/>
              </w:rPr>
            </w:pPr>
            <w:r w:rsidRPr="001B3156">
              <w:rPr>
                <w:rFonts w:ascii="Arial" w:hAnsi="Arial" w:cs="Arial"/>
                <w:sz w:val="18"/>
              </w:rPr>
              <w:t>98%</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AD1A4C5" w14:textId="77777777" w:rsidR="00AD74AA" w:rsidRPr="001B3156" w:rsidRDefault="00AD74AA" w:rsidP="00074CE0">
            <w:pPr>
              <w:spacing w:after="0"/>
              <w:rPr>
                <w:rFonts w:ascii="Arial" w:hAnsi="Arial" w:cs="Arial"/>
                <w:sz w:val="18"/>
              </w:rPr>
            </w:pPr>
            <w:r w:rsidRPr="001B3156">
              <w:rPr>
                <w:rFonts w:ascii="Arial" w:hAnsi="Arial" w:cs="Arial"/>
                <w:sz w:val="18"/>
              </w:rPr>
              <w:t>THIS</w:t>
            </w:r>
            <w:r>
              <w:rPr>
                <w:rFonts w:ascii="Arial" w:hAnsi="Arial" w:cs="Arial"/>
                <w:sz w:val="18"/>
              </w:rPr>
              <w:t xml:space="preserve"> 2016-2017</w:t>
            </w:r>
          </w:p>
        </w:tc>
      </w:tr>
      <w:tr w:rsidR="00AD74AA" w:rsidRPr="001B3156" w14:paraId="252E5A71" w14:textId="77777777" w:rsidTr="00074CE0">
        <w:trPr>
          <w:trHeight w:val="547"/>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35F21B50" w14:textId="77777777" w:rsidR="00AD74AA" w:rsidRPr="00142CB4" w:rsidRDefault="00AD74AA" w:rsidP="00074CE0">
            <w:pPr>
              <w:spacing w:after="0"/>
              <w:rPr>
                <w:rFonts w:ascii="Arial" w:hAnsi="Arial" w:cs="Arial"/>
                <w:sz w:val="18"/>
              </w:rPr>
            </w:pPr>
            <w:r w:rsidRPr="00142CB4">
              <w:rPr>
                <w:rFonts w:ascii="Arial" w:hAnsi="Arial" w:cs="Arial"/>
                <w:bCs/>
                <w:sz w:val="18"/>
              </w:rPr>
              <w:t>Behavior change (including mass media, community mobilization, school-based education and outreach to out-of-school youth)</w:t>
            </w:r>
          </w:p>
        </w:tc>
        <w:tc>
          <w:tcPr>
            <w:tcW w:w="1464" w:type="dxa"/>
            <w:tcBorders>
              <w:top w:val="single" w:sz="6" w:space="0" w:color="000000"/>
              <w:left w:val="single" w:sz="6" w:space="0" w:color="000000"/>
              <w:bottom w:val="single" w:sz="6" w:space="0" w:color="000000"/>
              <w:right w:val="single" w:sz="6" w:space="0" w:color="000000"/>
            </w:tcBorders>
          </w:tcPr>
          <w:p w14:paraId="240EA95A" w14:textId="77777777" w:rsidR="00AD74AA" w:rsidRPr="001B3156" w:rsidRDefault="00AD74AA" w:rsidP="00074CE0">
            <w:pPr>
              <w:spacing w:after="0"/>
              <w:rPr>
                <w:rFonts w:ascii="Arial" w:hAnsi="Arial" w:cs="Arial"/>
                <w:sz w:val="18"/>
              </w:rPr>
            </w:pPr>
            <w:r>
              <w:rPr>
                <w:rFonts w:ascii="Arial" w:hAnsi="Arial" w:cs="Arial"/>
                <w:sz w:val="18"/>
              </w:rPr>
              <w:t>Low</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61839AA4" w14:textId="77777777" w:rsidR="00AD74AA" w:rsidRPr="001B3156" w:rsidRDefault="00AD74AA" w:rsidP="00074CE0">
            <w:pPr>
              <w:spacing w:after="0"/>
              <w:rPr>
                <w:rFonts w:ascii="Arial" w:hAnsi="Arial" w:cs="Arial"/>
                <w:sz w:val="18"/>
              </w:rPr>
            </w:pPr>
            <w:r w:rsidRPr="001B3156">
              <w:rPr>
                <w:rFonts w:ascii="Arial" w:hAnsi="Arial" w:cs="Arial"/>
                <w:sz w:val="18"/>
              </w:rPr>
              <w:t> </w:t>
            </w:r>
            <w:r>
              <w:rPr>
                <w:rFonts w:ascii="Arial" w:hAnsi="Arial" w:cs="Arial"/>
                <w:sz w:val="18"/>
              </w:rPr>
              <w:t>Low</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10D06138" w14:textId="77777777" w:rsidR="00AD74AA" w:rsidRPr="001B3156" w:rsidRDefault="00AD74AA" w:rsidP="00074CE0">
            <w:pPr>
              <w:spacing w:after="0"/>
              <w:rPr>
                <w:rFonts w:ascii="Arial" w:hAnsi="Arial" w:cs="Arial"/>
                <w:sz w:val="18"/>
              </w:rPr>
            </w:pPr>
            <w:r>
              <w:rPr>
                <w:rFonts w:ascii="Arial" w:hAnsi="Arial" w:cs="Arial"/>
                <w:sz w:val="18"/>
              </w:rPr>
              <w:t>IC 1.0</w:t>
            </w:r>
          </w:p>
        </w:tc>
      </w:tr>
      <w:tr w:rsidR="00AD74AA" w:rsidRPr="001B3156" w14:paraId="7E3F2D58"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E506442" w14:textId="77777777" w:rsidR="00AD74AA" w:rsidRPr="00142CB4" w:rsidRDefault="00AD74AA" w:rsidP="00074CE0">
            <w:pPr>
              <w:spacing w:after="0"/>
              <w:rPr>
                <w:rFonts w:ascii="Arial" w:hAnsi="Arial" w:cs="Arial"/>
                <w:sz w:val="18"/>
              </w:rPr>
            </w:pPr>
            <w:r>
              <w:rPr>
                <w:rFonts w:ascii="Arial" w:hAnsi="Arial" w:cs="Arial"/>
                <w:sz w:val="18"/>
              </w:rPr>
              <w:t>AGYW</w:t>
            </w:r>
          </w:p>
        </w:tc>
        <w:tc>
          <w:tcPr>
            <w:tcW w:w="1464" w:type="dxa"/>
            <w:tcBorders>
              <w:top w:val="single" w:sz="6" w:space="0" w:color="000000"/>
              <w:left w:val="single" w:sz="6" w:space="0" w:color="000000"/>
              <w:bottom w:val="single" w:sz="6" w:space="0" w:color="000000"/>
              <w:right w:val="single" w:sz="6" w:space="0" w:color="000000"/>
            </w:tcBorders>
          </w:tcPr>
          <w:p w14:paraId="6D23358E" w14:textId="77777777" w:rsidR="00AD74AA" w:rsidRPr="001B3156" w:rsidRDefault="00AD74AA" w:rsidP="00074CE0">
            <w:pPr>
              <w:spacing w:after="0"/>
              <w:rPr>
                <w:rFonts w:ascii="Arial" w:hAnsi="Arial" w:cs="Arial"/>
                <w:sz w:val="18"/>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ACA72E8" w14:textId="77777777" w:rsidR="00AD74AA" w:rsidRPr="001B3156" w:rsidRDefault="00AD74AA" w:rsidP="00074CE0">
            <w:pPr>
              <w:spacing w:after="0"/>
              <w:rPr>
                <w:rFonts w:ascii="Arial" w:hAnsi="Arial" w:cs="Arial"/>
                <w:sz w:val="18"/>
              </w:rPr>
            </w:pP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43A724E5" w14:textId="77777777" w:rsidR="00AD74AA" w:rsidRPr="001B3156" w:rsidRDefault="00AD74AA" w:rsidP="00074CE0">
            <w:pPr>
              <w:spacing w:after="0"/>
              <w:rPr>
                <w:rFonts w:ascii="Arial" w:hAnsi="Arial" w:cs="Arial"/>
                <w:sz w:val="18"/>
              </w:rPr>
            </w:pPr>
          </w:p>
        </w:tc>
      </w:tr>
      <w:tr w:rsidR="00AD74AA" w:rsidRPr="001B3156" w14:paraId="57F621F8"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8BB8619" w14:textId="77777777" w:rsidR="00AD74AA" w:rsidRPr="00142CB4" w:rsidRDefault="00AD74AA" w:rsidP="00074CE0">
            <w:pPr>
              <w:spacing w:after="0"/>
              <w:ind w:left="720"/>
              <w:rPr>
                <w:rFonts w:ascii="Arial" w:hAnsi="Arial" w:cs="Arial"/>
                <w:sz w:val="18"/>
              </w:rPr>
            </w:pPr>
            <w:r>
              <w:rPr>
                <w:rFonts w:ascii="Arial" w:hAnsi="Arial" w:cs="Arial"/>
                <w:sz w:val="18"/>
              </w:rPr>
              <w:t>Cash transfers</w:t>
            </w:r>
          </w:p>
        </w:tc>
        <w:tc>
          <w:tcPr>
            <w:tcW w:w="1464" w:type="dxa"/>
            <w:tcBorders>
              <w:top w:val="single" w:sz="6" w:space="0" w:color="000000"/>
              <w:left w:val="single" w:sz="6" w:space="0" w:color="000000"/>
              <w:bottom w:val="single" w:sz="6" w:space="0" w:color="000000"/>
              <w:right w:val="single" w:sz="6" w:space="0" w:color="000000"/>
            </w:tcBorders>
          </w:tcPr>
          <w:p w14:paraId="2D14541C" w14:textId="77777777" w:rsidR="00AD74AA" w:rsidRPr="001B3156" w:rsidRDefault="00AD74AA" w:rsidP="00074CE0">
            <w:pPr>
              <w:spacing w:after="0"/>
              <w:rPr>
                <w:rFonts w:ascii="Arial" w:hAnsi="Arial" w:cs="Arial"/>
                <w:sz w:val="18"/>
              </w:rPr>
            </w:pPr>
            <w:r>
              <w:rPr>
                <w:rFonts w:ascii="Arial" w:hAnsi="Arial" w:cs="Arial"/>
                <w:sz w:val="18"/>
              </w:rPr>
              <w:t>0%</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FEB86A4" w14:textId="77777777" w:rsidR="00AD74AA" w:rsidRPr="001B3156" w:rsidRDefault="00AD74AA" w:rsidP="00074CE0">
            <w:pPr>
              <w:spacing w:after="0"/>
              <w:rPr>
                <w:rFonts w:ascii="Arial" w:hAnsi="Arial" w:cs="Arial"/>
                <w:sz w:val="18"/>
              </w:rPr>
            </w:pP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099944EE" w14:textId="77777777" w:rsidR="00AD74AA" w:rsidRPr="001B3156" w:rsidRDefault="00AD74AA" w:rsidP="00074CE0">
            <w:pPr>
              <w:spacing w:after="0"/>
              <w:rPr>
                <w:rFonts w:ascii="Arial" w:hAnsi="Arial" w:cs="Arial"/>
                <w:sz w:val="18"/>
              </w:rPr>
            </w:pPr>
          </w:p>
        </w:tc>
      </w:tr>
      <w:tr w:rsidR="00AD74AA" w:rsidRPr="001B3156" w14:paraId="27F2BE2C"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18821A30" w14:textId="77777777" w:rsidR="00AD74AA" w:rsidRPr="00142CB4" w:rsidRDefault="00AD74AA" w:rsidP="00074CE0">
            <w:pPr>
              <w:spacing w:after="0"/>
              <w:rPr>
                <w:rFonts w:ascii="Arial" w:hAnsi="Arial" w:cs="Arial"/>
                <w:sz w:val="18"/>
              </w:rPr>
            </w:pPr>
            <w:r w:rsidRPr="00142CB4">
              <w:rPr>
                <w:rFonts w:ascii="Arial" w:hAnsi="Arial" w:cs="Arial"/>
                <w:bCs/>
                <w:sz w:val="18"/>
              </w:rPr>
              <w:t>Key population outreach:</w:t>
            </w:r>
          </w:p>
        </w:tc>
        <w:tc>
          <w:tcPr>
            <w:tcW w:w="1464" w:type="dxa"/>
            <w:tcBorders>
              <w:top w:val="single" w:sz="6" w:space="0" w:color="000000"/>
              <w:left w:val="single" w:sz="6" w:space="0" w:color="000000"/>
              <w:bottom w:val="single" w:sz="6" w:space="0" w:color="000000"/>
              <w:right w:val="single" w:sz="6" w:space="0" w:color="000000"/>
            </w:tcBorders>
          </w:tcPr>
          <w:p w14:paraId="523356EA" w14:textId="77777777" w:rsidR="00AD74AA" w:rsidRPr="001B3156" w:rsidRDefault="00AD74AA" w:rsidP="00074CE0">
            <w:pPr>
              <w:spacing w:after="0"/>
              <w:rPr>
                <w:rFonts w:ascii="Arial" w:hAnsi="Arial" w:cs="Arial"/>
                <w:sz w:val="18"/>
              </w:rPr>
            </w:pP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169A20AF" w14:textId="77777777" w:rsidR="00AD74AA" w:rsidRPr="001B3156" w:rsidRDefault="00AD74AA" w:rsidP="00074CE0">
            <w:pPr>
              <w:spacing w:after="0"/>
              <w:rPr>
                <w:rFonts w:ascii="Arial" w:hAnsi="Arial" w:cs="Arial"/>
                <w:sz w:val="18"/>
              </w:rPr>
            </w:pPr>
            <w:r w:rsidRPr="001B3156">
              <w:rPr>
                <w:rFonts w:ascii="Arial" w:hAnsi="Arial" w:cs="Arial"/>
                <w:sz w:val="18"/>
              </w:rPr>
              <w:t> </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31E48C9A" w14:textId="77777777" w:rsidR="00AD74AA" w:rsidRPr="001B3156" w:rsidRDefault="00AD74AA" w:rsidP="00074CE0">
            <w:pPr>
              <w:spacing w:after="0"/>
              <w:rPr>
                <w:rFonts w:ascii="Arial" w:hAnsi="Arial" w:cs="Arial"/>
                <w:sz w:val="18"/>
              </w:rPr>
            </w:pPr>
            <w:r w:rsidRPr="001B3156">
              <w:rPr>
                <w:rFonts w:ascii="Arial" w:hAnsi="Arial" w:cs="Arial"/>
                <w:sz w:val="18"/>
              </w:rPr>
              <w:t> </w:t>
            </w:r>
          </w:p>
        </w:tc>
      </w:tr>
      <w:tr w:rsidR="00AD74AA" w:rsidRPr="001B3156" w14:paraId="7F03DD96"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267669BD" w14:textId="77777777" w:rsidR="00AD74AA" w:rsidRPr="00142CB4" w:rsidRDefault="00AD74AA" w:rsidP="00074CE0">
            <w:pPr>
              <w:spacing w:after="0"/>
              <w:ind w:left="720"/>
              <w:rPr>
                <w:rFonts w:ascii="Arial" w:hAnsi="Arial" w:cs="Arial"/>
                <w:sz w:val="18"/>
              </w:rPr>
            </w:pPr>
            <w:r w:rsidRPr="00142CB4">
              <w:rPr>
                <w:rFonts w:ascii="Arial" w:hAnsi="Arial" w:cs="Arial"/>
                <w:bCs/>
                <w:sz w:val="18"/>
              </w:rPr>
              <w:t>-</w:t>
            </w:r>
            <w:r>
              <w:rPr>
                <w:rFonts w:ascii="Arial" w:hAnsi="Arial" w:cs="Arial"/>
                <w:bCs/>
                <w:sz w:val="18"/>
              </w:rPr>
              <w:t>FSW</w:t>
            </w:r>
          </w:p>
        </w:tc>
        <w:tc>
          <w:tcPr>
            <w:tcW w:w="1464" w:type="dxa"/>
            <w:tcBorders>
              <w:top w:val="single" w:sz="6" w:space="0" w:color="000000"/>
              <w:left w:val="single" w:sz="6" w:space="0" w:color="000000"/>
              <w:bottom w:val="single" w:sz="6" w:space="0" w:color="000000"/>
              <w:right w:val="single" w:sz="6" w:space="0" w:color="000000"/>
            </w:tcBorders>
          </w:tcPr>
          <w:p w14:paraId="27C343A4" w14:textId="77777777" w:rsidR="00AD74AA" w:rsidRPr="001B3156" w:rsidRDefault="00AD74AA" w:rsidP="00074CE0">
            <w:pPr>
              <w:spacing w:after="0"/>
              <w:rPr>
                <w:rFonts w:ascii="Arial" w:hAnsi="Arial" w:cs="Arial"/>
                <w:sz w:val="18"/>
              </w:rPr>
            </w:pPr>
            <w:r>
              <w:rPr>
                <w:rFonts w:ascii="Arial" w:hAnsi="Arial" w:cs="Arial"/>
                <w:sz w:val="18"/>
              </w:rPr>
              <w:t>11%</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0906A51A" w14:textId="77777777" w:rsidR="00AD74AA" w:rsidRPr="001B3156" w:rsidRDefault="00AD74AA" w:rsidP="00074CE0">
            <w:pPr>
              <w:spacing w:after="0"/>
              <w:rPr>
                <w:rFonts w:ascii="Arial" w:hAnsi="Arial" w:cs="Arial"/>
                <w:sz w:val="18"/>
              </w:rPr>
            </w:pPr>
            <w:r w:rsidRPr="001B3156">
              <w:rPr>
                <w:rFonts w:ascii="Arial" w:hAnsi="Arial" w:cs="Arial"/>
                <w:sz w:val="18"/>
              </w:rPr>
              <w:t>69%</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EF88499" w14:textId="77777777" w:rsidR="00AD74AA" w:rsidRPr="001B3156" w:rsidRDefault="00AD74AA" w:rsidP="00074CE0">
            <w:pPr>
              <w:spacing w:after="0"/>
              <w:rPr>
                <w:rFonts w:ascii="Arial" w:hAnsi="Arial" w:cs="Arial"/>
                <w:sz w:val="18"/>
              </w:rPr>
            </w:pPr>
            <w:r>
              <w:rPr>
                <w:rFonts w:ascii="Arial" w:hAnsi="Arial" w:cs="Arial"/>
                <w:sz w:val="18"/>
              </w:rPr>
              <w:t>IC 1.0; NMSF IV</w:t>
            </w:r>
          </w:p>
        </w:tc>
      </w:tr>
      <w:tr w:rsidR="00AD74AA" w:rsidRPr="001B3156" w14:paraId="7D9B95BA"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258B4EF" w14:textId="77777777" w:rsidR="00AD74AA" w:rsidRPr="00142CB4" w:rsidRDefault="00AD74AA" w:rsidP="00074CE0">
            <w:pPr>
              <w:spacing w:after="0"/>
              <w:ind w:left="720"/>
              <w:rPr>
                <w:rFonts w:ascii="Arial" w:hAnsi="Arial" w:cs="Arial"/>
                <w:sz w:val="18"/>
              </w:rPr>
            </w:pPr>
            <w:r w:rsidRPr="00142CB4">
              <w:rPr>
                <w:rFonts w:ascii="Arial" w:hAnsi="Arial" w:cs="Arial"/>
                <w:bCs/>
                <w:sz w:val="18"/>
              </w:rPr>
              <w:t>-MSM</w:t>
            </w:r>
          </w:p>
        </w:tc>
        <w:tc>
          <w:tcPr>
            <w:tcW w:w="1464" w:type="dxa"/>
            <w:tcBorders>
              <w:top w:val="single" w:sz="6" w:space="0" w:color="000000"/>
              <w:left w:val="single" w:sz="6" w:space="0" w:color="000000"/>
              <w:bottom w:val="single" w:sz="6" w:space="0" w:color="000000"/>
              <w:right w:val="single" w:sz="6" w:space="0" w:color="000000"/>
            </w:tcBorders>
          </w:tcPr>
          <w:p w14:paraId="30220EF7" w14:textId="77777777" w:rsidR="00AD74AA" w:rsidRPr="001B3156" w:rsidRDefault="00AD74AA" w:rsidP="00074CE0">
            <w:pPr>
              <w:spacing w:after="0"/>
              <w:rPr>
                <w:rFonts w:ascii="Arial" w:hAnsi="Arial" w:cs="Arial"/>
                <w:sz w:val="18"/>
              </w:rPr>
            </w:pPr>
            <w:r>
              <w:rPr>
                <w:rFonts w:ascii="Arial" w:hAnsi="Arial" w:cs="Arial"/>
                <w:sz w:val="18"/>
              </w:rPr>
              <w:t>40%</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25A4E0EA" w14:textId="77777777" w:rsidR="00AD74AA" w:rsidRPr="001B3156" w:rsidRDefault="00AD74AA" w:rsidP="00074CE0">
            <w:pPr>
              <w:spacing w:after="0"/>
              <w:rPr>
                <w:rFonts w:ascii="Arial" w:hAnsi="Arial" w:cs="Arial"/>
                <w:sz w:val="18"/>
              </w:rPr>
            </w:pPr>
            <w:r>
              <w:rPr>
                <w:rFonts w:ascii="Arial" w:hAnsi="Arial" w:cs="Arial"/>
                <w:sz w:val="18"/>
              </w:rPr>
              <w:t>40%</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415539EA" w14:textId="77777777" w:rsidR="00AD74AA" w:rsidRPr="001B3156" w:rsidRDefault="00AD74AA" w:rsidP="00074CE0">
            <w:pPr>
              <w:spacing w:after="0"/>
              <w:rPr>
                <w:rFonts w:ascii="Arial" w:hAnsi="Arial" w:cs="Arial"/>
                <w:sz w:val="18"/>
              </w:rPr>
            </w:pPr>
            <w:r>
              <w:rPr>
                <w:rFonts w:ascii="Arial" w:hAnsi="Arial" w:cs="Arial"/>
                <w:sz w:val="18"/>
              </w:rPr>
              <w:t>IC 1.0</w:t>
            </w:r>
          </w:p>
        </w:tc>
      </w:tr>
      <w:tr w:rsidR="00AD74AA" w:rsidRPr="001B3156" w14:paraId="03AF54BD"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4CC0AF6" w14:textId="77777777" w:rsidR="00AD74AA" w:rsidRPr="00142CB4" w:rsidRDefault="00AD74AA" w:rsidP="00074CE0">
            <w:pPr>
              <w:spacing w:after="0"/>
              <w:ind w:left="720"/>
              <w:rPr>
                <w:rFonts w:ascii="Arial" w:hAnsi="Arial" w:cs="Arial"/>
                <w:sz w:val="18"/>
              </w:rPr>
            </w:pPr>
            <w:r w:rsidRPr="00142CB4">
              <w:rPr>
                <w:rFonts w:ascii="Arial" w:hAnsi="Arial" w:cs="Arial"/>
                <w:bCs/>
                <w:sz w:val="18"/>
              </w:rPr>
              <w:t>-PWID</w:t>
            </w:r>
          </w:p>
        </w:tc>
        <w:tc>
          <w:tcPr>
            <w:tcW w:w="1464" w:type="dxa"/>
            <w:tcBorders>
              <w:top w:val="single" w:sz="6" w:space="0" w:color="000000"/>
              <w:left w:val="single" w:sz="6" w:space="0" w:color="000000"/>
              <w:bottom w:val="single" w:sz="6" w:space="0" w:color="000000"/>
              <w:right w:val="single" w:sz="6" w:space="0" w:color="000000"/>
            </w:tcBorders>
          </w:tcPr>
          <w:p w14:paraId="32CD6C17" w14:textId="77777777" w:rsidR="00AD74AA" w:rsidRPr="001B3156" w:rsidRDefault="00AD74AA" w:rsidP="00074CE0">
            <w:pPr>
              <w:spacing w:after="0"/>
              <w:rPr>
                <w:rFonts w:ascii="Arial" w:hAnsi="Arial" w:cs="Arial"/>
                <w:sz w:val="18"/>
              </w:rPr>
            </w:pPr>
            <w:r>
              <w:rPr>
                <w:rFonts w:ascii="Arial" w:hAnsi="Arial" w:cs="Arial"/>
                <w:sz w:val="18"/>
              </w:rPr>
              <w:t>20%</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0DB87757" w14:textId="77777777" w:rsidR="00AD74AA" w:rsidRPr="001B3156" w:rsidRDefault="00AD74AA" w:rsidP="00074CE0">
            <w:pPr>
              <w:spacing w:after="0"/>
              <w:rPr>
                <w:rFonts w:ascii="Arial" w:hAnsi="Arial" w:cs="Arial"/>
                <w:sz w:val="18"/>
              </w:rPr>
            </w:pPr>
            <w:r w:rsidRPr="001B3156">
              <w:rPr>
                <w:rFonts w:ascii="Arial" w:hAnsi="Arial" w:cs="Arial"/>
                <w:sz w:val="18"/>
              </w:rPr>
              <w:t> </w:t>
            </w:r>
            <w:r>
              <w:rPr>
                <w:rFonts w:ascii="Arial" w:hAnsi="Arial" w:cs="Arial"/>
                <w:sz w:val="18"/>
              </w:rPr>
              <w:t>20%</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8C6F4EE" w14:textId="77777777" w:rsidR="00AD74AA" w:rsidRPr="001B3156" w:rsidRDefault="00AD74AA" w:rsidP="00074CE0">
            <w:pPr>
              <w:spacing w:after="0"/>
              <w:rPr>
                <w:rFonts w:ascii="Arial" w:hAnsi="Arial" w:cs="Arial"/>
                <w:sz w:val="18"/>
              </w:rPr>
            </w:pPr>
            <w:r w:rsidRPr="001B3156">
              <w:rPr>
                <w:rFonts w:ascii="Arial" w:hAnsi="Arial" w:cs="Arial"/>
                <w:sz w:val="18"/>
              </w:rPr>
              <w:t> </w:t>
            </w:r>
            <w:r>
              <w:rPr>
                <w:rFonts w:ascii="Arial" w:hAnsi="Arial" w:cs="Arial"/>
                <w:sz w:val="18"/>
              </w:rPr>
              <w:t>IC 1.0</w:t>
            </w:r>
          </w:p>
        </w:tc>
      </w:tr>
      <w:tr w:rsidR="00AD74AA" w:rsidRPr="001B3156" w14:paraId="6AE09F97" w14:textId="77777777" w:rsidTr="00074CE0">
        <w:trPr>
          <w:trHeight w:val="275"/>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85276F3" w14:textId="77777777" w:rsidR="00AD74AA" w:rsidRPr="00142CB4" w:rsidRDefault="00AD74AA" w:rsidP="00074CE0">
            <w:pPr>
              <w:spacing w:after="0"/>
              <w:rPr>
                <w:rFonts w:ascii="Arial" w:hAnsi="Arial" w:cs="Arial"/>
                <w:sz w:val="18"/>
              </w:rPr>
            </w:pPr>
            <w:r w:rsidRPr="00142CB4">
              <w:rPr>
                <w:rFonts w:ascii="Arial" w:hAnsi="Arial" w:cs="Arial"/>
                <w:bCs/>
                <w:sz w:val="18"/>
              </w:rPr>
              <w:t>PrEP</w:t>
            </w:r>
          </w:p>
        </w:tc>
        <w:tc>
          <w:tcPr>
            <w:tcW w:w="1464" w:type="dxa"/>
            <w:tcBorders>
              <w:top w:val="single" w:sz="6" w:space="0" w:color="000000"/>
              <w:left w:val="single" w:sz="6" w:space="0" w:color="000000"/>
              <w:bottom w:val="single" w:sz="6" w:space="0" w:color="000000"/>
              <w:right w:val="single" w:sz="6" w:space="0" w:color="000000"/>
            </w:tcBorders>
          </w:tcPr>
          <w:p w14:paraId="0EAA537F" w14:textId="77777777" w:rsidR="00AD74AA" w:rsidRPr="001B3156" w:rsidRDefault="00AD74AA" w:rsidP="00074CE0">
            <w:pPr>
              <w:spacing w:after="0"/>
              <w:rPr>
                <w:rFonts w:ascii="Arial" w:hAnsi="Arial" w:cs="Arial"/>
                <w:sz w:val="18"/>
              </w:rPr>
            </w:pPr>
            <w:r>
              <w:rPr>
                <w:rFonts w:ascii="Arial" w:hAnsi="Arial" w:cs="Arial"/>
                <w:sz w:val="18"/>
              </w:rPr>
              <w:t>0%</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3751F57F" w14:textId="77777777" w:rsidR="00AD74AA" w:rsidRPr="001B3156" w:rsidRDefault="00AD74AA" w:rsidP="00074CE0">
            <w:pPr>
              <w:spacing w:after="0"/>
              <w:rPr>
                <w:rFonts w:ascii="Arial" w:hAnsi="Arial" w:cs="Arial"/>
                <w:sz w:val="18"/>
              </w:rPr>
            </w:pPr>
            <w:r w:rsidRPr="001B3156">
              <w:rPr>
                <w:rFonts w:ascii="Arial" w:hAnsi="Arial" w:cs="Arial"/>
                <w:sz w:val="18"/>
              </w:rPr>
              <w:t> </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E43D21E" w14:textId="77777777" w:rsidR="00AD74AA" w:rsidRPr="001B3156" w:rsidRDefault="00AD74AA" w:rsidP="00074CE0">
            <w:pPr>
              <w:spacing w:after="0"/>
              <w:rPr>
                <w:rFonts w:ascii="Arial" w:hAnsi="Arial" w:cs="Arial"/>
                <w:sz w:val="18"/>
              </w:rPr>
            </w:pPr>
            <w:r w:rsidRPr="001B3156">
              <w:rPr>
                <w:rFonts w:ascii="Arial" w:hAnsi="Arial" w:cs="Arial"/>
                <w:sz w:val="18"/>
              </w:rPr>
              <w:t> </w:t>
            </w:r>
          </w:p>
        </w:tc>
      </w:tr>
      <w:tr w:rsidR="00AD74AA" w:rsidRPr="001B3156" w14:paraId="1CCF7CDD" w14:textId="77777777" w:rsidTr="00074CE0">
        <w:trPr>
          <w:trHeight w:val="232"/>
        </w:trPr>
        <w:tc>
          <w:tcPr>
            <w:tcW w:w="9236" w:type="dxa"/>
            <w:gridSpan w:val="4"/>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5" w:type="dxa"/>
              <w:left w:w="5" w:type="dxa"/>
              <w:bottom w:w="0" w:type="dxa"/>
              <w:right w:w="5" w:type="dxa"/>
            </w:tcMar>
            <w:vAlign w:val="center"/>
          </w:tcPr>
          <w:p w14:paraId="465743C3" w14:textId="77777777" w:rsidR="00AD74AA" w:rsidRPr="00505F88" w:rsidRDefault="00AD74AA" w:rsidP="00074CE0">
            <w:pPr>
              <w:spacing w:after="0"/>
              <w:rPr>
                <w:rFonts w:ascii="Arial" w:hAnsi="Arial" w:cs="Arial"/>
                <w:b/>
                <w:sz w:val="18"/>
              </w:rPr>
            </w:pPr>
            <w:r w:rsidRPr="00505F88">
              <w:rPr>
                <w:rFonts w:ascii="Arial" w:hAnsi="Arial" w:cs="Arial"/>
                <w:b/>
                <w:sz w:val="18"/>
              </w:rPr>
              <w:t>Treatment, care, and support</w:t>
            </w:r>
          </w:p>
        </w:tc>
      </w:tr>
      <w:tr w:rsidR="00AD74AA" w:rsidRPr="001B3156" w14:paraId="43837B37" w14:textId="77777777" w:rsidTr="00074CE0">
        <w:trPr>
          <w:trHeight w:val="151"/>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EF5E8C6" w14:textId="77777777" w:rsidR="00AD74AA" w:rsidRPr="00142CB4" w:rsidRDefault="00AD74AA" w:rsidP="00074CE0">
            <w:pPr>
              <w:spacing w:after="0"/>
              <w:rPr>
                <w:rFonts w:ascii="Arial" w:hAnsi="Arial" w:cs="Arial"/>
                <w:bCs/>
                <w:sz w:val="18"/>
              </w:rPr>
            </w:pPr>
            <w:r w:rsidRPr="00142CB4">
              <w:rPr>
                <w:rFonts w:ascii="Arial" w:hAnsi="Arial" w:cs="Arial"/>
                <w:bCs/>
                <w:sz w:val="18"/>
              </w:rPr>
              <w:t>ART (% of all PLHIV)</w:t>
            </w:r>
          </w:p>
        </w:tc>
        <w:tc>
          <w:tcPr>
            <w:tcW w:w="1464" w:type="dxa"/>
            <w:tcBorders>
              <w:top w:val="single" w:sz="6" w:space="0" w:color="000000"/>
              <w:left w:val="single" w:sz="6" w:space="0" w:color="000000"/>
              <w:bottom w:val="single" w:sz="6" w:space="0" w:color="000000"/>
              <w:right w:val="single" w:sz="6" w:space="0" w:color="000000"/>
            </w:tcBorders>
          </w:tcPr>
          <w:p w14:paraId="1AEFE081" w14:textId="77777777" w:rsidR="00AD74AA" w:rsidRPr="001B3156" w:rsidRDefault="00AD74AA" w:rsidP="00074CE0">
            <w:pPr>
              <w:spacing w:after="0"/>
              <w:rPr>
                <w:rFonts w:ascii="Arial" w:hAnsi="Arial" w:cs="Arial"/>
                <w:sz w:val="18"/>
              </w:rPr>
            </w:pPr>
            <w:r>
              <w:rPr>
                <w:rFonts w:ascii="Arial" w:hAnsi="Arial" w:cs="Arial"/>
                <w:sz w:val="18"/>
              </w:rPr>
              <w:t>44%</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7F846FE7" w14:textId="77777777" w:rsidR="00AD74AA" w:rsidRPr="001B3156" w:rsidRDefault="00AD74AA" w:rsidP="00074CE0">
            <w:pPr>
              <w:spacing w:after="0"/>
              <w:rPr>
                <w:rFonts w:ascii="Arial" w:hAnsi="Arial" w:cs="Arial"/>
                <w:sz w:val="18"/>
              </w:rPr>
            </w:pPr>
            <w:r>
              <w:rPr>
                <w:rFonts w:ascii="Arial" w:hAnsi="Arial" w:cs="Arial"/>
                <w:sz w:val="18"/>
              </w:rPr>
              <w:t>61%</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16C5F638" w14:textId="77777777" w:rsidR="00AD74AA" w:rsidRPr="001B3156" w:rsidRDefault="00AD74AA" w:rsidP="00074CE0">
            <w:pPr>
              <w:spacing w:after="0"/>
              <w:rPr>
                <w:rFonts w:ascii="Arial" w:hAnsi="Arial" w:cs="Arial"/>
                <w:sz w:val="18"/>
              </w:rPr>
            </w:pPr>
            <w:r>
              <w:rPr>
                <w:rFonts w:ascii="Arial" w:hAnsi="Arial" w:cs="Arial"/>
                <w:sz w:val="18"/>
              </w:rPr>
              <w:t>IC 1.0; THIS 2016-2017</w:t>
            </w:r>
          </w:p>
        </w:tc>
      </w:tr>
      <w:tr w:rsidR="00AD74AA" w:rsidRPr="001B3156" w14:paraId="2C1511AF" w14:textId="77777777" w:rsidTr="00074CE0">
        <w:trPr>
          <w:trHeight w:val="349"/>
        </w:trPr>
        <w:tc>
          <w:tcPr>
            <w:tcW w:w="410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261AC1A7" w14:textId="77777777" w:rsidR="00AD74AA" w:rsidRPr="00142CB4" w:rsidRDefault="00AD74AA" w:rsidP="00074CE0">
            <w:pPr>
              <w:spacing w:after="0"/>
              <w:rPr>
                <w:rFonts w:ascii="Arial" w:hAnsi="Arial" w:cs="Arial"/>
                <w:bCs/>
                <w:sz w:val="18"/>
              </w:rPr>
            </w:pPr>
            <w:r w:rsidRPr="00142CB4">
              <w:rPr>
                <w:rFonts w:ascii="Arial" w:hAnsi="Arial" w:cs="Arial"/>
                <w:bCs/>
                <w:sz w:val="18"/>
              </w:rPr>
              <w:t>% of people on ART after 12 mo</w:t>
            </w:r>
          </w:p>
        </w:tc>
        <w:tc>
          <w:tcPr>
            <w:tcW w:w="1464" w:type="dxa"/>
            <w:tcBorders>
              <w:top w:val="single" w:sz="6" w:space="0" w:color="000000"/>
              <w:left w:val="single" w:sz="6" w:space="0" w:color="000000"/>
              <w:bottom w:val="single" w:sz="6" w:space="0" w:color="000000"/>
              <w:right w:val="single" w:sz="6" w:space="0" w:color="000000"/>
            </w:tcBorders>
          </w:tcPr>
          <w:p w14:paraId="6B83E0E2" w14:textId="77777777" w:rsidR="00AD74AA" w:rsidRPr="001B3156" w:rsidRDefault="00AD74AA" w:rsidP="00074CE0">
            <w:pPr>
              <w:spacing w:after="0"/>
              <w:rPr>
                <w:rFonts w:ascii="Arial" w:hAnsi="Arial" w:cs="Arial"/>
                <w:sz w:val="18"/>
              </w:rPr>
            </w:pPr>
            <w:r>
              <w:rPr>
                <w:rFonts w:ascii="Arial" w:hAnsi="Arial" w:cs="Arial"/>
                <w:sz w:val="18"/>
              </w:rPr>
              <w:t>75%</w:t>
            </w:r>
          </w:p>
        </w:tc>
        <w:tc>
          <w:tcPr>
            <w:tcW w:w="1876"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3D57274D" w14:textId="77777777" w:rsidR="00AD74AA" w:rsidRPr="001B3156" w:rsidRDefault="00AD74AA" w:rsidP="00074CE0">
            <w:pPr>
              <w:spacing w:after="0"/>
              <w:rPr>
                <w:rFonts w:ascii="Arial" w:hAnsi="Arial" w:cs="Arial"/>
                <w:sz w:val="18"/>
              </w:rPr>
            </w:pPr>
            <w:r w:rsidRPr="001B3156">
              <w:rPr>
                <w:rFonts w:ascii="Arial" w:hAnsi="Arial" w:cs="Arial"/>
                <w:sz w:val="18"/>
              </w:rPr>
              <w:t>78%</w:t>
            </w:r>
          </w:p>
        </w:tc>
        <w:tc>
          <w:tcPr>
            <w:tcW w:w="1788" w:type="dxa"/>
            <w:tcBorders>
              <w:top w:val="single" w:sz="6" w:space="0" w:color="000000"/>
              <w:left w:val="single" w:sz="6" w:space="0" w:color="000000"/>
              <w:bottom w:val="single" w:sz="6" w:space="0" w:color="000000"/>
              <w:right w:val="single" w:sz="6" w:space="0" w:color="000000"/>
            </w:tcBorders>
            <w:shd w:val="clear" w:color="auto" w:fill="auto"/>
            <w:tcMar>
              <w:top w:w="5" w:type="dxa"/>
              <w:left w:w="5" w:type="dxa"/>
              <w:bottom w:w="0" w:type="dxa"/>
              <w:right w:w="5" w:type="dxa"/>
            </w:tcMar>
            <w:vAlign w:val="center"/>
          </w:tcPr>
          <w:p w14:paraId="538B8FB6" w14:textId="77777777" w:rsidR="00AD74AA" w:rsidRPr="001B3156" w:rsidRDefault="00AD74AA" w:rsidP="00074CE0">
            <w:pPr>
              <w:spacing w:after="0"/>
              <w:rPr>
                <w:rFonts w:ascii="Arial" w:hAnsi="Arial" w:cs="Arial"/>
                <w:sz w:val="18"/>
              </w:rPr>
            </w:pPr>
            <w:r>
              <w:rPr>
                <w:rFonts w:ascii="Arial" w:hAnsi="Arial" w:cs="Arial"/>
                <w:sz w:val="18"/>
              </w:rPr>
              <w:t>IC 1.0; NMSF IV</w:t>
            </w:r>
          </w:p>
        </w:tc>
      </w:tr>
    </w:tbl>
    <w:p w14:paraId="345DFDD8" w14:textId="77777777" w:rsidR="00AD74AA" w:rsidRDefault="00AD74AA" w:rsidP="003A56C4">
      <w:pPr>
        <w:spacing w:after="0"/>
        <w:rPr>
          <w:rFonts w:ascii="Arial" w:hAnsi="Arial" w:cs="Arial"/>
        </w:rPr>
      </w:pPr>
    </w:p>
    <w:p w14:paraId="22C05EEE" w14:textId="3788B662" w:rsidR="00185F66" w:rsidRPr="001005D4" w:rsidRDefault="00185F66" w:rsidP="00185F66">
      <w:pPr>
        <w:rPr>
          <w:rFonts w:ascii="Arial" w:hAnsi="Arial" w:cs="Arial"/>
        </w:rPr>
      </w:pPr>
      <w:r w:rsidRPr="001005D4">
        <w:rPr>
          <w:rFonts w:ascii="Arial" w:hAnsi="Arial" w:cs="Arial"/>
        </w:rPr>
        <w:t xml:space="preserve">The model calculates new HIV infections by sex and risk group as a function of behaviors and epidemiological factors such as prevalence among partners and stage of infection. The risk of transmission is determined by behaviors (number of partners, contacts per partners, condom use) and biomedical factors (ART use, male circumcision, prevalence of other sexually transmitted infections). Interventions can change any of these factors and, thus, affect the future course of the epidemic. </w:t>
      </w:r>
      <w:r>
        <w:rPr>
          <w:rFonts w:ascii="Arial" w:hAnsi="Arial" w:cs="Arial"/>
        </w:rPr>
        <w:t>Key epidemiological parameters are shown below</w:t>
      </w:r>
      <w:r w:rsidR="00C05153">
        <w:rPr>
          <w:rFonts w:ascii="Arial" w:hAnsi="Arial" w:cs="Arial"/>
        </w:rPr>
        <w:t xml:space="preserve"> in </w:t>
      </w:r>
      <w:r w:rsidR="00C05153" w:rsidRPr="00C05153">
        <w:rPr>
          <w:rFonts w:ascii="Arial" w:hAnsi="Arial" w:cs="Arial"/>
          <w:i/>
        </w:rPr>
        <w:t>Figure 4A-4.</w:t>
      </w:r>
    </w:p>
    <w:p w14:paraId="7FD4CD19" w14:textId="19B8F689" w:rsidR="007067DC" w:rsidRPr="00C05153" w:rsidRDefault="00C05153" w:rsidP="007067DC">
      <w:pPr>
        <w:rPr>
          <w:rFonts w:ascii="Arial" w:hAnsi="Arial" w:cs="Arial"/>
          <w:i/>
          <w:sz w:val="18"/>
        </w:rPr>
      </w:pPr>
      <w:r w:rsidRPr="00C05153">
        <w:rPr>
          <w:rFonts w:ascii="Arial" w:hAnsi="Arial" w:cs="Arial"/>
          <w:i/>
          <w:sz w:val="18"/>
        </w:rPr>
        <w:t>Figure 4A-4. Key epidemiological factors for Goals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417"/>
        <w:gridCol w:w="4163"/>
      </w:tblGrid>
      <w:tr w:rsidR="007067DC" w:rsidRPr="001005D4" w14:paraId="7BD87D8D" w14:textId="77777777" w:rsidTr="003040CB">
        <w:tc>
          <w:tcPr>
            <w:tcW w:w="3888" w:type="dxa"/>
          </w:tcPr>
          <w:p w14:paraId="2C278134" w14:textId="77777777" w:rsidR="007067DC" w:rsidRPr="001005D4" w:rsidRDefault="007067DC" w:rsidP="00650F2B">
            <w:pPr>
              <w:tabs>
                <w:tab w:val="left" w:pos="188"/>
              </w:tabs>
              <w:spacing w:after="0"/>
              <w:rPr>
                <w:rFonts w:ascii="Arial" w:hAnsi="Arial" w:cs="Arial"/>
                <w:b/>
              </w:rPr>
            </w:pPr>
            <w:r w:rsidRPr="001005D4">
              <w:rPr>
                <w:rFonts w:ascii="Arial" w:hAnsi="Arial" w:cs="Arial"/>
                <w:b/>
              </w:rPr>
              <w:t>Parameter</w:t>
            </w:r>
          </w:p>
        </w:tc>
        <w:tc>
          <w:tcPr>
            <w:tcW w:w="1417" w:type="dxa"/>
          </w:tcPr>
          <w:p w14:paraId="029476DE" w14:textId="77777777" w:rsidR="007067DC" w:rsidRPr="001005D4" w:rsidRDefault="007067DC" w:rsidP="00650F2B">
            <w:pPr>
              <w:spacing w:after="0"/>
              <w:rPr>
                <w:rFonts w:ascii="Arial" w:hAnsi="Arial" w:cs="Arial"/>
                <w:b/>
              </w:rPr>
            </w:pPr>
            <w:r w:rsidRPr="001005D4">
              <w:rPr>
                <w:rFonts w:ascii="Arial" w:hAnsi="Arial" w:cs="Arial"/>
                <w:b/>
              </w:rPr>
              <w:t xml:space="preserve">Value </w:t>
            </w:r>
          </w:p>
        </w:tc>
        <w:tc>
          <w:tcPr>
            <w:tcW w:w="4163" w:type="dxa"/>
          </w:tcPr>
          <w:p w14:paraId="14A0E75C" w14:textId="77777777" w:rsidR="007067DC" w:rsidRPr="001005D4" w:rsidRDefault="007067DC" w:rsidP="00650F2B">
            <w:pPr>
              <w:spacing w:after="0"/>
              <w:rPr>
                <w:rFonts w:ascii="Arial" w:hAnsi="Arial" w:cs="Arial"/>
                <w:b/>
              </w:rPr>
            </w:pPr>
            <w:r w:rsidRPr="001005D4">
              <w:rPr>
                <w:rFonts w:ascii="Arial" w:hAnsi="Arial" w:cs="Arial"/>
                <w:b/>
              </w:rPr>
              <w:t>Source</w:t>
            </w:r>
          </w:p>
        </w:tc>
      </w:tr>
      <w:tr w:rsidR="007067DC" w:rsidRPr="001005D4" w14:paraId="1A32CF25" w14:textId="77777777" w:rsidTr="003040CB">
        <w:tc>
          <w:tcPr>
            <w:tcW w:w="3888" w:type="dxa"/>
          </w:tcPr>
          <w:p w14:paraId="3B5585DB" w14:textId="77777777" w:rsidR="007067DC" w:rsidRPr="001005D4" w:rsidRDefault="007067DC" w:rsidP="00650F2B">
            <w:pPr>
              <w:tabs>
                <w:tab w:val="left" w:pos="188"/>
              </w:tabs>
              <w:spacing w:after="0"/>
              <w:rPr>
                <w:rFonts w:ascii="Arial" w:hAnsi="Arial" w:cs="Arial"/>
              </w:rPr>
            </w:pPr>
            <w:r w:rsidRPr="001005D4">
              <w:rPr>
                <w:rFonts w:ascii="Arial" w:hAnsi="Arial" w:cs="Arial"/>
              </w:rPr>
              <w:t>Transmission of HIV per act (female to male)</w:t>
            </w:r>
          </w:p>
        </w:tc>
        <w:tc>
          <w:tcPr>
            <w:tcW w:w="1417" w:type="dxa"/>
          </w:tcPr>
          <w:p w14:paraId="5AFCF14F" w14:textId="77777777" w:rsidR="007067DC" w:rsidRPr="001005D4" w:rsidRDefault="007067DC" w:rsidP="00650F2B">
            <w:pPr>
              <w:spacing w:after="0"/>
              <w:rPr>
                <w:rFonts w:ascii="Arial" w:hAnsi="Arial" w:cs="Arial"/>
              </w:rPr>
            </w:pPr>
            <w:r w:rsidRPr="001005D4">
              <w:rPr>
                <w:rFonts w:ascii="Arial" w:hAnsi="Arial" w:cs="Arial"/>
              </w:rPr>
              <w:t>0.0011</w:t>
            </w:r>
          </w:p>
        </w:tc>
        <w:tc>
          <w:tcPr>
            <w:tcW w:w="4163" w:type="dxa"/>
          </w:tcPr>
          <w:p w14:paraId="34C239DE" w14:textId="5F1D714C" w:rsidR="007067DC" w:rsidRPr="001005D4" w:rsidRDefault="007067DC" w:rsidP="00650F2B">
            <w:pPr>
              <w:spacing w:after="0"/>
              <w:rPr>
                <w:rFonts w:ascii="Arial" w:hAnsi="Arial" w:cs="Arial"/>
                <w:i/>
                <w:lang w:val="es-419"/>
              </w:rPr>
            </w:pPr>
            <w:r w:rsidRPr="001005D4">
              <w:rPr>
                <w:rFonts w:ascii="Arial" w:hAnsi="Arial" w:cs="Arial"/>
                <w:lang w:val="es-419"/>
              </w:rPr>
              <w:t xml:space="preserve">Baggeley </w:t>
            </w:r>
            <w:r w:rsidRPr="006E0321">
              <w:rPr>
                <w:rFonts w:ascii="Arial" w:hAnsi="Arial" w:cs="Arial"/>
                <w:lang w:val="es-419"/>
              </w:rPr>
              <w:t>et al</w:t>
            </w:r>
            <w:r w:rsidR="006E0321">
              <w:rPr>
                <w:rFonts w:ascii="Arial" w:hAnsi="Arial" w:cs="Arial"/>
                <w:lang w:val="es-419"/>
              </w:rPr>
              <w:t xml:space="preserve"> (2010)</w:t>
            </w:r>
          </w:p>
        </w:tc>
      </w:tr>
      <w:tr w:rsidR="007067DC" w:rsidRPr="001005D4" w14:paraId="11CE693D" w14:textId="77777777" w:rsidTr="003040CB">
        <w:tc>
          <w:tcPr>
            <w:tcW w:w="3888" w:type="dxa"/>
          </w:tcPr>
          <w:p w14:paraId="2A417B96" w14:textId="77777777" w:rsidR="007067DC" w:rsidRPr="001005D4" w:rsidRDefault="007067DC" w:rsidP="00650F2B">
            <w:pPr>
              <w:tabs>
                <w:tab w:val="left" w:pos="188"/>
              </w:tabs>
              <w:spacing w:after="0"/>
              <w:rPr>
                <w:rFonts w:ascii="Arial" w:hAnsi="Arial" w:cs="Arial"/>
              </w:rPr>
            </w:pPr>
            <w:r w:rsidRPr="001005D4">
              <w:rPr>
                <w:rFonts w:ascii="Arial" w:hAnsi="Arial" w:cs="Arial"/>
              </w:rPr>
              <w:t>Multiplier on transmission per act for</w:t>
            </w:r>
          </w:p>
          <w:p w14:paraId="2D2EE55D" w14:textId="77777777" w:rsidR="007067DC" w:rsidRPr="001005D4" w:rsidRDefault="007067DC" w:rsidP="00650F2B">
            <w:pPr>
              <w:pStyle w:val="ListParagraph"/>
              <w:numPr>
                <w:ilvl w:val="0"/>
                <w:numId w:val="26"/>
              </w:numPr>
              <w:tabs>
                <w:tab w:val="left" w:pos="188"/>
              </w:tabs>
              <w:spacing w:after="0"/>
              <w:rPr>
                <w:rFonts w:ascii="Arial" w:hAnsi="Arial" w:cs="Arial"/>
              </w:rPr>
            </w:pPr>
            <w:r w:rsidRPr="001005D4">
              <w:rPr>
                <w:rFonts w:ascii="Arial" w:hAnsi="Arial" w:cs="Arial"/>
              </w:rPr>
              <w:t>Male to female</w:t>
            </w:r>
          </w:p>
          <w:p w14:paraId="7B21D947" w14:textId="77777777" w:rsidR="007067DC" w:rsidRPr="001005D4" w:rsidRDefault="007067DC" w:rsidP="00650F2B">
            <w:pPr>
              <w:pStyle w:val="ListParagraph"/>
              <w:numPr>
                <w:ilvl w:val="0"/>
                <w:numId w:val="26"/>
              </w:numPr>
              <w:tabs>
                <w:tab w:val="left" w:pos="188"/>
              </w:tabs>
              <w:spacing w:after="0"/>
              <w:rPr>
                <w:rFonts w:ascii="Arial" w:hAnsi="Arial" w:cs="Arial"/>
              </w:rPr>
            </w:pPr>
            <w:r w:rsidRPr="001005D4">
              <w:rPr>
                <w:rFonts w:ascii="Arial" w:hAnsi="Arial" w:cs="Arial"/>
              </w:rPr>
              <w:t>Presence of STI</w:t>
            </w:r>
          </w:p>
          <w:p w14:paraId="5C997758" w14:textId="77777777" w:rsidR="007067DC" w:rsidRPr="001005D4" w:rsidRDefault="007067DC" w:rsidP="00650F2B">
            <w:pPr>
              <w:pStyle w:val="ListParagraph"/>
              <w:tabs>
                <w:tab w:val="left" w:pos="188"/>
              </w:tabs>
              <w:spacing w:after="0"/>
              <w:rPr>
                <w:rFonts w:ascii="Arial" w:hAnsi="Arial" w:cs="Arial"/>
              </w:rPr>
            </w:pPr>
          </w:p>
          <w:p w14:paraId="0684633C" w14:textId="77777777" w:rsidR="007067DC" w:rsidRPr="001005D4" w:rsidRDefault="007067DC" w:rsidP="00650F2B">
            <w:pPr>
              <w:pStyle w:val="ListParagraph"/>
              <w:numPr>
                <w:ilvl w:val="0"/>
                <w:numId w:val="26"/>
              </w:numPr>
              <w:tabs>
                <w:tab w:val="left" w:pos="188"/>
              </w:tabs>
              <w:spacing w:after="0"/>
              <w:rPr>
                <w:rFonts w:ascii="Arial" w:hAnsi="Arial" w:cs="Arial"/>
              </w:rPr>
            </w:pPr>
            <w:r w:rsidRPr="001005D4">
              <w:rPr>
                <w:rFonts w:ascii="Arial" w:hAnsi="Arial" w:cs="Arial"/>
              </w:rPr>
              <w:t>MSM contacts</w:t>
            </w:r>
          </w:p>
        </w:tc>
        <w:tc>
          <w:tcPr>
            <w:tcW w:w="1417" w:type="dxa"/>
          </w:tcPr>
          <w:p w14:paraId="1FDF965E" w14:textId="77777777" w:rsidR="007067DC" w:rsidRPr="001005D4" w:rsidRDefault="007067DC" w:rsidP="00650F2B">
            <w:pPr>
              <w:spacing w:after="0"/>
              <w:rPr>
                <w:rFonts w:ascii="Arial" w:hAnsi="Arial" w:cs="Arial"/>
              </w:rPr>
            </w:pPr>
          </w:p>
          <w:p w14:paraId="5F985602" w14:textId="77777777" w:rsidR="007067DC" w:rsidRPr="001005D4" w:rsidRDefault="007067DC" w:rsidP="00650F2B">
            <w:pPr>
              <w:spacing w:after="0"/>
              <w:rPr>
                <w:rFonts w:ascii="Arial" w:hAnsi="Arial" w:cs="Arial"/>
              </w:rPr>
            </w:pPr>
            <w:r w:rsidRPr="001005D4">
              <w:rPr>
                <w:rFonts w:ascii="Arial" w:hAnsi="Arial" w:cs="Arial"/>
              </w:rPr>
              <w:t>1.0</w:t>
            </w:r>
          </w:p>
          <w:p w14:paraId="72287DF7" w14:textId="77777777" w:rsidR="007067DC" w:rsidRPr="001005D4" w:rsidRDefault="007067DC" w:rsidP="00650F2B">
            <w:pPr>
              <w:spacing w:after="0"/>
              <w:rPr>
                <w:rFonts w:ascii="Arial" w:hAnsi="Arial" w:cs="Arial"/>
              </w:rPr>
            </w:pPr>
            <w:r w:rsidRPr="001005D4">
              <w:rPr>
                <w:rFonts w:ascii="Arial" w:hAnsi="Arial" w:cs="Arial"/>
              </w:rPr>
              <w:t>8</w:t>
            </w:r>
          </w:p>
          <w:p w14:paraId="16755482" w14:textId="77777777" w:rsidR="007067DC" w:rsidRPr="001005D4" w:rsidRDefault="007067DC" w:rsidP="00650F2B">
            <w:pPr>
              <w:spacing w:after="0"/>
              <w:rPr>
                <w:rFonts w:ascii="Arial" w:hAnsi="Arial" w:cs="Arial"/>
              </w:rPr>
            </w:pPr>
          </w:p>
          <w:p w14:paraId="2E37C8BC" w14:textId="77777777" w:rsidR="007067DC" w:rsidRPr="001005D4" w:rsidRDefault="007067DC" w:rsidP="00650F2B">
            <w:pPr>
              <w:spacing w:after="0"/>
              <w:rPr>
                <w:rFonts w:ascii="Arial" w:hAnsi="Arial" w:cs="Arial"/>
              </w:rPr>
            </w:pPr>
            <w:r w:rsidRPr="001005D4">
              <w:rPr>
                <w:rFonts w:ascii="Arial" w:hAnsi="Arial" w:cs="Arial"/>
              </w:rPr>
              <w:t>2.6</w:t>
            </w:r>
          </w:p>
        </w:tc>
        <w:tc>
          <w:tcPr>
            <w:tcW w:w="4163" w:type="dxa"/>
          </w:tcPr>
          <w:p w14:paraId="2D1C8F0B" w14:textId="77777777" w:rsidR="007067DC" w:rsidRPr="001005D4" w:rsidRDefault="007067DC" w:rsidP="00650F2B">
            <w:pPr>
              <w:spacing w:after="0"/>
              <w:rPr>
                <w:rFonts w:ascii="Arial" w:hAnsi="Arial" w:cs="Arial"/>
              </w:rPr>
            </w:pPr>
          </w:p>
          <w:p w14:paraId="3BA85C0F" w14:textId="77777777" w:rsidR="007067DC" w:rsidRPr="001005D4" w:rsidRDefault="007067DC" w:rsidP="00650F2B">
            <w:pPr>
              <w:spacing w:after="0"/>
              <w:rPr>
                <w:rFonts w:ascii="Arial" w:hAnsi="Arial" w:cs="Arial"/>
              </w:rPr>
            </w:pPr>
          </w:p>
          <w:p w14:paraId="44E074BB" w14:textId="30E6D201" w:rsidR="007067DC" w:rsidRPr="001005D4" w:rsidRDefault="007067DC" w:rsidP="00650F2B">
            <w:pPr>
              <w:spacing w:after="0"/>
              <w:rPr>
                <w:rFonts w:ascii="Arial" w:hAnsi="Arial" w:cs="Arial"/>
              </w:rPr>
            </w:pPr>
            <w:r w:rsidRPr="001005D4">
              <w:rPr>
                <w:rFonts w:ascii="Arial" w:hAnsi="Arial" w:cs="Arial"/>
              </w:rPr>
              <w:t xml:space="preserve">Galvin and </w:t>
            </w:r>
            <w:r w:rsidR="006E0321">
              <w:rPr>
                <w:rFonts w:ascii="Arial" w:hAnsi="Arial" w:cs="Arial"/>
              </w:rPr>
              <w:t>Cohen (2004)</w:t>
            </w:r>
            <w:r w:rsidRPr="001005D4">
              <w:rPr>
                <w:rFonts w:ascii="Arial" w:hAnsi="Arial" w:cs="Arial"/>
              </w:rPr>
              <w:t xml:space="preserve"> 2.2-11.3</w:t>
            </w:r>
          </w:p>
          <w:p w14:paraId="71EAF622" w14:textId="188EB74A" w:rsidR="007067DC" w:rsidRPr="001005D4" w:rsidRDefault="007067DC" w:rsidP="00650F2B">
            <w:pPr>
              <w:spacing w:after="0"/>
              <w:rPr>
                <w:rFonts w:ascii="Arial" w:hAnsi="Arial" w:cs="Arial"/>
              </w:rPr>
            </w:pPr>
            <w:r w:rsidRPr="001005D4">
              <w:rPr>
                <w:rFonts w:ascii="Arial" w:hAnsi="Arial" w:cs="Arial"/>
              </w:rPr>
              <w:t xml:space="preserve">Powers </w:t>
            </w:r>
            <w:r w:rsidR="006E0321">
              <w:rPr>
                <w:rFonts w:ascii="Arial" w:hAnsi="Arial" w:cs="Arial"/>
              </w:rPr>
              <w:t>et al (2008)</w:t>
            </w:r>
            <w:r w:rsidRPr="001005D4">
              <w:rPr>
                <w:rFonts w:ascii="Arial" w:hAnsi="Arial" w:cs="Arial"/>
                <w:i/>
              </w:rPr>
              <w:t xml:space="preserve">. </w:t>
            </w:r>
            <w:r w:rsidRPr="001005D4">
              <w:rPr>
                <w:rFonts w:ascii="Arial" w:hAnsi="Arial" w:cs="Arial"/>
              </w:rPr>
              <w:t>5.1-8.2</w:t>
            </w:r>
          </w:p>
          <w:p w14:paraId="5DF16C23" w14:textId="60F8E3AB" w:rsidR="007067DC" w:rsidRPr="006E0321" w:rsidRDefault="007067DC" w:rsidP="00650F2B">
            <w:pPr>
              <w:spacing w:after="0"/>
              <w:rPr>
                <w:rFonts w:ascii="Arial" w:hAnsi="Arial" w:cs="Arial"/>
              </w:rPr>
            </w:pPr>
            <w:r w:rsidRPr="001005D4">
              <w:rPr>
                <w:rFonts w:ascii="Arial" w:hAnsi="Arial" w:cs="Arial"/>
              </w:rPr>
              <w:t xml:space="preserve">Vittinghoff </w:t>
            </w:r>
            <w:r w:rsidR="006E0321">
              <w:rPr>
                <w:rFonts w:ascii="Arial" w:hAnsi="Arial" w:cs="Arial"/>
              </w:rPr>
              <w:t>et al (1999)</w:t>
            </w:r>
          </w:p>
        </w:tc>
      </w:tr>
      <w:tr w:rsidR="007067DC" w:rsidRPr="001005D4" w14:paraId="0079E3EF" w14:textId="77777777" w:rsidTr="003040CB">
        <w:tc>
          <w:tcPr>
            <w:tcW w:w="3888" w:type="dxa"/>
          </w:tcPr>
          <w:p w14:paraId="36A7F991" w14:textId="77777777" w:rsidR="007067DC" w:rsidRPr="001005D4" w:rsidRDefault="007067DC" w:rsidP="00650F2B">
            <w:pPr>
              <w:tabs>
                <w:tab w:val="left" w:pos="188"/>
              </w:tabs>
              <w:spacing w:after="0"/>
              <w:rPr>
                <w:rFonts w:ascii="Arial" w:hAnsi="Arial" w:cs="Arial"/>
              </w:rPr>
            </w:pPr>
            <w:r w:rsidRPr="001005D4">
              <w:rPr>
                <w:rFonts w:ascii="Arial" w:hAnsi="Arial" w:cs="Arial"/>
              </w:rPr>
              <w:t>Relative infectiousness by stage of infection</w:t>
            </w:r>
          </w:p>
          <w:p w14:paraId="651DF030"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Primary infection</w:t>
            </w:r>
          </w:p>
          <w:p w14:paraId="48944A56" w14:textId="77777777" w:rsidR="007067DC" w:rsidRPr="001005D4" w:rsidRDefault="007067DC" w:rsidP="00650F2B">
            <w:pPr>
              <w:pStyle w:val="ListParagraph"/>
              <w:tabs>
                <w:tab w:val="left" w:pos="188"/>
              </w:tabs>
              <w:spacing w:after="0"/>
              <w:rPr>
                <w:rFonts w:ascii="Arial" w:hAnsi="Arial" w:cs="Arial"/>
              </w:rPr>
            </w:pPr>
          </w:p>
          <w:p w14:paraId="7BF4AA78"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Asymptomatic</w:t>
            </w:r>
          </w:p>
          <w:p w14:paraId="743CA6A4"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Symptomatic</w:t>
            </w:r>
          </w:p>
          <w:p w14:paraId="55D1D4E4"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On ART</w:t>
            </w:r>
          </w:p>
        </w:tc>
        <w:tc>
          <w:tcPr>
            <w:tcW w:w="1417" w:type="dxa"/>
          </w:tcPr>
          <w:p w14:paraId="6DE11DA5" w14:textId="77777777" w:rsidR="007067DC" w:rsidRPr="001005D4" w:rsidRDefault="007067DC" w:rsidP="00650F2B">
            <w:pPr>
              <w:spacing w:after="0"/>
              <w:rPr>
                <w:rFonts w:ascii="Arial" w:hAnsi="Arial" w:cs="Arial"/>
              </w:rPr>
            </w:pPr>
          </w:p>
          <w:p w14:paraId="703B3594" w14:textId="77777777" w:rsidR="007067DC" w:rsidRPr="001005D4" w:rsidRDefault="007067DC" w:rsidP="00650F2B">
            <w:pPr>
              <w:spacing w:after="0"/>
              <w:rPr>
                <w:rFonts w:ascii="Arial" w:hAnsi="Arial" w:cs="Arial"/>
              </w:rPr>
            </w:pPr>
          </w:p>
          <w:p w14:paraId="2A836BAC" w14:textId="77777777" w:rsidR="007067DC" w:rsidRPr="001005D4" w:rsidRDefault="007067DC" w:rsidP="00650F2B">
            <w:pPr>
              <w:spacing w:after="0"/>
              <w:rPr>
                <w:rFonts w:ascii="Arial" w:hAnsi="Arial" w:cs="Arial"/>
              </w:rPr>
            </w:pPr>
            <w:r w:rsidRPr="001005D4">
              <w:rPr>
                <w:rFonts w:ascii="Arial" w:hAnsi="Arial" w:cs="Arial"/>
              </w:rPr>
              <w:t>9 –</w:t>
            </w:r>
          </w:p>
          <w:p w14:paraId="0EC67789" w14:textId="77777777" w:rsidR="007067DC" w:rsidRPr="001005D4" w:rsidRDefault="007067DC" w:rsidP="00650F2B">
            <w:pPr>
              <w:spacing w:after="0"/>
              <w:rPr>
                <w:rFonts w:ascii="Arial" w:hAnsi="Arial" w:cs="Arial"/>
              </w:rPr>
            </w:pPr>
            <w:r w:rsidRPr="001005D4">
              <w:rPr>
                <w:rFonts w:ascii="Arial" w:hAnsi="Arial" w:cs="Arial"/>
              </w:rPr>
              <w:t>40</w:t>
            </w:r>
          </w:p>
          <w:p w14:paraId="6EE47246" w14:textId="77777777" w:rsidR="007067DC" w:rsidRPr="001005D4" w:rsidRDefault="007067DC" w:rsidP="00650F2B">
            <w:pPr>
              <w:spacing w:after="0"/>
              <w:rPr>
                <w:rFonts w:ascii="Arial" w:hAnsi="Arial" w:cs="Arial"/>
              </w:rPr>
            </w:pPr>
            <w:r w:rsidRPr="001005D4">
              <w:rPr>
                <w:rFonts w:ascii="Arial" w:hAnsi="Arial" w:cs="Arial"/>
              </w:rPr>
              <w:t>1</w:t>
            </w:r>
          </w:p>
          <w:p w14:paraId="4D00C76A" w14:textId="77777777" w:rsidR="007067DC" w:rsidRPr="001005D4" w:rsidRDefault="007067DC" w:rsidP="00650F2B">
            <w:pPr>
              <w:spacing w:after="0"/>
              <w:rPr>
                <w:rFonts w:ascii="Arial" w:hAnsi="Arial" w:cs="Arial"/>
              </w:rPr>
            </w:pPr>
            <w:r w:rsidRPr="001005D4">
              <w:rPr>
                <w:rFonts w:ascii="Arial" w:hAnsi="Arial" w:cs="Arial"/>
              </w:rPr>
              <w:t>7</w:t>
            </w:r>
          </w:p>
          <w:p w14:paraId="31EEFB36" w14:textId="77777777" w:rsidR="007067DC" w:rsidRPr="001005D4" w:rsidRDefault="007067DC" w:rsidP="00650F2B">
            <w:pPr>
              <w:spacing w:after="0"/>
              <w:rPr>
                <w:rFonts w:ascii="Arial" w:hAnsi="Arial" w:cs="Arial"/>
              </w:rPr>
            </w:pPr>
            <w:r w:rsidRPr="001005D4">
              <w:rPr>
                <w:rFonts w:ascii="Arial" w:hAnsi="Arial" w:cs="Arial"/>
              </w:rPr>
              <w:t>0.04 – 0.08</w:t>
            </w:r>
          </w:p>
        </w:tc>
        <w:tc>
          <w:tcPr>
            <w:tcW w:w="4163" w:type="dxa"/>
          </w:tcPr>
          <w:p w14:paraId="382807F5" w14:textId="77777777" w:rsidR="007067DC" w:rsidRPr="001005D4" w:rsidRDefault="007067DC" w:rsidP="00650F2B">
            <w:pPr>
              <w:spacing w:after="0"/>
              <w:rPr>
                <w:rFonts w:ascii="Arial" w:hAnsi="Arial" w:cs="Arial"/>
              </w:rPr>
            </w:pPr>
          </w:p>
          <w:p w14:paraId="72C60476" w14:textId="77777777" w:rsidR="007067DC" w:rsidRPr="001005D4" w:rsidRDefault="007067DC" w:rsidP="00650F2B">
            <w:pPr>
              <w:spacing w:after="0"/>
              <w:rPr>
                <w:rFonts w:ascii="Arial" w:hAnsi="Arial" w:cs="Arial"/>
              </w:rPr>
            </w:pPr>
          </w:p>
          <w:p w14:paraId="31A6277E" w14:textId="3748B6C5" w:rsidR="007067DC" w:rsidRPr="001005D4" w:rsidRDefault="007067DC" w:rsidP="00650F2B">
            <w:pPr>
              <w:spacing w:after="0"/>
              <w:rPr>
                <w:rFonts w:ascii="Arial" w:hAnsi="Arial" w:cs="Arial"/>
              </w:rPr>
            </w:pPr>
            <w:r w:rsidRPr="001005D4">
              <w:rPr>
                <w:rFonts w:ascii="Arial" w:hAnsi="Arial" w:cs="Arial"/>
              </w:rPr>
              <w:t xml:space="preserve">Boily </w:t>
            </w:r>
            <w:r w:rsidR="006E0321">
              <w:rPr>
                <w:rFonts w:ascii="Arial" w:hAnsi="Arial" w:cs="Arial"/>
              </w:rPr>
              <w:t>et al (2009)</w:t>
            </w:r>
            <w:r w:rsidRPr="001005D4">
              <w:rPr>
                <w:rFonts w:ascii="Arial" w:hAnsi="Arial" w:cs="Arial"/>
                <w:i/>
              </w:rPr>
              <w:t xml:space="preserve"> </w:t>
            </w:r>
            <w:r w:rsidRPr="001005D4">
              <w:rPr>
                <w:rFonts w:ascii="Arial" w:hAnsi="Arial" w:cs="Arial"/>
              </w:rPr>
              <w:t>9.17 (4.47-18.81)</w:t>
            </w:r>
          </w:p>
          <w:p w14:paraId="4E45D3BB" w14:textId="05770070" w:rsidR="007067DC" w:rsidRPr="006E0321" w:rsidRDefault="007067DC" w:rsidP="00650F2B">
            <w:pPr>
              <w:spacing w:after="0"/>
              <w:rPr>
                <w:rFonts w:ascii="Arial" w:hAnsi="Arial" w:cs="Arial"/>
              </w:rPr>
            </w:pPr>
            <w:r w:rsidRPr="006E0321">
              <w:rPr>
                <w:rFonts w:ascii="Arial" w:hAnsi="Arial" w:cs="Arial"/>
              </w:rPr>
              <w:t>Pinkerton</w:t>
            </w:r>
            <w:r w:rsidR="006E0321" w:rsidRPr="006E0321">
              <w:rPr>
                <w:rFonts w:ascii="Arial" w:hAnsi="Arial" w:cs="Arial"/>
              </w:rPr>
              <w:t xml:space="preserve"> (2008)</w:t>
            </w:r>
          </w:p>
          <w:p w14:paraId="67D8874C" w14:textId="77777777" w:rsidR="007067DC" w:rsidRPr="001005D4" w:rsidRDefault="007067DC" w:rsidP="00650F2B">
            <w:pPr>
              <w:spacing w:after="0"/>
              <w:rPr>
                <w:rFonts w:ascii="Arial" w:hAnsi="Arial" w:cs="Arial"/>
              </w:rPr>
            </w:pPr>
            <w:r w:rsidRPr="001005D4">
              <w:rPr>
                <w:rFonts w:ascii="Arial" w:hAnsi="Arial" w:cs="Arial"/>
              </w:rPr>
              <w:t>Reference stage</w:t>
            </w:r>
          </w:p>
          <w:p w14:paraId="78CB4AB1" w14:textId="590958EB" w:rsidR="007067DC" w:rsidRPr="003E5B97" w:rsidRDefault="007067DC" w:rsidP="00650F2B">
            <w:pPr>
              <w:spacing w:after="0"/>
              <w:rPr>
                <w:rFonts w:ascii="Arial" w:hAnsi="Arial" w:cs="Arial"/>
                <w:i/>
                <w:lang w:val="fr-FR"/>
              </w:rPr>
            </w:pPr>
            <w:r w:rsidRPr="003E5B97">
              <w:rPr>
                <w:rFonts w:ascii="Arial" w:hAnsi="Arial" w:cs="Arial"/>
                <w:lang w:val="fr-FR"/>
              </w:rPr>
              <w:t xml:space="preserve">Boily </w:t>
            </w:r>
            <w:r w:rsidR="006E0321" w:rsidRPr="003E5B97">
              <w:rPr>
                <w:rFonts w:ascii="Arial" w:hAnsi="Arial" w:cs="Arial"/>
                <w:lang w:val="fr-FR"/>
              </w:rPr>
              <w:t>et al (2009)</w:t>
            </w:r>
            <w:r w:rsidRPr="003E5B97">
              <w:rPr>
                <w:rFonts w:ascii="Arial" w:hAnsi="Arial" w:cs="Arial"/>
                <w:i/>
                <w:lang w:val="fr-FR"/>
              </w:rPr>
              <w:t xml:space="preserve">. </w:t>
            </w:r>
            <w:r w:rsidRPr="003E5B97">
              <w:rPr>
                <w:rFonts w:ascii="Arial" w:hAnsi="Arial" w:cs="Arial"/>
                <w:lang w:val="fr-FR"/>
              </w:rPr>
              <w:t xml:space="preserve">7.27 (4.45-11.88) </w:t>
            </w:r>
          </w:p>
          <w:p w14:paraId="29FD7192" w14:textId="5119B9D8" w:rsidR="007067DC" w:rsidRPr="003E5B97" w:rsidRDefault="007067DC" w:rsidP="00650F2B">
            <w:pPr>
              <w:spacing w:after="0"/>
              <w:rPr>
                <w:rFonts w:ascii="Arial" w:hAnsi="Arial" w:cs="Arial"/>
                <w:lang w:val="fr-FR"/>
              </w:rPr>
            </w:pPr>
            <w:r w:rsidRPr="003E5B97">
              <w:rPr>
                <w:rFonts w:ascii="Arial" w:hAnsi="Arial" w:cs="Arial"/>
                <w:lang w:val="fr-FR"/>
              </w:rPr>
              <w:t xml:space="preserve">Cohen </w:t>
            </w:r>
            <w:r w:rsidR="006E0321" w:rsidRPr="003E5B97">
              <w:rPr>
                <w:rFonts w:ascii="Arial" w:hAnsi="Arial" w:cs="Arial"/>
                <w:lang w:val="fr-FR"/>
              </w:rPr>
              <w:t>et al (2011)</w:t>
            </w:r>
          </w:p>
          <w:p w14:paraId="7AFABEE2" w14:textId="70C16F8F" w:rsidR="007067DC" w:rsidRPr="006E0321" w:rsidRDefault="007067DC" w:rsidP="00650F2B">
            <w:pPr>
              <w:spacing w:after="0"/>
              <w:rPr>
                <w:rFonts w:ascii="Arial" w:hAnsi="Arial" w:cs="Arial"/>
              </w:rPr>
            </w:pPr>
            <w:r w:rsidRPr="001005D4">
              <w:rPr>
                <w:rFonts w:ascii="Arial" w:hAnsi="Arial" w:cs="Arial"/>
              </w:rPr>
              <w:t>Attia</w:t>
            </w:r>
            <w:r w:rsidR="006E0321">
              <w:rPr>
                <w:rFonts w:ascii="Arial" w:hAnsi="Arial" w:cs="Arial"/>
                <w:i/>
              </w:rPr>
              <w:t xml:space="preserve"> </w:t>
            </w:r>
            <w:r w:rsidR="006E0321">
              <w:rPr>
                <w:rFonts w:ascii="Arial" w:hAnsi="Arial" w:cs="Arial"/>
              </w:rPr>
              <w:t>et al (2009)</w:t>
            </w:r>
          </w:p>
        </w:tc>
      </w:tr>
      <w:tr w:rsidR="007067DC" w:rsidRPr="001005D4" w14:paraId="3152EB4C" w14:textId="77777777" w:rsidTr="003040CB">
        <w:tc>
          <w:tcPr>
            <w:tcW w:w="3888" w:type="dxa"/>
          </w:tcPr>
          <w:p w14:paraId="5F29F6CD" w14:textId="77777777" w:rsidR="007067DC" w:rsidRPr="001005D4" w:rsidRDefault="007067DC" w:rsidP="00650F2B">
            <w:pPr>
              <w:tabs>
                <w:tab w:val="left" w:pos="188"/>
              </w:tabs>
              <w:spacing w:after="0"/>
              <w:rPr>
                <w:rFonts w:ascii="Arial" w:hAnsi="Arial" w:cs="Arial"/>
              </w:rPr>
            </w:pPr>
            <w:r w:rsidRPr="001005D4">
              <w:rPr>
                <w:rFonts w:ascii="Arial" w:hAnsi="Arial" w:cs="Arial"/>
              </w:rPr>
              <w:t>Efficacy in reducing HIV transmission</w:t>
            </w:r>
          </w:p>
          <w:p w14:paraId="67EE1267"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Condom use</w:t>
            </w:r>
          </w:p>
          <w:p w14:paraId="3344EF5B"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Male circumcision</w:t>
            </w:r>
          </w:p>
          <w:p w14:paraId="769F4C26"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PrEP</w:t>
            </w:r>
          </w:p>
          <w:p w14:paraId="583942B1" w14:textId="77777777" w:rsidR="007067DC" w:rsidRPr="001005D4" w:rsidRDefault="007067DC" w:rsidP="00650F2B">
            <w:pPr>
              <w:pStyle w:val="ListParagraph"/>
              <w:tabs>
                <w:tab w:val="left" w:pos="188"/>
              </w:tabs>
              <w:spacing w:after="0"/>
              <w:rPr>
                <w:rFonts w:ascii="Arial" w:hAnsi="Arial" w:cs="Arial"/>
              </w:rPr>
            </w:pPr>
          </w:p>
          <w:p w14:paraId="27C067EE" w14:textId="77777777" w:rsidR="007067DC" w:rsidRPr="001005D4" w:rsidRDefault="007067DC" w:rsidP="00650F2B">
            <w:pPr>
              <w:pStyle w:val="ListParagraph"/>
              <w:numPr>
                <w:ilvl w:val="0"/>
                <w:numId w:val="25"/>
              </w:numPr>
              <w:tabs>
                <w:tab w:val="left" w:pos="188"/>
              </w:tabs>
              <w:spacing w:after="0"/>
              <w:rPr>
                <w:rFonts w:ascii="Arial" w:hAnsi="Arial" w:cs="Arial"/>
              </w:rPr>
            </w:pPr>
            <w:r w:rsidRPr="001005D4">
              <w:rPr>
                <w:rFonts w:ascii="Arial" w:hAnsi="Arial" w:cs="Arial"/>
              </w:rPr>
              <w:t>Microbicide</w:t>
            </w:r>
          </w:p>
        </w:tc>
        <w:tc>
          <w:tcPr>
            <w:tcW w:w="1417" w:type="dxa"/>
          </w:tcPr>
          <w:p w14:paraId="1B5FD0F5" w14:textId="77777777" w:rsidR="007067DC" w:rsidRPr="001005D4" w:rsidRDefault="007067DC" w:rsidP="00650F2B">
            <w:pPr>
              <w:spacing w:after="0"/>
              <w:rPr>
                <w:rFonts w:ascii="Arial" w:hAnsi="Arial" w:cs="Arial"/>
              </w:rPr>
            </w:pPr>
          </w:p>
          <w:p w14:paraId="45E00305" w14:textId="77777777" w:rsidR="007067DC" w:rsidRPr="001005D4" w:rsidRDefault="007067DC" w:rsidP="00650F2B">
            <w:pPr>
              <w:spacing w:after="0"/>
              <w:rPr>
                <w:rFonts w:ascii="Arial" w:hAnsi="Arial" w:cs="Arial"/>
              </w:rPr>
            </w:pPr>
            <w:r w:rsidRPr="001005D4">
              <w:rPr>
                <w:rFonts w:ascii="Arial" w:hAnsi="Arial" w:cs="Arial"/>
              </w:rPr>
              <w:t>0.8</w:t>
            </w:r>
          </w:p>
          <w:p w14:paraId="3DE0C39D" w14:textId="77777777" w:rsidR="007067DC" w:rsidRPr="001005D4" w:rsidRDefault="007067DC" w:rsidP="00650F2B">
            <w:pPr>
              <w:spacing w:after="0"/>
              <w:rPr>
                <w:rFonts w:ascii="Arial" w:hAnsi="Arial" w:cs="Arial"/>
              </w:rPr>
            </w:pPr>
            <w:r w:rsidRPr="001005D4">
              <w:rPr>
                <w:rFonts w:ascii="Arial" w:hAnsi="Arial" w:cs="Arial"/>
              </w:rPr>
              <w:t>0.6</w:t>
            </w:r>
          </w:p>
          <w:p w14:paraId="72BD2DFB" w14:textId="77777777" w:rsidR="007067DC" w:rsidRPr="001005D4" w:rsidRDefault="007067DC" w:rsidP="00650F2B">
            <w:pPr>
              <w:spacing w:after="0"/>
              <w:rPr>
                <w:rFonts w:ascii="Arial" w:hAnsi="Arial" w:cs="Arial"/>
              </w:rPr>
            </w:pPr>
            <w:r w:rsidRPr="001005D4">
              <w:rPr>
                <w:rFonts w:ascii="Arial" w:hAnsi="Arial" w:cs="Arial"/>
              </w:rPr>
              <w:t>0.55 – 0.73</w:t>
            </w:r>
          </w:p>
          <w:p w14:paraId="5E99EF1E" w14:textId="77777777" w:rsidR="007067DC" w:rsidRPr="001005D4" w:rsidRDefault="007067DC" w:rsidP="00650F2B">
            <w:pPr>
              <w:spacing w:after="0"/>
              <w:rPr>
                <w:rFonts w:ascii="Arial" w:hAnsi="Arial" w:cs="Arial"/>
              </w:rPr>
            </w:pPr>
            <w:r w:rsidRPr="001005D4">
              <w:rPr>
                <w:rFonts w:ascii="Arial" w:hAnsi="Arial" w:cs="Arial"/>
              </w:rPr>
              <w:t>0.6</w:t>
            </w:r>
          </w:p>
        </w:tc>
        <w:tc>
          <w:tcPr>
            <w:tcW w:w="4163" w:type="dxa"/>
          </w:tcPr>
          <w:p w14:paraId="52773255" w14:textId="77777777" w:rsidR="007067DC" w:rsidRPr="001005D4" w:rsidRDefault="007067DC" w:rsidP="00650F2B">
            <w:pPr>
              <w:spacing w:after="0"/>
              <w:rPr>
                <w:rFonts w:ascii="Arial" w:hAnsi="Arial" w:cs="Arial"/>
              </w:rPr>
            </w:pPr>
          </w:p>
          <w:p w14:paraId="41D2B7F4" w14:textId="7B9009D6" w:rsidR="007067DC" w:rsidRPr="001005D4" w:rsidRDefault="007067DC" w:rsidP="00650F2B">
            <w:pPr>
              <w:spacing w:after="0"/>
              <w:rPr>
                <w:rFonts w:ascii="Arial" w:hAnsi="Arial" w:cs="Arial"/>
              </w:rPr>
            </w:pPr>
            <w:r w:rsidRPr="001005D4">
              <w:rPr>
                <w:rFonts w:ascii="Arial" w:hAnsi="Arial" w:cs="Arial"/>
              </w:rPr>
              <w:t>Weller and Davis</w:t>
            </w:r>
            <w:r w:rsidR="006E0321">
              <w:t xml:space="preserve"> </w:t>
            </w:r>
            <w:r w:rsidR="006E0321" w:rsidRPr="006E0321">
              <w:rPr>
                <w:rFonts w:ascii="Arial" w:hAnsi="Arial" w:cs="Arial"/>
              </w:rPr>
              <w:t>(2004)</w:t>
            </w:r>
          </w:p>
          <w:p w14:paraId="4BE7D3A5" w14:textId="01EB537A" w:rsidR="007067DC" w:rsidRPr="001005D4" w:rsidRDefault="007067DC" w:rsidP="00650F2B">
            <w:pPr>
              <w:spacing w:after="0"/>
              <w:rPr>
                <w:rFonts w:ascii="Arial" w:hAnsi="Arial" w:cs="Arial"/>
                <w:lang w:val="fr-FR"/>
              </w:rPr>
            </w:pPr>
            <w:r w:rsidRPr="001005D4">
              <w:rPr>
                <w:rFonts w:ascii="Arial" w:hAnsi="Arial" w:cs="Arial"/>
                <w:lang w:val="fr-FR"/>
              </w:rPr>
              <w:t xml:space="preserve">Auvert </w:t>
            </w:r>
            <w:r w:rsidRPr="006E0321">
              <w:rPr>
                <w:rFonts w:ascii="Arial" w:hAnsi="Arial" w:cs="Arial"/>
                <w:lang w:val="fr-FR"/>
              </w:rPr>
              <w:t>et a</w:t>
            </w:r>
            <w:r w:rsidR="006E0321">
              <w:rPr>
                <w:rFonts w:ascii="Arial" w:hAnsi="Arial" w:cs="Arial"/>
                <w:lang w:val="fr-FR"/>
              </w:rPr>
              <w:t>l (2005)</w:t>
            </w:r>
            <w:r w:rsidRPr="001005D4">
              <w:rPr>
                <w:rFonts w:ascii="Arial" w:hAnsi="Arial" w:cs="Arial"/>
                <w:lang w:val="fr-FR"/>
              </w:rPr>
              <w:t xml:space="preserve">, Gray </w:t>
            </w:r>
            <w:r w:rsidRPr="006E0321">
              <w:rPr>
                <w:rFonts w:ascii="Arial" w:hAnsi="Arial" w:cs="Arial"/>
                <w:lang w:val="fr-FR"/>
              </w:rPr>
              <w:t>et a</w:t>
            </w:r>
            <w:r w:rsidR="006E0321">
              <w:rPr>
                <w:rFonts w:ascii="Arial" w:hAnsi="Arial" w:cs="Arial"/>
                <w:lang w:val="fr-FR"/>
              </w:rPr>
              <w:t>l</w:t>
            </w:r>
            <w:r w:rsidRPr="001005D4">
              <w:rPr>
                <w:rFonts w:ascii="Arial" w:hAnsi="Arial" w:cs="Arial"/>
                <w:lang w:val="fr-FR"/>
              </w:rPr>
              <w:t xml:space="preserve"> (200</w:t>
            </w:r>
            <w:r w:rsidR="005A6258">
              <w:rPr>
                <w:rFonts w:ascii="Arial" w:hAnsi="Arial" w:cs="Arial"/>
                <w:lang w:val="fr-FR"/>
              </w:rPr>
              <w:t>0</w:t>
            </w:r>
            <w:r w:rsidRPr="001005D4">
              <w:rPr>
                <w:rFonts w:ascii="Arial" w:hAnsi="Arial" w:cs="Arial"/>
                <w:lang w:val="fr-FR"/>
              </w:rPr>
              <w:t xml:space="preserve">), Bailey </w:t>
            </w:r>
            <w:r w:rsidRPr="006E0321">
              <w:rPr>
                <w:rFonts w:ascii="Arial" w:hAnsi="Arial" w:cs="Arial"/>
                <w:lang w:val="fr-FR"/>
              </w:rPr>
              <w:t>et al</w:t>
            </w:r>
            <w:r w:rsidR="006E0321">
              <w:rPr>
                <w:rFonts w:ascii="Arial" w:hAnsi="Arial" w:cs="Arial"/>
                <w:lang w:val="fr-FR"/>
              </w:rPr>
              <w:t xml:space="preserve"> (2007)</w:t>
            </w:r>
          </w:p>
          <w:p w14:paraId="17AF5023" w14:textId="7BED5016" w:rsidR="007067DC" w:rsidRPr="006E0321" w:rsidRDefault="007067DC" w:rsidP="00650F2B">
            <w:pPr>
              <w:spacing w:after="0"/>
              <w:rPr>
                <w:rFonts w:ascii="Arial" w:hAnsi="Arial" w:cs="Arial"/>
              </w:rPr>
            </w:pPr>
            <w:r w:rsidRPr="006E0321">
              <w:rPr>
                <w:rFonts w:ascii="Arial" w:hAnsi="Arial" w:cs="Arial"/>
              </w:rPr>
              <w:t xml:space="preserve">Grant </w:t>
            </w:r>
            <w:r w:rsidR="006E0321" w:rsidRPr="006E0321">
              <w:rPr>
                <w:rFonts w:ascii="Arial" w:hAnsi="Arial" w:cs="Arial"/>
              </w:rPr>
              <w:t>et</w:t>
            </w:r>
            <w:r w:rsidR="006E0321">
              <w:rPr>
                <w:rFonts w:ascii="Arial" w:hAnsi="Arial" w:cs="Arial"/>
              </w:rPr>
              <w:t xml:space="preserve"> al (2010)</w:t>
            </w:r>
          </w:p>
          <w:p w14:paraId="3BA21779" w14:textId="77777777" w:rsidR="007067DC" w:rsidRPr="001005D4" w:rsidRDefault="007067DC" w:rsidP="00650F2B">
            <w:pPr>
              <w:spacing w:after="0"/>
              <w:rPr>
                <w:rFonts w:ascii="Arial" w:hAnsi="Arial" w:cs="Arial"/>
              </w:rPr>
            </w:pPr>
            <w:r w:rsidRPr="001005D4">
              <w:rPr>
                <w:rFonts w:ascii="Arial" w:hAnsi="Arial" w:cs="Arial"/>
              </w:rPr>
              <w:t>Partners PrEP Study</w:t>
            </w:r>
          </w:p>
          <w:p w14:paraId="546B3EBE" w14:textId="01733B96" w:rsidR="007067DC" w:rsidRPr="001005D4" w:rsidRDefault="006E0321" w:rsidP="00650F2B">
            <w:pPr>
              <w:spacing w:after="0"/>
              <w:rPr>
                <w:rFonts w:ascii="Arial" w:hAnsi="Arial" w:cs="Arial"/>
                <w:i/>
              </w:rPr>
            </w:pPr>
            <w:r>
              <w:rPr>
                <w:rFonts w:ascii="Arial" w:hAnsi="Arial" w:cs="Arial"/>
              </w:rPr>
              <w:t>Karim et al (2010)</w:t>
            </w:r>
            <w:r w:rsidR="007067DC" w:rsidRPr="001005D4">
              <w:rPr>
                <w:rFonts w:ascii="Arial" w:hAnsi="Arial" w:cs="Arial"/>
                <w:i/>
              </w:rPr>
              <w:t xml:space="preserve"> </w:t>
            </w:r>
          </w:p>
        </w:tc>
      </w:tr>
    </w:tbl>
    <w:p w14:paraId="5E5FADDE" w14:textId="179E12D7" w:rsidR="001951AB" w:rsidRDefault="001951AB" w:rsidP="007067DC">
      <w:pPr>
        <w:rPr>
          <w:b/>
        </w:rPr>
      </w:pPr>
    </w:p>
    <w:p w14:paraId="5BBF85EB" w14:textId="582C8798" w:rsidR="00185F66" w:rsidRDefault="003040CB" w:rsidP="007067DC">
      <w:pPr>
        <w:rPr>
          <w:rFonts w:ascii="Arial" w:hAnsi="Arial" w:cs="Arial"/>
        </w:rPr>
      </w:pPr>
      <w:r>
        <w:rPr>
          <w:rFonts w:ascii="Arial" w:hAnsi="Arial" w:cs="Arial"/>
        </w:rPr>
        <w:t>The following figures show</w:t>
      </w:r>
      <w:r w:rsidR="00185F66">
        <w:rPr>
          <w:rFonts w:ascii="Arial" w:hAnsi="Arial" w:cs="Arial"/>
        </w:rPr>
        <w:t xml:space="preserve"> </w:t>
      </w:r>
      <w:r>
        <w:rPr>
          <w:rFonts w:ascii="Arial" w:hAnsi="Arial" w:cs="Arial"/>
        </w:rPr>
        <w:t>how the</w:t>
      </w:r>
      <w:r w:rsidR="00185F66">
        <w:rPr>
          <w:rFonts w:ascii="Arial" w:hAnsi="Arial" w:cs="Arial"/>
        </w:rPr>
        <w:t xml:space="preserve"> </w:t>
      </w:r>
      <w:r w:rsidR="001951AB" w:rsidRPr="001005D4">
        <w:rPr>
          <w:rFonts w:ascii="Arial" w:hAnsi="Arial" w:cs="Arial"/>
        </w:rPr>
        <w:t>Goals</w:t>
      </w:r>
      <w:r w:rsidR="00185F66">
        <w:rPr>
          <w:rFonts w:ascii="Arial" w:hAnsi="Arial" w:cs="Arial"/>
        </w:rPr>
        <w:t xml:space="preserve"> model </w:t>
      </w:r>
      <w:r>
        <w:rPr>
          <w:rFonts w:ascii="Arial" w:hAnsi="Arial" w:cs="Arial"/>
        </w:rPr>
        <w:t>was calibrated to Tanzania local data</w:t>
      </w:r>
      <w:r w:rsidR="00185F66">
        <w:rPr>
          <w:rFonts w:ascii="Arial" w:hAnsi="Arial" w:cs="Arial"/>
        </w:rPr>
        <w:t>.</w:t>
      </w:r>
    </w:p>
    <w:p w14:paraId="47AA22E7" w14:textId="77777777" w:rsidR="00185F66" w:rsidRDefault="00185F66" w:rsidP="007067DC">
      <w:pPr>
        <w:rPr>
          <w:rFonts w:ascii="Arial" w:hAnsi="Arial" w:cs="Arial"/>
        </w:rPr>
      </w:pPr>
    </w:p>
    <w:p w14:paraId="264578E1" w14:textId="7FB05C2C" w:rsidR="001951AB" w:rsidRPr="003040CB" w:rsidRDefault="003040CB" w:rsidP="003040CB">
      <w:pPr>
        <w:rPr>
          <w:rFonts w:ascii="Arial" w:hAnsi="Arial" w:cs="Arial"/>
          <w:i/>
          <w:sz w:val="18"/>
        </w:rPr>
      </w:pPr>
      <w:r w:rsidRPr="003040CB">
        <w:rPr>
          <w:rFonts w:ascii="Arial" w:hAnsi="Arial" w:cs="Arial"/>
          <w:i/>
          <w:sz w:val="18"/>
        </w:rPr>
        <w:t xml:space="preserve">Figure 4A-5. </w:t>
      </w:r>
      <w:r w:rsidR="00185F66" w:rsidRPr="003040CB">
        <w:rPr>
          <w:rFonts w:ascii="Arial" w:hAnsi="Arial" w:cs="Arial"/>
          <w:i/>
          <w:sz w:val="18"/>
        </w:rPr>
        <w:t xml:space="preserve">The Goals </w:t>
      </w:r>
      <w:r w:rsidR="001951AB" w:rsidRPr="003040CB">
        <w:rPr>
          <w:rFonts w:ascii="Arial" w:hAnsi="Arial" w:cs="Arial"/>
          <w:i/>
          <w:sz w:val="18"/>
        </w:rPr>
        <w:t>model fit to survey prevalence</w:t>
      </w:r>
      <w:r w:rsidRPr="003040CB">
        <w:rPr>
          <w:rFonts w:ascii="Arial" w:hAnsi="Arial" w:cs="Arial"/>
          <w:i/>
          <w:sz w:val="18"/>
        </w:rPr>
        <w:t>, 15-49, males and females</w:t>
      </w:r>
    </w:p>
    <w:p w14:paraId="642F7DE5" w14:textId="6A436461" w:rsidR="001951AB" w:rsidRDefault="001951AB" w:rsidP="007067DC">
      <w:pPr>
        <w:rPr>
          <w:b/>
        </w:rPr>
      </w:pPr>
      <w:r w:rsidRPr="001005D4">
        <w:rPr>
          <w:rFonts w:ascii="Arial" w:hAnsi="Arial" w:cs="Arial"/>
          <w:b/>
          <w:noProof/>
        </w:rPr>
        <w:drawing>
          <wp:inline distT="0" distB="0" distL="0" distR="0" wp14:anchorId="366EDE57" wp14:editId="0D710D59">
            <wp:extent cx="4770120" cy="2866659"/>
            <wp:effectExtent l="0" t="0" r="0" b="0"/>
            <wp:docPr id="28" name="Picture 3">
              <a:extLst xmlns:a="http://schemas.openxmlformats.org/drawingml/2006/main">
                <a:ext uri="{FF2B5EF4-FFF2-40B4-BE49-F238E27FC236}">
                  <a16:creationId xmlns:a16="http://schemas.microsoft.com/office/drawing/2014/main" id="{3256FBF2-0F4E-4309-B14F-2AED8E043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56FBF2-0F4E-4309-B14F-2AED8E04390A}"/>
                        </a:ext>
                      </a:extLst>
                    </pic:cNvPr>
                    <pic:cNvPicPr>
                      <a:picLocks noChangeAspect="1"/>
                    </pic:cNvPicPr>
                  </pic:nvPicPr>
                  <pic:blipFill>
                    <a:blip r:embed="rId65"/>
                    <a:stretch>
                      <a:fillRect/>
                    </a:stretch>
                  </pic:blipFill>
                  <pic:spPr>
                    <a:xfrm>
                      <a:off x="0" y="0"/>
                      <a:ext cx="4771370" cy="2867410"/>
                    </a:xfrm>
                    <a:prstGeom prst="rect">
                      <a:avLst/>
                    </a:prstGeom>
                  </pic:spPr>
                </pic:pic>
              </a:graphicData>
            </a:graphic>
          </wp:inline>
        </w:drawing>
      </w:r>
    </w:p>
    <w:p w14:paraId="0CD92C96" w14:textId="4D221F7E" w:rsidR="001951AB" w:rsidRPr="003040CB" w:rsidRDefault="003040CB" w:rsidP="007067DC">
      <w:pPr>
        <w:rPr>
          <w:rFonts w:ascii="Arial" w:hAnsi="Arial" w:cs="Arial"/>
          <w:i/>
          <w:sz w:val="16"/>
        </w:rPr>
      </w:pPr>
      <w:r w:rsidRPr="003040CB">
        <w:rPr>
          <w:rFonts w:ascii="Arial" w:hAnsi="Arial" w:cs="Arial"/>
          <w:i/>
          <w:sz w:val="18"/>
        </w:rPr>
        <w:t>Figure 4A-</w:t>
      </w:r>
      <w:r>
        <w:rPr>
          <w:rFonts w:ascii="Arial" w:hAnsi="Arial" w:cs="Arial"/>
          <w:i/>
          <w:sz w:val="18"/>
        </w:rPr>
        <w:t>6</w:t>
      </w:r>
      <w:r w:rsidRPr="003040CB">
        <w:rPr>
          <w:rFonts w:ascii="Arial" w:hAnsi="Arial" w:cs="Arial"/>
          <w:i/>
          <w:sz w:val="18"/>
        </w:rPr>
        <w:t xml:space="preserve">. The </w:t>
      </w:r>
      <w:r w:rsidR="001951AB" w:rsidRPr="003040CB">
        <w:rPr>
          <w:rFonts w:ascii="Arial" w:hAnsi="Arial" w:cs="Arial"/>
          <w:i/>
          <w:sz w:val="18"/>
        </w:rPr>
        <w:t>Goals model fit to survey prevalence by age and sex</w:t>
      </w:r>
      <w:r>
        <w:rPr>
          <w:rFonts w:ascii="Arial" w:hAnsi="Arial" w:cs="Arial"/>
          <w:i/>
          <w:sz w:val="18"/>
        </w:rPr>
        <w:t>, males</w:t>
      </w:r>
    </w:p>
    <w:p w14:paraId="6F5F03FF" w14:textId="5D58DB68" w:rsidR="001951AB" w:rsidRDefault="001951AB" w:rsidP="007067DC">
      <w:r w:rsidRPr="001951AB">
        <w:rPr>
          <w:noProof/>
        </w:rPr>
        <w:drawing>
          <wp:inline distT="0" distB="0" distL="0" distR="0" wp14:anchorId="1B992A55" wp14:editId="194FF4D5">
            <wp:extent cx="4387850" cy="3787125"/>
            <wp:effectExtent l="0" t="0" r="0" b="4445"/>
            <wp:docPr id="29" name="Picture 2">
              <a:extLst xmlns:a="http://schemas.openxmlformats.org/drawingml/2006/main">
                <a:ext uri="{FF2B5EF4-FFF2-40B4-BE49-F238E27FC236}">
                  <a16:creationId xmlns:a16="http://schemas.microsoft.com/office/drawing/2014/main" id="{D88EE359-EB70-46A8-A93F-828C3A7B2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88EE359-EB70-46A8-A93F-828C3A7B28D9}"/>
                        </a:ext>
                      </a:extLst>
                    </pic:cNvPr>
                    <pic:cNvPicPr>
                      <a:picLocks noChangeAspect="1"/>
                    </pic:cNvPicPr>
                  </pic:nvPicPr>
                  <pic:blipFill>
                    <a:blip r:embed="rId66"/>
                    <a:stretch>
                      <a:fillRect/>
                    </a:stretch>
                  </pic:blipFill>
                  <pic:spPr>
                    <a:xfrm>
                      <a:off x="0" y="0"/>
                      <a:ext cx="4393038" cy="3791603"/>
                    </a:xfrm>
                    <a:prstGeom prst="rect">
                      <a:avLst/>
                    </a:prstGeom>
                  </pic:spPr>
                </pic:pic>
              </a:graphicData>
            </a:graphic>
          </wp:inline>
        </w:drawing>
      </w:r>
    </w:p>
    <w:p w14:paraId="0EFD88FC" w14:textId="5C1F5158" w:rsidR="003040CB" w:rsidRPr="003040CB" w:rsidRDefault="003040CB" w:rsidP="003040CB">
      <w:pPr>
        <w:rPr>
          <w:rFonts w:ascii="Arial" w:hAnsi="Arial" w:cs="Arial"/>
          <w:i/>
          <w:sz w:val="16"/>
        </w:rPr>
      </w:pPr>
      <w:r w:rsidRPr="003040CB">
        <w:rPr>
          <w:rFonts w:ascii="Arial" w:hAnsi="Arial" w:cs="Arial"/>
          <w:i/>
          <w:sz w:val="18"/>
        </w:rPr>
        <w:t>Figure 4A-</w:t>
      </w:r>
      <w:r>
        <w:rPr>
          <w:rFonts w:ascii="Arial" w:hAnsi="Arial" w:cs="Arial"/>
          <w:i/>
          <w:sz w:val="18"/>
        </w:rPr>
        <w:t>7</w:t>
      </w:r>
      <w:r w:rsidRPr="003040CB">
        <w:rPr>
          <w:rFonts w:ascii="Arial" w:hAnsi="Arial" w:cs="Arial"/>
          <w:i/>
          <w:sz w:val="18"/>
        </w:rPr>
        <w:t>. The Goals model fit to survey prevalence by age and sex</w:t>
      </w:r>
      <w:r>
        <w:rPr>
          <w:rFonts w:ascii="Arial" w:hAnsi="Arial" w:cs="Arial"/>
          <w:i/>
          <w:sz w:val="18"/>
        </w:rPr>
        <w:t>, females</w:t>
      </w:r>
    </w:p>
    <w:p w14:paraId="34E61DCB" w14:textId="40CD750B" w:rsidR="001951AB" w:rsidRDefault="001951AB" w:rsidP="007067DC"/>
    <w:p w14:paraId="2510101F" w14:textId="5FED3CEB" w:rsidR="001951AB" w:rsidRPr="001951AB" w:rsidRDefault="001951AB" w:rsidP="007067DC">
      <w:r w:rsidRPr="001951AB">
        <w:rPr>
          <w:noProof/>
        </w:rPr>
        <w:drawing>
          <wp:inline distT="0" distB="0" distL="0" distR="0" wp14:anchorId="2B46F3EA" wp14:editId="42DF0858">
            <wp:extent cx="4330700" cy="3720770"/>
            <wp:effectExtent l="0" t="0" r="0" b="0"/>
            <wp:docPr id="30" name="Picture 3">
              <a:extLst xmlns:a="http://schemas.openxmlformats.org/drawingml/2006/main">
                <a:ext uri="{FF2B5EF4-FFF2-40B4-BE49-F238E27FC236}">
                  <a16:creationId xmlns:a16="http://schemas.microsoft.com/office/drawing/2014/main" id="{449A9BF0-BDCB-4AF4-B94B-8FA7A6F4C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49A9BF0-BDCB-4AF4-B94B-8FA7A6F4C5C1}"/>
                        </a:ext>
                      </a:extLst>
                    </pic:cNvPr>
                    <pic:cNvPicPr>
                      <a:picLocks noChangeAspect="1"/>
                    </pic:cNvPicPr>
                  </pic:nvPicPr>
                  <pic:blipFill>
                    <a:blip r:embed="rId67"/>
                    <a:stretch>
                      <a:fillRect/>
                    </a:stretch>
                  </pic:blipFill>
                  <pic:spPr>
                    <a:xfrm>
                      <a:off x="0" y="0"/>
                      <a:ext cx="4333580" cy="3723244"/>
                    </a:xfrm>
                    <a:prstGeom prst="rect">
                      <a:avLst/>
                    </a:prstGeom>
                  </pic:spPr>
                </pic:pic>
              </a:graphicData>
            </a:graphic>
          </wp:inline>
        </w:drawing>
      </w:r>
    </w:p>
    <w:p w14:paraId="37FB7021" w14:textId="77777777" w:rsidR="001951AB" w:rsidRDefault="001951AB" w:rsidP="007067DC">
      <w:pPr>
        <w:rPr>
          <w:b/>
        </w:rPr>
      </w:pPr>
    </w:p>
    <w:p w14:paraId="3884A0D9" w14:textId="7304EFFA" w:rsidR="001951AB" w:rsidRPr="003040CB" w:rsidRDefault="003040CB" w:rsidP="00F07840">
      <w:pPr>
        <w:rPr>
          <w:rFonts w:ascii="Arial" w:hAnsi="Arial" w:cs="Arial"/>
          <w:i/>
          <w:sz w:val="16"/>
        </w:rPr>
      </w:pPr>
      <w:r w:rsidRPr="003040CB">
        <w:rPr>
          <w:rFonts w:ascii="Arial" w:hAnsi="Arial" w:cs="Arial"/>
          <w:i/>
          <w:sz w:val="18"/>
        </w:rPr>
        <w:t>Figure 4A-</w:t>
      </w:r>
      <w:r>
        <w:rPr>
          <w:rFonts w:ascii="Arial" w:hAnsi="Arial" w:cs="Arial"/>
          <w:i/>
          <w:sz w:val="18"/>
        </w:rPr>
        <w:t>8</w:t>
      </w:r>
      <w:r w:rsidRPr="003040CB">
        <w:rPr>
          <w:rFonts w:ascii="Arial" w:hAnsi="Arial" w:cs="Arial"/>
          <w:i/>
          <w:sz w:val="18"/>
        </w:rPr>
        <w:t xml:space="preserve">. The </w:t>
      </w:r>
      <w:r w:rsidR="001951AB" w:rsidRPr="003040CB">
        <w:rPr>
          <w:rFonts w:ascii="Arial" w:hAnsi="Arial" w:cs="Arial"/>
          <w:i/>
          <w:sz w:val="18"/>
        </w:rPr>
        <w:t>Goals model fit to survey incidence</w:t>
      </w:r>
    </w:p>
    <w:p w14:paraId="003E3701" w14:textId="6DD0DFB3" w:rsidR="001951AB" w:rsidRDefault="001951AB" w:rsidP="007067DC"/>
    <w:p w14:paraId="0122DB08" w14:textId="73723D1C" w:rsidR="001951AB" w:rsidRPr="001951AB" w:rsidRDefault="001951AB" w:rsidP="007067DC">
      <w:r w:rsidRPr="001951AB">
        <w:rPr>
          <w:noProof/>
        </w:rPr>
        <w:drawing>
          <wp:inline distT="0" distB="0" distL="0" distR="0" wp14:anchorId="009F4713" wp14:editId="27398B89">
            <wp:extent cx="4292600" cy="2580145"/>
            <wp:effectExtent l="0" t="0" r="0" b="0"/>
            <wp:docPr id="31" name="Picture 2">
              <a:extLst xmlns:a="http://schemas.openxmlformats.org/drawingml/2006/main">
                <a:ext uri="{FF2B5EF4-FFF2-40B4-BE49-F238E27FC236}">
                  <a16:creationId xmlns:a16="http://schemas.microsoft.com/office/drawing/2014/main" id="{C277E402-0FA7-451C-9BB2-BC32C846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277E402-0FA7-451C-9BB2-BC32C846BBCE}"/>
                        </a:ext>
                      </a:extLst>
                    </pic:cNvPr>
                    <pic:cNvPicPr>
                      <a:picLocks noChangeAspect="1"/>
                    </pic:cNvPicPr>
                  </pic:nvPicPr>
                  <pic:blipFill>
                    <a:blip r:embed="rId68"/>
                    <a:stretch>
                      <a:fillRect/>
                    </a:stretch>
                  </pic:blipFill>
                  <pic:spPr>
                    <a:xfrm>
                      <a:off x="0" y="0"/>
                      <a:ext cx="4299095" cy="2584049"/>
                    </a:xfrm>
                    <a:prstGeom prst="rect">
                      <a:avLst/>
                    </a:prstGeom>
                  </pic:spPr>
                </pic:pic>
              </a:graphicData>
            </a:graphic>
          </wp:inline>
        </w:drawing>
      </w:r>
    </w:p>
    <w:p w14:paraId="26EA1130" w14:textId="77777777" w:rsidR="001005D4" w:rsidRDefault="001005D4" w:rsidP="00F07840"/>
    <w:p w14:paraId="02E638FC" w14:textId="77777777" w:rsidR="00185F66" w:rsidRDefault="00185F66">
      <w:pPr>
        <w:rPr>
          <w:rFonts w:ascii="Arial" w:eastAsiaTheme="majorEastAsia" w:hAnsi="Arial" w:cs="Arial"/>
          <w:color w:val="000000" w:themeColor="text1"/>
          <w:sz w:val="28"/>
          <w:szCs w:val="28"/>
        </w:rPr>
      </w:pPr>
      <w:r>
        <w:rPr>
          <w:rFonts w:ascii="Arial" w:hAnsi="Arial" w:cs="Arial"/>
          <w:color w:val="000000" w:themeColor="text1"/>
        </w:rPr>
        <w:br w:type="page"/>
      </w:r>
    </w:p>
    <w:p w14:paraId="73279D94" w14:textId="445D8040" w:rsidR="009F10FB" w:rsidRDefault="001005D4" w:rsidP="001005D4">
      <w:pPr>
        <w:pStyle w:val="Heading2"/>
        <w:rPr>
          <w:rFonts w:ascii="Arial" w:hAnsi="Arial" w:cs="Arial"/>
          <w:color w:val="000000" w:themeColor="text1"/>
        </w:rPr>
      </w:pPr>
      <w:bookmarkStart w:id="144" w:name="_Toc57035237"/>
      <w:r>
        <w:rPr>
          <w:rFonts w:ascii="Arial" w:hAnsi="Arial" w:cs="Arial"/>
          <w:color w:val="000000" w:themeColor="text1"/>
        </w:rPr>
        <w:t xml:space="preserve">Annex </w:t>
      </w:r>
      <w:r w:rsidR="00650F2B">
        <w:rPr>
          <w:rFonts w:ascii="Arial" w:hAnsi="Arial" w:cs="Arial"/>
          <w:color w:val="000000" w:themeColor="text1"/>
        </w:rPr>
        <w:t>5</w:t>
      </w:r>
      <w:r>
        <w:rPr>
          <w:rFonts w:ascii="Arial" w:hAnsi="Arial" w:cs="Arial"/>
          <w:color w:val="000000" w:themeColor="text1"/>
        </w:rPr>
        <w:t xml:space="preserve">. </w:t>
      </w:r>
      <w:r w:rsidR="00185F66">
        <w:rPr>
          <w:rFonts w:ascii="Arial" w:hAnsi="Arial" w:cs="Arial"/>
          <w:color w:val="000000" w:themeColor="text1"/>
        </w:rPr>
        <w:t>Unit costs</w:t>
      </w:r>
      <w:bookmarkEnd w:id="144"/>
    </w:p>
    <w:p w14:paraId="520DFF53" w14:textId="7E08F874" w:rsidR="0000091D" w:rsidRDefault="0000091D" w:rsidP="0000091D"/>
    <w:p w14:paraId="1B341B92" w14:textId="52DC9BCD" w:rsidR="00185F66" w:rsidRPr="0000091D" w:rsidRDefault="0000091D" w:rsidP="00185F66">
      <w:pPr>
        <w:rPr>
          <w:rFonts w:ascii="Arial" w:hAnsi="Arial" w:cs="Arial"/>
          <w:i/>
          <w:sz w:val="18"/>
        </w:rPr>
      </w:pPr>
      <w:r w:rsidRPr="0000091D">
        <w:rPr>
          <w:rFonts w:ascii="Arial" w:hAnsi="Arial" w:cs="Arial"/>
          <w:i/>
          <w:sz w:val="18"/>
        </w:rPr>
        <w:t>Figure 5A-1. Unit costs for key Goals interventions</w:t>
      </w: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56"/>
        <w:gridCol w:w="2659"/>
        <w:gridCol w:w="5779"/>
      </w:tblGrid>
      <w:tr w:rsidR="00185F66" w:rsidRPr="000C1BC8" w14:paraId="3E8568B8" w14:textId="77777777" w:rsidTr="00185F66">
        <w:trPr>
          <w:trHeight w:val="292"/>
        </w:trPr>
        <w:tc>
          <w:tcPr>
            <w:tcW w:w="1656" w:type="dxa"/>
            <w:shd w:val="clear" w:color="auto" w:fill="C00000"/>
            <w:tcMar>
              <w:top w:w="54" w:type="dxa"/>
              <w:left w:w="108" w:type="dxa"/>
              <w:bottom w:w="54" w:type="dxa"/>
              <w:right w:w="108" w:type="dxa"/>
            </w:tcMar>
            <w:hideMark/>
          </w:tcPr>
          <w:p w14:paraId="391261DE" w14:textId="77777777" w:rsidR="00185F66" w:rsidRPr="000C1BC8" w:rsidRDefault="00185F66" w:rsidP="00185F66">
            <w:pPr>
              <w:spacing w:after="0"/>
              <w:rPr>
                <w:rFonts w:ascii="Arial" w:hAnsi="Arial" w:cs="Arial"/>
                <w:color w:val="FFFFFF" w:themeColor="background1"/>
                <w:sz w:val="18"/>
              </w:rPr>
            </w:pPr>
            <w:r w:rsidRPr="000C1BC8">
              <w:rPr>
                <w:rFonts w:ascii="Arial" w:hAnsi="Arial" w:cs="Arial"/>
                <w:b/>
                <w:bCs/>
                <w:color w:val="FFFFFF" w:themeColor="background1"/>
                <w:sz w:val="18"/>
              </w:rPr>
              <w:t>Intervention</w:t>
            </w:r>
          </w:p>
        </w:tc>
        <w:tc>
          <w:tcPr>
            <w:tcW w:w="2659" w:type="dxa"/>
            <w:shd w:val="clear" w:color="auto" w:fill="C00000"/>
            <w:tcMar>
              <w:top w:w="54" w:type="dxa"/>
              <w:left w:w="108" w:type="dxa"/>
              <w:bottom w:w="54" w:type="dxa"/>
              <w:right w:w="108" w:type="dxa"/>
            </w:tcMar>
            <w:hideMark/>
          </w:tcPr>
          <w:p w14:paraId="11415379" w14:textId="77964BD6" w:rsidR="00185F66" w:rsidRPr="000C1BC8" w:rsidRDefault="00185F66" w:rsidP="00185F66">
            <w:pPr>
              <w:spacing w:after="0"/>
              <w:rPr>
                <w:rFonts w:ascii="Arial" w:hAnsi="Arial" w:cs="Arial"/>
                <w:color w:val="FFFFFF" w:themeColor="background1"/>
                <w:sz w:val="18"/>
              </w:rPr>
            </w:pPr>
            <w:r w:rsidRPr="000C1BC8">
              <w:rPr>
                <w:rFonts w:ascii="Arial" w:hAnsi="Arial" w:cs="Arial"/>
                <w:b/>
                <w:bCs/>
                <w:color w:val="FFFFFF" w:themeColor="background1"/>
                <w:sz w:val="18"/>
              </w:rPr>
              <w:t>Unit Cost</w:t>
            </w:r>
            <w:r w:rsidR="000807B2">
              <w:rPr>
                <w:rFonts w:ascii="Arial" w:hAnsi="Arial" w:cs="Arial"/>
                <w:b/>
                <w:bCs/>
                <w:color w:val="FFFFFF" w:themeColor="background1"/>
                <w:sz w:val="18"/>
              </w:rPr>
              <w:t xml:space="preserve"> (USD)</w:t>
            </w:r>
          </w:p>
        </w:tc>
        <w:tc>
          <w:tcPr>
            <w:tcW w:w="5779" w:type="dxa"/>
            <w:shd w:val="clear" w:color="auto" w:fill="C00000"/>
            <w:tcMar>
              <w:top w:w="54" w:type="dxa"/>
              <w:left w:w="108" w:type="dxa"/>
              <w:bottom w:w="54" w:type="dxa"/>
              <w:right w:w="108" w:type="dxa"/>
            </w:tcMar>
            <w:hideMark/>
          </w:tcPr>
          <w:p w14:paraId="122C09EC" w14:textId="2D1BE3EC" w:rsidR="00185F66" w:rsidRPr="000C1BC8" w:rsidRDefault="00185F66" w:rsidP="00185F66">
            <w:pPr>
              <w:spacing w:after="0"/>
              <w:rPr>
                <w:rFonts w:ascii="Arial" w:hAnsi="Arial" w:cs="Arial"/>
                <w:color w:val="FFFFFF" w:themeColor="background1"/>
                <w:sz w:val="18"/>
              </w:rPr>
            </w:pPr>
            <w:r w:rsidRPr="000C1BC8">
              <w:rPr>
                <w:rFonts w:ascii="Arial" w:hAnsi="Arial" w:cs="Arial"/>
                <w:b/>
                <w:bCs/>
                <w:color w:val="FFFFFF" w:themeColor="background1"/>
                <w:sz w:val="18"/>
              </w:rPr>
              <w:t>Source</w:t>
            </w:r>
            <w:r w:rsidR="005A6258">
              <w:rPr>
                <w:rFonts w:ascii="Arial" w:hAnsi="Arial" w:cs="Arial"/>
                <w:b/>
                <w:bCs/>
                <w:color w:val="FFFFFF" w:themeColor="background1"/>
                <w:sz w:val="18"/>
              </w:rPr>
              <w:t xml:space="preserve"> and notes</w:t>
            </w:r>
          </w:p>
        </w:tc>
      </w:tr>
      <w:tr w:rsidR="00185F66" w:rsidRPr="000C1BC8" w14:paraId="27CF36ED" w14:textId="77777777" w:rsidTr="00185F66">
        <w:trPr>
          <w:trHeight w:val="292"/>
        </w:trPr>
        <w:tc>
          <w:tcPr>
            <w:tcW w:w="1656" w:type="dxa"/>
            <w:shd w:val="clear" w:color="auto" w:fill="FFFFFF" w:themeFill="background1"/>
            <w:tcMar>
              <w:top w:w="54" w:type="dxa"/>
              <w:left w:w="108" w:type="dxa"/>
              <w:bottom w:w="54" w:type="dxa"/>
              <w:right w:w="108" w:type="dxa"/>
            </w:tcMar>
            <w:hideMark/>
          </w:tcPr>
          <w:p w14:paraId="1F0F2759" w14:textId="77777777" w:rsidR="00185F66" w:rsidRPr="000C1BC8" w:rsidRDefault="00185F66" w:rsidP="00185F66">
            <w:pPr>
              <w:spacing w:after="0"/>
              <w:rPr>
                <w:rFonts w:ascii="Arial" w:hAnsi="Arial" w:cs="Arial"/>
                <w:sz w:val="18"/>
              </w:rPr>
            </w:pPr>
            <w:r w:rsidRPr="000C1BC8">
              <w:rPr>
                <w:rFonts w:ascii="Arial" w:hAnsi="Arial" w:cs="Arial"/>
                <w:b/>
                <w:bCs/>
                <w:sz w:val="18"/>
              </w:rPr>
              <w:t>ART</w:t>
            </w:r>
          </w:p>
        </w:tc>
        <w:tc>
          <w:tcPr>
            <w:tcW w:w="2659" w:type="dxa"/>
            <w:shd w:val="clear" w:color="auto" w:fill="FFFFFF" w:themeFill="background1"/>
            <w:tcMar>
              <w:top w:w="54" w:type="dxa"/>
              <w:left w:w="108" w:type="dxa"/>
              <w:bottom w:w="54" w:type="dxa"/>
              <w:right w:w="108" w:type="dxa"/>
            </w:tcMar>
            <w:hideMark/>
          </w:tcPr>
          <w:p w14:paraId="23654645" w14:textId="3823BCD9" w:rsidR="00185F66" w:rsidRPr="000C1BC8" w:rsidRDefault="00185F66" w:rsidP="00185F66">
            <w:pPr>
              <w:spacing w:after="0"/>
              <w:rPr>
                <w:rFonts w:ascii="Arial" w:hAnsi="Arial" w:cs="Arial"/>
                <w:sz w:val="18"/>
              </w:rPr>
            </w:pPr>
            <w:r w:rsidRPr="000C1BC8">
              <w:rPr>
                <w:rFonts w:ascii="Arial" w:hAnsi="Arial" w:cs="Arial"/>
                <w:sz w:val="18"/>
              </w:rPr>
              <w:t>$</w:t>
            </w:r>
            <w:r>
              <w:rPr>
                <w:rFonts w:ascii="Arial" w:hAnsi="Arial" w:cs="Arial"/>
                <w:sz w:val="18"/>
              </w:rPr>
              <w:t>205</w:t>
            </w:r>
            <w:r w:rsidRPr="000C1BC8">
              <w:rPr>
                <w:rFonts w:ascii="Arial" w:hAnsi="Arial" w:cs="Arial"/>
                <w:sz w:val="18"/>
              </w:rPr>
              <w:t xml:space="preserve"> /patient/yr</w:t>
            </w:r>
          </w:p>
        </w:tc>
        <w:tc>
          <w:tcPr>
            <w:tcW w:w="5779" w:type="dxa"/>
            <w:shd w:val="clear" w:color="auto" w:fill="FFFFFF" w:themeFill="background1"/>
            <w:tcMar>
              <w:top w:w="54" w:type="dxa"/>
              <w:left w:w="108" w:type="dxa"/>
              <w:bottom w:w="54" w:type="dxa"/>
              <w:right w:w="108" w:type="dxa"/>
            </w:tcMar>
            <w:hideMark/>
          </w:tcPr>
          <w:p w14:paraId="34329625" w14:textId="534E9D53" w:rsidR="005A6258" w:rsidRDefault="00185F66" w:rsidP="00185F66">
            <w:pPr>
              <w:spacing w:after="0"/>
              <w:rPr>
                <w:rFonts w:ascii="Arial" w:hAnsi="Arial" w:cs="Arial"/>
                <w:sz w:val="18"/>
              </w:rPr>
            </w:pPr>
            <w:r w:rsidRPr="000C1BC8">
              <w:rPr>
                <w:rFonts w:ascii="Arial" w:hAnsi="Arial" w:cs="Arial"/>
                <w:sz w:val="18"/>
              </w:rPr>
              <w:t xml:space="preserve">MoHCDGEC </w:t>
            </w:r>
            <w:r w:rsidR="00121628">
              <w:rPr>
                <w:rFonts w:ascii="Arial" w:hAnsi="Arial" w:cs="Arial"/>
                <w:sz w:val="18"/>
              </w:rPr>
              <w:t>,</w:t>
            </w:r>
            <w:r w:rsidRPr="000C1BC8">
              <w:rPr>
                <w:rFonts w:ascii="Arial" w:hAnsi="Arial" w:cs="Arial"/>
                <w:sz w:val="18"/>
              </w:rPr>
              <w:t>CDC</w:t>
            </w:r>
            <w:r w:rsidR="00121628">
              <w:rPr>
                <w:rFonts w:ascii="Arial" w:hAnsi="Arial" w:cs="Arial"/>
                <w:sz w:val="18"/>
              </w:rPr>
              <w:t>, and ICF International</w:t>
            </w:r>
            <w:r w:rsidR="005A6258">
              <w:rPr>
                <w:rFonts w:ascii="Arial" w:hAnsi="Arial" w:cs="Arial"/>
                <w:sz w:val="18"/>
              </w:rPr>
              <w:t xml:space="preserve"> (201</w:t>
            </w:r>
            <w:r w:rsidR="00121628">
              <w:rPr>
                <w:rFonts w:ascii="Arial" w:hAnsi="Arial" w:cs="Arial"/>
                <w:sz w:val="18"/>
              </w:rPr>
              <w:t>6a</w:t>
            </w:r>
            <w:r w:rsidR="005A6258">
              <w:rPr>
                <w:rFonts w:ascii="Arial" w:hAnsi="Arial" w:cs="Arial"/>
                <w:sz w:val="18"/>
              </w:rPr>
              <w:t>)</w:t>
            </w:r>
            <w:r w:rsidRPr="000C1BC8">
              <w:rPr>
                <w:rFonts w:ascii="Arial" w:hAnsi="Arial" w:cs="Arial"/>
                <w:sz w:val="18"/>
              </w:rPr>
              <w:t xml:space="preserve">. </w:t>
            </w:r>
          </w:p>
          <w:p w14:paraId="7F457CBC" w14:textId="2FAC758E" w:rsidR="00185F66" w:rsidRPr="000C1BC8" w:rsidRDefault="00185F66" w:rsidP="00185F66">
            <w:pPr>
              <w:spacing w:after="0"/>
              <w:rPr>
                <w:rFonts w:ascii="Arial" w:hAnsi="Arial" w:cs="Arial"/>
                <w:sz w:val="18"/>
              </w:rPr>
            </w:pPr>
            <w:r>
              <w:rPr>
                <w:rFonts w:ascii="Arial" w:hAnsi="Arial" w:cs="Arial"/>
                <w:sz w:val="18"/>
              </w:rPr>
              <w:t>This cost was brought up to 2019 terms</w:t>
            </w:r>
            <w:r w:rsidR="00585D67">
              <w:rPr>
                <w:rFonts w:ascii="Arial" w:hAnsi="Arial" w:cs="Arial"/>
                <w:sz w:val="18"/>
              </w:rPr>
              <w:t xml:space="preserve"> and adjusted for new VL recommendations. Original cost was $189</w:t>
            </w:r>
          </w:p>
        </w:tc>
      </w:tr>
      <w:tr w:rsidR="00185F66" w:rsidRPr="000C1BC8" w14:paraId="4BA3E4DB" w14:textId="77777777" w:rsidTr="00185F66">
        <w:trPr>
          <w:trHeight w:val="322"/>
        </w:trPr>
        <w:tc>
          <w:tcPr>
            <w:tcW w:w="1656" w:type="dxa"/>
            <w:shd w:val="clear" w:color="auto" w:fill="FFFFFF" w:themeFill="background1"/>
            <w:tcMar>
              <w:top w:w="54" w:type="dxa"/>
              <w:left w:w="108" w:type="dxa"/>
              <w:bottom w:w="54" w:type="dxa"/>
              <w:right w:w="108" w:type="dxa"/>
            </w:tcMar>
            <w:hideMark/>
          </w:tcPr>
          <w:p w14:paraId="537AFB09" w14:textId="77777777" w:rsidR="00185F66" w:rsidRPr="000C1BC8" w:rsidRDefault="00185F66" w:rsidP="00185F66">
            <w:pPr>
              <w:spacing w:after="0"/>
              <w:rPr>
                <w:rFonts w:ascii="Arial" w:hAnsi="Arial" w:cs="Arial"/>
                <w:sz w:val="18"/>
              </w:rPr>
            </w:pPr>
            <w:r w:rsidRPr="000C1BC8">
              <w:rPr>
                <w:rFonts w:ascii="Arial" w:hAnsi="Arial" w:cs="Arial"/>
                <w:b/>
                <w:bCs/>
                <w:sz w:val="18"/>
              </w:rPr>
              <w:t>VMMC</w:t>
            </w:r>
          </w:p>
        </w:tc>
        <w:tc>
          <w:tcPr>
            <w:tcW w:w="2659" w:type="dxa"/>
            <w:shd w:val="clear" w:color="auto" w:fill="FFFFFF" w:themeFill="background1"/>
            <w:tcMar>
              <w:top w:w="54" w:type="dxa"/>
              <w:left w:w="108" w:type="dxa"/>
              <w:bottom w:w="54" w:type="dxa"/>
              <w:right w:w="108" w:type="dxa"/>
            </w:tcMar>
            <w:hideMark/>
          </w:tcPr>
          <w:p w14:paraId="2FFD796A" w14:textId="77777777" w:rsidR="00185F66" w:rsidRPr="000C1BC8" w:rsidRDefault="00185F66" w:rsidP="00185F66">
            <w:pPr>
              <w:spacing w:after="0"/>
              <w:rPr>
                <w:rFonts w:ascii="Arial" w:hAnsi="Arial" w:cs="Arial"/>
                <w:sz w:val="18"/>
              </w:rPr>
            </w:pPr>
            <w:r w:rsidRPr="000C1BC8">
              <w:rPr>
                <w:rFonts w:ascii="Arial" w:hAnsi="Arial" w:cs="Arial"/>
                <w:sz w:val="18"/>
              </w:rPr>
              <w:t>$50 /VMMC</w:t>
            </w:r>
          </w:p>
        </w:tc>
        <w:tc>
          <w:tcPr>
            <w:tcW w:w="5779" w:type="dxa"/>
            <w:shd w:val="clear" w:color="auto" w:fill="FFFFFF" w:themeFill="background1"/>
            <w:tcMar>
              <w:top w:w="54" w:type="dxa"/>
              <w:left w:w="108" w:type="dxa"/>
              <w:bottom w:w="54" w:type="dxa"/>
              <w:right w:w="108" w:type="dxa"/>
            </w:tcMar>
            <w:hideMark/>
          </w:tcPr>
          <w:p w14:paraId="2A2795A0" w14:textId="42DCBFF2" w:rsidR="00185F66" w:rsidRPr="000C1BC8" w:rsidRDefault="005A6258" w:rsidP="00185F66">
            <w:pPr>
              <w:spacing w:after="0"/>
              <w:rPr>
                <w:rFonts w:ascii="Arial" w:hAnsi="Arial" w:cs="Arial"/>
                <w:sz w:val="18"/>
              </w:rPr>
            </w:pPr>
            <w:r>
              <w:rPr>
                <w:rFonts w:ascii="Arial" w:hAnsi="Arial" w:cs="Arial"/>
                <w:sz w:val="18"/>
              </w:rPr>
              <w:t>PEPFAR COP 2016</w:t>
            </w:r>
          </w:p>
        </w:tc>
      </w:tr>
      <w:tr w:rsidR="00185F66" w:rsidRPr="000C1BC8" w14:paraId="0A37E2B8" w14:textId="77777777" w:rsidTr="00185F66">
        <w:trPr>
          <w:trHeight w:val="937"/>
        </w:trPr>
        <w:tc>
          <w:tcPr>
            <w:tcW w:w="1656" w:type="dxa"/>
            <w:shd w:val="clear" w:color="auto" w:fill="FFFFFF" w:themeFill="background1"/>
            <w:tcMar>
              <w:top w:w="54" w:type="dxa"/>
              <w:left w:w="108" w:type="dxa"/>
              <w:bottom w:w="54" w:type="dxa"/>
              <w:right w:w="108" w:type="dxa"/>
            </w:tcMar>
            <w:hideMark/>
          </w:tcPr>
          <w:p w14:paraId="698F7535" w14:textId="77777777" w:rsidR="00185F66" w:rsidRPr="000C1BC8" w:rsidRDefault="00185F66" w:rsidP="00185F66">
            <w:pPr>
              <w:spacing w:after="0"/>
              <w:rPr>
                <w:rFonts w:ascii="Arial" w:hAnsi="Arial" w:cs="Arial"/>
                <w:sz w:val="18"/>
              </w:rPr>
            </w:pPr>
            <w:r w:rsidRPr="000C1BC8">
              <w:rPr>
                <w:rFonts w:ascii="Arial" w:hAnsi="Arial" w:cs="Arial"/>
                <w:b/>
                <w:bCs/>
                <w:sz w:val="18"/>
              </w:rPr>
              <w:t>HT</w:t>
            </w:r>
            <w:r>
              <w:rPr>
                <w:rFonts w:ascii="Arial" w:hAnsi="Arial" w:cs="Arial"/>
                <w:b/>
                <w:bCs/>
                <w:sz w:val="18"/>
              </w:rPr>
              <w:t>C</w:t>
            </w:r>
          </w:p>
        </w:tc>
        <w:tc>
          <w:tcPr>
            <w:tcW w:w="2659" w:type="dxa"/>
            <w:shd w:val="clear" w:color="auto" w:fill="FFFFFF" w:themeFill="background1"/>
            <w:tcMar>
              <w:top w:w="54" w:type="dxa"/>
              <w:left w:w="108" w:type="dxa"/>
              <w:bottom w:w="54" w:type="dxa"/>
              <w:right w:w="108" w:type="dxa"/>
            </w:tcMar>
            <w:hideMark/>
          </w:tcPr>
          <w:p w14:paraId="3F904F51" w14:textId="77777777" w:rsidR="00185F66" w:rsidRPr="000C1BC8" w:rsidRDefault="00185F66" w:rsidP="00185F66">
            <w:pPr>
              <w:spacing w:after="0"/>
              <w:rPr>
                <w:rFonts w:ascii="Arial" w:hAnsi="Arial" w:cs="Arial"/>
                <w:sz w:val="18"/>
              </w:rPr>
            </w:pPr>
            <w:r w:rsidRPr="000C1BC8">
              <w:rPr>
                <w:rFonts w:ascii="Arial" w:hAnsi="Arial" w:cs="Arial"/>
                <w:sz w:val="18"/>
              </w:rPr>
              <w:t>PITC $3-$10</w:t>
            </w:r>
          </w:p>
          <w:p w14:paraId="1E3FA0D5" w14:textId="77777777" w:rsidR="00185F66" w:rsidRPr="000C1BC8" w:rsidRDefault="00185F66" w:rsidP="00185F66">
            <w:pPr>
              <w:spacing w:after="0"/>
              <w:rPr>
                <w:rFonts w:ascii="Arial" w:hAnsi="Arial" w:cs="Arial"/>
                <w:sz w:val="18"/>
              </w:rPr>
            </w:pPr>
            <w:r w:rsidRPr="000C1BC8">
              <w:rPr>
                <w:rFonts w:ascii="Arial" w:hAnsi="Arial" w:cs="Arial"/>
                <w:sz w:val="18"/>
              </w:rPr>
              <w:t>VCT $15</w:t>
            </w:r>
          </w:p>
          <w:p w14:paraId="0A09CD05" w14:textId="77777777" w:rsidR="00185F66" w:rsidRPr="000C1BC8" w:rsidRDefault="00185F66" w:rsidP="00185F66">
            <w:pPr>
              <w:spacing w:after="0"/>
              <w:rPr>
                <w:rFonts w:ascii="Arial" w:hAnsi="Arial" w:cs="Arial"/>
                <w:sz w:val="18"/>
              </w:rPr>
            </w:pPr>
            <w:r w:rsidRPr="000C1BC8">
              <w:rPr>
                <w:rFonts w:ascii="Arial" w:hAnsi="Arial" w:cs="Arial"/>
                <w:sz w:val="18"/>
              </w:rPr>
              <w:t>Community-based $21</w:t>
            </w:r>
          </w:p>
          <w:p w14:paraId="350AF0CA" w14:textId="77777777" w:rsidR="00185F66" w:rsidRPr="000C1BC8" w:rsidRDefault="00185F66" w:rsidP="00185F66">
            <w:pPr>
              <w:spacing w:after="0"/>
              <w:rPr>
                <w:rFonts w:ascii="Arial" w:hAnsi="Arial" w:cs="Arial"/>
                <w:sz w:val="18"/>
              </w:rPr>
            </w:pPr>
            <w:r w:rsidRPr="000C1BC8">
              <w:rPr>
                <w:rFonts w:ascii="Arial" w:hAnsi="Arial" w:cs="Arial"/>
                <w:sz w:val="18"/>
              </w:rPr>
              <w:t>Self-tests $2</w:t>
            </w:r>
          </w:p>
        </w:tc>
        <w:tc>
          <w:tcPr>
            <w:tcW w:w="5779" w:type="dxa"/>
            <w:shd w:val="clear" w:color="auto" w:fill="FFFFFF" w:themeFill="background1"/>
            <w:tcMar>
              <w:top w:w="54" w:type="dxa"/>
              <w:left w:w="108" w:type="dxa"/>
              <w:bottom w:w="54" w:type="dxa"/>
              <w:right w:w="108" w:type="dxa"/>
            </w:tcMar>
            <w:hideMark/>
          </w:tcPr>
          <w:p w14:paraId="7FC44328" w14:textId="716E33A9" w:rsidR="00185F66" w:rsidRPr="00121628" w:rsidRDefault="00185F66" w:rsidP="00185F66">
            <w:pPr>
              <w:spacing w:after="0"/>
              <w:rPr>
                <w:rFonts w:ascii="Arial" w:hAnsi="Arial" w:cs="Arial"/>
                <w:sz w:val="18"/>
                <w:lang w:val="fr-FR"/>
              </w:rPr>
            </w:pPr>
            <w:r w:rsidRPr="00121628">
              <w:rPr>
                <w:rFonts w:ascii="Arial" w:hAnsi="Arial" w:cs="Arial"/>
                <w:sz w:val="18"/>
                <w:lang w:val="fr-FR"/>
              </w:rPr>
              <w:t>Mwenge</w:t>
            </w:r>
            <w:r w:rsidR="00585D67" w:rsidRPr="00121628">
              <w:rPr>
                <w:rFonts w:ascii="Arial" w:hAnsi="Arial" w:cs="Arial"/>
                <w:sz w:val="18"/>
                <w:lang w:val="fr-FR"/>
              </w:rPr>
              <w:t xml:space="preserve"> </w:t>
            </w:r>
            <w:r w:rsidR="00121628" w:rsidRPr="00121628">
              <w:rPr>
                <w:rFonts w:ascii="Arial" w:hAnsi="Arial" w:cs="Arial"/>
                <w:sz w:val="18"/>
                <w:lang w:val="fr-FR"/>
              </w:rPr>
              <w:t xml:space="preserve">et al </w:t>
            </w:r>
            <w:r w:rsidR="00585D67" w:rsidRPr="00121628">
              <w:rPr>
                <w:rFonts w:ascii="Arial" w:hAnsi="Arial" w:cs="Arial"/>
                <w:sz w:val="18"/>
                <w:lang w:val="fr-FR"/>
              </w:rPr>
              <w:t>(</w:t>
            </w:r>
            <w:r w:rsidRPr="00121628">
              <w:rPr>
                <w:rFonts w:ascii="Arial" w:hAnsi="Arial" w:cs="Arial"/>
                <w:sz w:val="18"/>
                <w:lang w:val="fr-FR"/>
              </w:rPr>
              <w:t>2017</w:t>
            </w:r>
            <w:r w:rsidR="00585D67" w:rsidRPr="00121628">
              <w:rPr>
                <w:rFonts w:ascii="Arial" w:hAnsi="Arial" w:cs="Arial"/>
                <w:sz w:val="18"/>
                <w:lang w:val="fr-FR"/>
              </w:rPr>
              <w:t>)</w:t>
            </w:r>
          </w:p>
          <w:p w14:paraId="27514434" w14:textId="4FD05948" w:rsidR="00185F66" w:rsidRPr="00121628" w:rsidRDefault="00185F66" w:rsidP="00185F66">
            <w:pPr>
              <w:spacing w:after="0"/>
              <w:rPr>
                <w:rFonts w:ascii="Arial" w:hAnsi="Arial" w:cs="Arial"/>
                <w:sz w:val="18"/>
                <w:lang w:val="fr-FR"/>
              </w:rPr>
            </w:pPr>
            <w:r w:rsidRPr="00121628">
              <w:rPr>
                <w:rFonts w:ascii="Arial" w:hAnsi="Arial" w:cs="Arial"/>
                <w:sz w:val="18"/>
                <w:lang w:val="fr-FR"/>
              </w:rPr>
              <w:t>Forsythe</w:t>
            </w:r>
            <w:r w:rsidR="00121628" w:rsidRPr="00121628">
              <w:rPr>
                <w:rFonts w:ascii="Arial" w:hAnsi="Arial" w:cs="Arial"/>
                <w:sz w:val="18"/>
                <w:lang w:val="fr-FR"/>
              </w:rPr>
              <w:t xml:space="preserve"> et al</w:t>
            </w:r>
            <w:r w:rsidRPr="00121628">
              <w:rPr>
                <w:rFonts w:ascii="Arial" w:hAnsi="Arial" w:cs="Arial"/>
                <w:sz w:val="18"/>
                <w:lang w:val="fr-FR"/>
              </w:rPr>
              <w:t xml:space="preserve"> </w:t>
            </w:r>
            <w:r w:rsidR="00585D67" w:rsidRPr="00121628">
              <w:rPr>
                <w:rFonts w:ascii="Arial" w:hAnsi="Arial" w:cs="Arial"/>
                <w:sz w:val="18"/>
                <w:lang w:val="fr-FR"/>
              </w:rPr>
              <w:t>(2002)</w:t>
            </w:r>
          </w:p>
          <w:p w14:paraId="73B23D4E" w14:textId="4ADF9F3D" w:rsidR="00185F66" w:rsidRPr="000C1BC8" w:rsidRDefault="00185F66" w:rsidP="00185F66">
            <w:pPr>
              <w:spacing w:after="0"/>
              <w:rPr>
                <w:rFonts w:ascii="Arial" w:hAnsi="Arial" w:cs="Arial"/>
                <w:sz w:val="18"/>
              </w:rPr>
            </w:pPr>
            <w:r w:rsidRPr="000C1BC8">
              <w:rPr>
                <w:rFonts w:ascii="Arial" w:hAnsi="Arial" w:cs="Arial"/>
                <w:sz w:val="18"/>
              </w:rPr>
              <w:t xml:space="preserve">Chang J </w:t>
            </w:r>
            <w:r w:rsidR="00585D67">
              <w:rPr>
                <w:rFonts w:ascii="Arial" w:hAnsi="Arial" w:cs="Arial"/>
                <w:sz w:val="18"/>
              </w:rPr>
              <w:t>(</w:t>
            </w:r>
            <w:r w:rsidRPr="000C1BC8">
              <w:rPr>
                <w:rFonts w:ascii="Arial" w:hAnsi="Arial" w:cs="Arial"/>
                <w:sz w:val="18"/>
              </w:rPr>
              <w:t>2016</w:t>
            </w:r>
            <w:r w:rsidR="00585D67">
              <w:rPr>
                <w:rFonts w:ascii="Arial" w:hAnsi="Arial" w:cs="Arial"/>
                <w:sz w:val="18"/>
              </w:rPr>
              <w:t>)</w:t>
            </w:r>
          </w:p>
          <w:p w14:paraId="378C3967" w14:textId="77777777" w:rsidR="00185F66" w:rsidRDefault="00185F66" w:rsidP="00185F66">
            <w:pPr>
              <w:spacing w:after="0"/>
              <w:rPr>
                <w:rFonts w:ascii="Arial" w:hAnsi="Arial" w:cs="Arial"/>
                <w:sz w:val="18"/>
              </w:rPr>
            </w:pPr>
            <w:r w:rsidRPr="000C1BC8">
              <w:rPr>
                <w:rFonts w:ascii="Arial" w:hAnsi="Arial" w:cs="Arial"/>
                <w:sz w:val="18"/>
              </w:rPr>
              <w:t xml:space="preserve">Mangenah </w:t>
            </w:r>
            <w:r w:rsidR="00585D67">
              <w:rPr>
                <w:rFonts w:ascii="Arial" w:hAnsi="Arial" w:cs="Arial"/>
                <w:sz w:val="18"/>
              </w:rPr>
              <w:t>(</w:t>
            </w:r>
            <w:r w:rsidRPr="000C1BC8">
              <w:rPr>
                <w:rFonts w:ascii="Arial" w:hAnsi="Arial" w:cs="Arial"/>
                <w:sz w:val="18"/>
              </w:rPr>
              <w:t>2017</w:t>
            </w:r>
            <w:r w:rsidR="00585D67">
              <w:rPr>
                <w:rFonts w:ascii="Arial" w:hAnsi="Arial" w:cs="Arial"/>
                <w:sz w:val="18"/>
              </w:rPr>
              <w:t>)</w:t>
            </w:r>
          </w:p>
          <w:p w14:paraId="490315A5" w14:textId="4EDC71F0" w:rsidR="00121628" w:rsidRDefault="00121628" w:rsidP="00121628">
            <w:pPr>
              <w:spacing w:after="0"/>
              <w:rPr>
                <w:rFonts w:ascii="Arial" w:hAnsi="Arial" w:cs="Arial"/>
                <w:sz w:val="18"/>
              </w:rPr>
            </w:pPr>
            <w:r w:rsidRPr="000C1BC8">
              <w:rPr>
                <w:rFonts w:ascii="Arial" w:hAnsi="Arial" w:cs="Arial"/>
                <w:sz w:val="18"/>
              </w:rPr>
              <w:t>MoHCDGEC CDC</w:t>
            </w:r>
            <w:r>
              <w:rPr>
                <w:rFonts w:ascii="Arial" w:hAnsi="Arial" w:cs="Arial"/>
                <w:sz w:val="18"/>
              </w:rPr>
              <w:t>, and ICF International (2016b)</w:t>
            </w:r>
          </w:p>
          <w:p w14:paraId="17E6BEF1" w14:textId="1982FA97" w:rsidR="00121628" w:rsidRPr="000C1BC8" w:rsidRDefault="00121628" w:rsidP="00121628">
            <w:pPr>
              <w:pStyle w:val="EndnoteText"/>
              <w:rPr>
                <w:rFonts w:ascii="Arial" w:hAnsi="Arial" w:cs="Arial"/>
                <w:sz w:val="18"/>
              </w:rPr>
            </w:pPr>
          </w:p>
        </w:tc>
      </w:tr>
      <w:tr w:rsidR="00185F66" w:rsidRPr="000C1BC8" w14:paraId="05D1E9FB" w14:textId="77777777" w:rsidTr="00185F66">
        <w:trPr>
          <w:trHeight w:val="292"/>
        </w:trPr>
        <w:tc>
          <w:tcPr>
            <w:tcW w:w="1656" w:type="dxa"/>
            <w:shd w:val="clear" w:color="auto" w:fill="FFFFFF" w:themeFill="background1"/>
            <w:tcMar>
              <w:top w:w="54" w:type="dxa"/>
              <w:left w:w="108" w:type="dxa"/>
              <w:bottom w:w="54" w:type="dxa"/>
              <w:right w:w="108" w:type="dxa"/>
            </w:tcMar>
            <w:hideMark/>
          </w:tcPr>
          <w:p w14:paraId="1D01650B" w14:textId="77777777" w:rsidR="00185F66" w:rsidRPr="000C1BC8" w:rsidRDefault="00185F66" w:rsidP="00185F66">
            <w:pPr>
              <w:spacing w:after="0"/>
              <w:rPr>
                <w:rFonts w:ascii="Arial" w:hAnsi="Arial" w:cs="Arial"/>
                <w:sz w:val="18"/>
              </w:rPr>
            </w:pPr>
            <w:r w:rsidRPr="000C1BC8">
              <w:rPr>
                <w:rFonts w:ascii="Arial" w:hAnsi="Arial" w:cs="Arial"/>
                <w:b/>
                <w:bCs/>
                <w:sz w:val="18"/>
              </w:rPr>
              <w:t>Condom</w:t>
            </w:r>
          </w:p>
        </w:tc>
        <w:tc>
          <w:tcPr>
            <w:tcW w:w="2659" w:type="dxa"/>
            <w:shd w:val="clear" w:color="auto" w:fill="FFFFFF" w:themeFill="background1"/>
            <w:tcMar>
              <w:top w:w="54" w:type="dxa"/>
              <w:left w:w="108" w:type="dxa"/>
              <w:bottom w:w="54" w:type="dxa"/>
              <w:right w:w="108" w:type="dxa"/>
            </w:tcMar>
            <w:hideMark/>
          </w:tcPr>
          <w:p w14:paraId="598E1350" w14:textId="77777777" w:rsidR="00185F66" w:rsidRPr="000C1BC8" w:rsidRDefault="00185F66" w:rsidP="00185F66">
            <w:pPr>
              <w:spacing w:after="0"/>
              <w:rPr>
                <w:rFonts w:ascii="Arial" w:hAnsi="Arial" w:cs="Arial"/>
                <w:sz w:val="18"/>
              </w:rPr>
            </w:pPr>
            <w:r w:rsidRPr="000C1BC8">
              <w:rPr>
                <w:rFonts w:ascii="Arial" w:hAnsi="Arial" w:cs="Arial"/>
                <w:sz w:val="18"/>
              </w:rPr>
              <w:t>$0.07 /condom distributed</w:t>
            </w:r>
          </w:p>
        </w:tc>
        <w:tc>
          <w:tcPr>
            <w:tcW w:w="5779" w:type="dxa"/>
            <w:shd w:val="clear" w:color="auto" w:fill="FFFFFF" w:themeFill="background1"/>
            <w:tcMar>
              <w:top w:w="54" w:type="dxa"/>
              <w:left w:w="108" w:type="dxa"/>
              <w:bottom w:w="54" w:type="dxa"/>
              <w:right w:w="108" w:type="dxa"/>
            </w:tcMar>
            <w:hideMark/>
          </w:tcPr>
          <w:p w14:paraId="3A87C65E" w14:textId="31BD5467" w:rsidR="00185F66" w:rsidRPr="000C1BC8" w:rsidRDefault="00185F66" w:rsidP="00185F66">
            <w:pPr>
              <w:spacing w:after="0"/>
              <w:rPr>
                <w:rFonts w:ascii="Arial" w:hAnsi="Arial" w:cs="Arial"/>
                <w:sz w:val="18"/>
              </w:rPr>
            </w:pPr>
            <w:r w:rsidRPr="000C1BC8">
              <w:rPr>
                <w:rFonts w:ascii="Arial" w:hAnsi="Arial" w:cs="Arial"/>
                <w:sz w:val="18"/>
              </w:rPr>
              <w:t>Based on regional average</w:t>
            </w:r>
          </w:p>
        </w:tc>
      </w:tr>
      <w:tr w:rsidR="00185F66" w:rsidRPr="000C1BC8" w14:paraId="6BA1F049" w14:textId="77777777" w:rsidTr="006E0321">
        <w:trPr>
          <w:trHeight w:val="206"/>
        </w:trPr>
        <w:tc>
          <w:tcPr>
            <w:tcW w:w="1656" w:type="dxa"/>
            <w:shd w:val="clear" w:color="auto" w:fill="FFFFFF" w:themeFill="background1"/>
            <w:tcMar>
              <w:top w:w="54" w:type="dxa"/>
              <w:left w:w="108" w:type="dxa"/>
              <w:bottom w:w="54" w:type="dxa"/>
              <w:right w:w="108" w:type="dxa"/>
            </w:tcMar>
            <w:hideMark/>
          </w:tcPr>
          <w:p w14:paraId="6109EFE3" w14:textId="77777777" w:rsidR="00185F66" w:rsidRPr="000C1BC8" w:rsidRDefault="00185F66" w:rsidP="00185F66">
            <w:pPr>
              <w:spacing w:after="0"/>
              <w:rPr>
                <w:rFonts w:ascii="Arial" w:hAnsi="Arial" w:cs="Arial"/>
                <w:sz w:val="18"/>
              </w:rPr>
            </w:pPr>
            <w:r w:rsidRPr="000C1BC8">
              <w:rPr>
                <w:rFonts w:ascii="Arial" w:hAnsi="Arial" w:cs="Arial"/>
                <w:b/>
                <w:bCs/>
                <w:sz w:val="18"/>
              </w:rPr>
              <w:t>Sex worker outreach</w:t>
            </w:r>
          </w:p>
        </w:tc>
        <w:tc>
          <w:tcPr>
            <w:tcW w:w="2659" w:type="dxa"/>
            <w:shd w:val="clear" w:color="auto" w:fill="FFFFFF" w:themeFill="background1"/>
            <w:tcMar>
              <w:top w:w="54" w:type="dxa"/>
              <w:left w:w="108" w:type="dxa"/>
              <w:bottom w:w="54" w:type="dxa"/>
              <w:right w:w="108" w:type="dxa"/>
            </w:tcMar>
            <w:hideMark/>
          </w:tcPr>
          <w:p w14:paraId="5544D006" w14:textId="77777777" w:rsidR="00185F66" w:rsidRPr="000C1BC8" w:rsidRDefault="00185F66" w:rsidP="00185F66">
            <w:pPr>
              <w:spacing w:after="0"/>
              <w:rPr>
                <w:rFonts w:ascii="Arial" w:hAnsi="Arial" w:cs="Arial"/>
                <w:sz w:val="18"/>
              </w:rPr>
            </w:pPr>
            <w:r w:rsidRPr="000C1BC8">
              <w:rPr>
                <w:rFonts w:ascii="Arial" w:hAnsi="Arial" w:cs="Arial"/>
                <w:sz w:val="18"/>
              </w:rPr>
              <w:t>$61 /SW reached</w:t>
            </w:r>
          </w:p>
        </w:tc>
        <w:tc>
          <w:tcPr>
            <w:tcW w:w="5779" w:type="dxa"/>
            <w:shd w:val="clear" w:color="auto" w:fill="FFFFFF" w:themeFill="background1"/>
            <w:tcMar>
              <w:top w:w="54" w:type="dxa"/>
              <w:left w:w="108" w:type="dxa"/>
              <w:bottom w:w="54" w:type="dxa"/>
              <w:right w:w="108" w:type="dxa"/>
            </w:tcMar>
            <w:hideMark/>
          </w:tcPr>
          <w:p w14:paraId="4BED59FC" w14:textId="64E19BAA" w:rsidR="00185F66" w:rsidRPr="000C1BC8" w:rsidRDefault="005A6258" w:rsidP="00185F66">
            <w:pPr>
              <w:spacing w:after="0"/>
              <w:rPr>
                <w:rFonts w:ascii="Arial" w:hAnsi="Arial" w:cs="Arial"/>
                <w:sz w:val="18"/>
              </w:rPr>
            </w:pPr>
            <w:r>
              <w:rPr>
                <w:rFonts w:ascii="Arial" w:hAnsi="Arial" w:cs="Arial"/>
                <w:sz w:val="18"/>
              </w:rPr>
              <w:t>PEPFAR COP 2016</w:t>
            </w:r>
          </w:p>
        </w:tc>
      </w:tr>
      <w:tr w:rsidR="00185F66" w:rsidRPr="000C1BC8" w14:paraId="10E64BFA" w14:textId="77777777" w:rsidTr="00185F66">
        <w:trPr>
          <w:trHeight w:val="292"/>
        </w:trPr>
        <w:tc>
          <w:tcPr>
            <w:tcW w:w="1656" w:type="dxa"/>
            <w:shd w:val="clear" w:color="auto" w:fill="FFFFFF" w:themeFill="background1"/>
            <w:tcMar>
              <w:top w:w="54" w:type="dxa"/>
              <w:left w:w="108" w:type="dxa"/>
              <w:bottom w:w="54" w:type="dxa"/>
              <w:right w:w="108" w:type="dxa"/>
            </w:tcMar>
            <w:hideMark/>
          </w:tcPr>
          <w:p w14:paraId="3E8C1542" w14:textId="77777777" w:rsidR="00185F66" w:rsidRPr="000C1BC8" w:rsidRDefault="00185F66" w:rsidP="00185F66">
            <w:pPr>
              <w:spacing w:after="0"/>
              <w:rPr>
                <w:rFonts w:ascii="Arial" w:hAnsi="Arial" w:cs="Arial"/>
                <w:sz w:val="18"/>
              </w:rPr>
            </w:pPr>
            <w:r w:rsidRPr="000C1BC8">
              <w:rPr>
                <w:rFonts w:ascii="Arial" w:hAnsi="Arial" w:cs="Arial"/>
                <w:b/>
                <w:bCs/>
                <w:sz w:val="18"/>
              </w:rPr>
              <w:t>MSM outreach</w:t>
            </w:r>
          </w:p>
        </w:tc>
        <w:tc>
          <w:tcPr>
            <w:tcW w:w="2659" w:type="dxa"/>
            <w:shd w:val="clear" w:color="auto" w:fill="FFFFFF" w:themeFill="background1"/>
            <w:tcMar>
              <w:top w:w="54" w:type="dxa"/>
              <w:left w:w="108" w:type="dxa"/>
              <w:bottom w:w="54" w:type="dxa"/>
              <w:right w:w="108" w:type="dxa"/>
            </w:tcMar>
            <w:hideMark/>
          </w:tcPr>
          <w:p w14:paraId="1F185ED1" w14:textId="77777777" w:rsidR="00185F66" w:rsidRPr="000C1BC8" w:rsidRDefault="00185F66" w:rsidP="00185F66">
            <w:pPr>
              <w:spacing w:after="0"/>
              <w:rPr>
                <w:rFonts w:ascii="Arial" w:hAnsi="Arial" w:cs="Arial"/>
                <w:sz w:val="18"/>
              </w:rPr>
            </w:pPr>
            <w:r w:rsidRPr="000C1BC8">
              <w:rPr>
                <w:rFonts w:ascii="Arial" w:hAnsi="Arial" w:cs="Arial"/>
                <w:sz w:val="18"/>
              </w:rPr>
              <w:t>$83 /MSM reached</w:t>
            </w:r>
          </w:p>
        </w:tc>
        <w:tc>
          <w:tcPr>
            <w:tcW w:w="5779" w:type="dxa"/>
            <w:shd w:val="clear" w:color="auto" w:fill="FFFFFF" w:themeFill="background1"/>
            <w:tcMar>
              <w:top w:w="54" w:type="dxa"/>
              <w:left w:w="108" w:type="dxa"/>
              <w:bottom w:w="54" w:type="dxa"/>
              <w:right w:w="108" w:type="dxa"/>
            </w:tcMar>
            <w:hideMark/>
          </w:tcPr>
          <w:p w14:paraId="04FA499A" w14:textId="131BABF0" w:rsidR="00185F66" w:rsidRPr="000C1BC8" w:rsidRDefault="005A6258" w:rsidP="00185F66">
            <w:pPr>
              <w:spacing w:after="0"/>
              <w:rPr>
                <w:rFonts w:ascii="Arial" w:hAnsi="Arial" w:cs="Arial"/>
                <w:sz w:val="18"/>
              </w:rPr>
            </w:pPr>
            <w:r>
              <w:rPr>
                <w:rFonts w:ascii="Arial" w:hAnsi="Arial" w:cs="Arial"/>
                <w:sz w:val="18"/>
              </w:rPr>
              <w:t>PEPFAR COP 2016</w:t>
            </w:r>
          </w:p>
        </w:tc>
      </w:tr>
      <w:tr w:rsidR="00185F66" w:rsidRPr="000C1BC8" w14:paraId="50D5FA87" w14:textId="77777777" w:rsidTr="00185F66">
        <w:trPr>
          <w:trHeight w:val="292"/>
        </w:trPr>
        <w:tc>
          <w:tcPr>
            <w:tcW w:w="1656" w:type="dxa"/>
            <w:shd w:val="clear" w:color="auto" w:fill="FFFFFF" w:themeFill="background1"/>
            <w:tcMar>
              <w:top w:w="54" w:type="dxa"/>
              <w:left w:w="108" w:type="dxa"/>
              <w:bottom w:w="54" w:type="dxa"/>
              <w:right w:w="108" w:type="dxa"/>
            </w:tcMar>
            <w:hideMark/>
          </w:tcPr>
          <w:p w14:paraId="6DFD5DAE" w14:textId="77777777" w:rsidR="00185F66" w:rsidRPr="000C1BC8" w:rsidRDefault="00185F66" w:rsidP="00185F66">
            <w:pPr>
              <w:spacing w:after="0"/>
              <w:rPr>
                <w:rFonts w:ascii="Arial" w:hAnsi="Arial" w:cs="Arial"/>
                <w:sz w:val="18"/>
              </w:rPr>
            </w:pPr>
            <w:r w:rsidRPr="000C1BC8">
              <w:rPr>
                <w:rFonts w:ascii="Arial" w:hAnsi="Arial" w:cs="Arial"/>
                <w:b/>
                <w:bCs/>
                <w:sz w:val="18"/>
              </w:rPr>
              <w:t>PMTCT</w:t>
            </w:r>
          </w:p>
        </w:tc>
        <w:tc>
          <w:tcPr>
            <w:tcW w:w="2659" w:type="dxa"/>
            <w:shd w:val="clear" w:color="auto" w:fill="FFFFFF" w:themeFill="background1"/>
            <w:tcMar>
              <w:top w:w="54" w:type="dxa"/>
              <w:left w:w="108" w:type="dxa"/>
              <w:bottom w:w="54" w:type="dxa"/>
              <w:right w:w="108" w:type="dxa"/>
            </w:tcMar>
            <w:hideMark/>
          </w:tcPr>
          <w:p w14:paraId="2BFFCE54" w14:textId="20BD1C78" w:rsidR="00185F66" w:rsidRPr="000C1BC8" w:rsidRDefault="00185F66" w:rsidP="00185F66">
            <w:pPr>
              <w:spacing w:after="0"/>
              <w:rPr>
                <w:rFonts w:ascii="Arial" w:hAnsi="Arial" w:cs="Arial"/>
                <w:sz w:val="18"/>
              </w:rPr>
            </w:pPr>
            <w:r w:rsidRPr="000C1BC8">
              <w:rPr>
                <w:rFonts w:ascii="Arial" w:hAnsi="Arial" w:cs="Arial"/>
                <w:sz w:val="18"/>
              </w:rPr>
              <w:t>$</w:t>
            </w:r>
            <w:r w:rsidR="00585D67">
              <w:rPr>
                <w:rFonts w:ascii="Arial" w:hAnsi="Arial" w:cs="Arial"/>
                <w:sz w:val="18"/>
              </w:rPr>
              <w:t>287</w:t>
            </w:r>
            <w:r w:rsidRPr="000C1BC8">
              <w:rPr>
                <w:rFonts w:ascii="Arial" w:hAnsi="Arial" w:cs="Arial"/>
                <w:sz w:val="18"/>
              </w:rPr>
              <w:t xml:space="preserve"> /per woman treated</w:t>
            </w:r>
          </w:p>
        </w:tc>
        <w:tc>
          <w:tcPr>
            <w:tcW w:w="5779" w:type="dxa"/>
            <w:shd w:val="clear" w:color="auto" w:fill="FFFFFF" w:themeFill="background1"/>
            <w:tcMar>
              <w:top w:w="54" w:type="dxa"/>
              <w:left w:w="108" w:type="dxa"/>
              <w:bottom w:w="54" w:type="dxa"/>
              <w:right w:w="108" w:type="dxa"/>
            </w:tcMar>
            <w:hideMark/>
          </w:tcPr>
          <w:p w14:paraId="409B4BF0" w14:textId="1ABCB476" w:rsidR="00585D67" w:rsidRDefault="00585D67" w:rsidP="00185F66">
            <w:pPr>
              <w:spacing w:after="0"/>
              <w:rPr>
                <w:rFonts w:ascii="Arial" w:hAnsi="Arial" w:cs="Arial"/>
                <w:sz w:val="18"/>
              </w:rPr>
            </w:pPr>
            <w:r>
              <w:rPr>
                <w:rFonts w:ascii="Arial" w:hAnsi="Arial" w:cs="Arial"/>
                <w:sz w:val="18"/>
              </w:rPr>
              <w:t xml:space="preserve">From CDC PMCT costing </w:t>
            </w:r>
            <w:r w:rsidR="004066EA">
              <w:rPr>
                <w:rFonts w:ascii="Arial" w:hAnsi="Arial" w:cs="Arial"/>
                <w:sz w:val="18"/>
              </w:rPr>
              <w:t>data</w:t>
            </w:r>
            <w:r>
              <w:rPr>
                <w:rFonts w:ascii="Arial" w:hAnsi="Arial" w:cs="Arial"/>
                <w:sz w:val="18"/>
              </w:rPr>
              <w:t>, excludes ARVs</w:t>
            </w:r>
          </w:p>
          <w:p w14:paraId="0F9B3892" w14:textId="12D997A5" w:rsidR="00185F66" w:rsidRPr="000C1BC8" w:rsidRDefault="00185F66" w:rsidP="00185F66">
            <w:pPr>
              <w:spacing w:after="0"/>
              <w:rPr>
                <w:rFonts w:ascii="Arial" w:hAnsi="Arial" w:cs="Arial"/>
                <w:sz w:val="18"/>
              </w:rPr>
            </w:pPr>
            <w:r w:rsidRPr="000C1BC8">
              <w:rPr>
                <w:rFonts w:ascii="Arial" w:hAnsi="Arial" w:cs="Arial"/>
                <w:sz w:val="18"/>
              </w:rPr>
              <w:t>Most costs are included in ART</w:t>
            </w:r>
          </w:p>
        </w:tc>
      </w:tr>
      <w:tr w:rsidR="00185F66" w:rsidRPr="000C1BC8" w14:paraId="3B20D477" w14:textId="77777777" w:rsidTr="00185F66">
        <w:trPr>
          <w:trHeight w:val="292"/>
        </w:trPr>
        <w:tc>
          <w:tcPr>
            <w:tcW w:w="1656" w:type="dxa"/>
            <w:shd w:val="clear" w:color="auto" w:fill="FFFFFF" w:themeFill="background1"/>
            <w:tcMar>
              <w:top w:w="54" w:type="dxa"/>
              <w:left w:w="108" w:type="dxa"/>
              <w:bottom w:w="54" w:type="dxa"/>
              <w:right w:w="108" w:type="dxa"/>
            </w:tcMar>
            <w:hideMark/>
          </w:tcPr>
          <w:p w14:paraId="3BF8DD71" w14:textId="77777777" w:rsidR="00185F66" w:rsidRPr="000C1BC8" w:rsidRDefault="00185F66" w:rsidP="00185F66">
            <w:pPr>
              <w:spacing w:after="0"/>
              <w:rPr>
                <w:rFonts w:ascii="Arial" w:hAnsi="Arial" w:cs="Arial"/>
                <w:sz w:val="18"/>
              </w:rPr>
            </w:pPr>
            <w:r w:rsidRPr="000C1BC8">
              <w:rPr>
                <w:rFonts w:ascii="Arial" w:hAnsi="Arial" w:cs="Arial"/>
                <w:b/>
                <w:bCs/>
                <w:sz w:val="18"/>
              </w:rPr>
              <w:t>PrEP</w:t>
            </w:r>
          </w:p>
        </w:tc>
        <w:tc>
          <w:tcPr>
            <w:tcW w:w="2659" w:type="dxa"/>
            <w:shd w:val="clear" w:color="auto" w:fill="FFFFFF" w:themeFill="background1"/>
            <w:tcMar>
              <w:top w:w="54" w:type="dxa"/>
              <w:left w:w="108" w:type="dxa"/>
              <w:bottom w:w="54" w:type="dxa"/>
              <w:right w:w="108" w:type="dxa"/>
            </w:tcMar>
            <w:hideMark/>
          </w:tcPr>
          <w:p w14:paraId="55540E11" w14:textId="77777777" w:rsidR="00185F66" w:rsidRPr="000C1BC8" w:rsidRDefault="00185F66" w:rsidP="00185F66">
            <w:pPr>
              <w:spacing w:after="0"/>
              <w:rPr>
                <w:rFonts w:ascii="Arial" w:hAnsi="Arial" w:cs="Arial"/>
                <w:sz w:val="18"/>
              </w:rPr>
            </w:pPr>
            <w:r w:rsidRPr="000C1BC8">
              <w:rPr>
                <w:rFonts w:ascii="Arial" w:hAnsi="Arial" w:cs="Arial"/>
                <w:sz w:val="18"/>
              </w:rPr>
              <w:t>$320 /per recipient</w:t>
            </w:r>
          </w:p>
        </w:tc>
        <w:tc>
          <w:tcPr>
            <w:tcW w:w="5779" w:type="dxa"/>
            <w:shd w:val="clear" w:color="auto" w:fill="FFFFFF" w:themeFill="background1"/>
            <w:tcMar>
              <w:top w:w="54" w:type="dxa"/>
              <w:left w:w="108" w:type="dxa"/>
              <w:bottom w:w="54" w:type="dxa"/>
              <w:right w:w="108" w:type="dxa"/>
            </w:tcMar>
            <w:hideMark/>
          </w:tcPr>
          <w:p w14:paraId="14AC9019" w14:textId="77777777" w:rsidR="00185F66" w:rsidRPr="000C1BC8" w:rsidRDefault="00185F66" w:rsidP="00185F66">
            <w:pPr>
              <w:spacing w:after="0"/>
              <w:rPr>
                <w:rFonts w:ascii="Arial" w:hAnsi="Arial" w:cs="Arial"/>
                <w:sz w:val="18"/>
              </w:rPr>
            </w:pPr>
            <w:r w:rsidRPr="000C1BC8">
              <w:rPr>
                <w:rFonts w:ascii="Arial" w:hAnsi="Arial" w:cs="Arial"/>
                <w:sz w:val="18"/>
              </w:rPr>
              <w:t>Forthcoming from Kenya</w:t>
            </w:r>
          </w:p>
        </w:tc>
      </w:tr>
      <w:tr w:rsidR="00185F66" w:rsidRPr="000C1BC8" w14:paraId="45E3BFA2" w14:textId="77777777" w:rsidTr="00BA2636">
        <w:trPr>
          <w:trHeight w:val="206"/>
        </w:trPr>
        <w:tc>
          <w:tcPr>
            <w:tcW w:w="1656" w:type="dxa"/>
            <w:shd w:val="clear" w:color="auto" w:fill="FFFFFF" w:themeFill="background1"/>
            <w:tcMar>
              <w:top w:w="54" w:type="dxa"/>
              <w:left w:w="108" w:type="dxa"/>
              <w:bottom w:w="54" w:type="dxa"/>
              <w:right w:w="108" w:type="dxa"/>
            </w:tcMar>
            <w:hideMark/>
          </w:tcPr>
          <w:p w14:paraId="7583BAB6" w14:textId="77777777" w:rsidR="00185F66" w:rsidRPr="000C1BC8" w:rsidRDefault="00185F66" w:rsidP="00185F66">
            <w:pPr>
              <w:spacing w:after="0"/>
              <w:rPr>
                <w:rFonts w:ascii="Arial" w:hAnsi="Arial" w:cs="Arial"/>
                <w:sz w:val="18"/>
              </w:rPr>
            </w:pPr>
            <w:r w:rsidRPr="000C1BC8">
              <w:rPr>
                <w:rFonts w:ascii="Arial" w:hAnsi="Arial" w:cs="Arial"/>
                <w:b/>
                <w:bCs/>
                <w:sz w:val="18"/>
              </w:rPr>
              <w:t>Cash transfers</w:t>
            </w:r>
          </w:p>
        </w:tc>
        <w:tc>
          <w:tcPr>
            <w:tcW w:w="2659" w:type="dxa"/>
            <w:shd w:val="clear" w:color="auto" w:fill="FFFFFF" w:themeFill="background1"/>
            <w:tcMar>
              <w:top w:w="54" w:type="dxa"/>
              <w:left w:w="108" w:type="dxa"/>
              <w:bottom w:w="54" w:type="dxa"/>
              <w:right w:w="108" w:type="dxa"/>
            </w:tcMar>
            <w:hideMark/>
          </w:tcPr>
          <w:p w14:paraId="599EBE05" w14:textId="77777777" w:rsidR="00185F66" w:rsidRPr="000C1BC8" w:rsidRDefault="00185F66" w:rsidP="00185F66">
            <w:pPr>
              <w:spacing w:after="0"/>
              <w:rPr>
                <w:rFonts w:ascii="Arial" w:hAnsi="Arial" w:cs="Arial"/>
                <w:sz w:val="18"/>
              </w:rPr>
            </w:pPr>
            <w:r w:rsidRPr="000C1BC8">
              <w:rPr>
                <w:rFonts w:ascii="Arial" w:hAnsi="Arial" w:cs="Arial"/>
                <w:sz w:val="18"/>
              </w:rPr>
              <w:t>$158 /per recipient</w:t>
            </w:r>
          </w:p>
        </w:tc>
        <w:tc>
          <w:tcPr>
            <w:tcW w:w="5779" w:type="dxa"/>
            <w:shd w:val="clear" w:color="auto" w:fill="FFFFFF" w:themeFill="background1"/>
            <w:tcMar>
              <w:top w:w="54" w:type="dxa"/>
              <w:left w:w="108" w:type="dxa"/>
              <w:bottom w:w="54" w:type="dxa"/>
              <w:right w:w="108" w:type="dxa"/>
            </w:tcMar>
            <w:hideMark/>
          </w:tcPr>
          <w:p w14:paraId="39ECA0DB" w14:textId="19E6E1B3" w:rsidR="00185F66" w:rsidRPr="000C1BC8" w:rsidRDefault="00BA2636" w:rsidP="00185F66">
            <w:pPr>
              <w:spacing w:after="0"/>
              <w:rPr>
                <w:rFonts w:ascii="Arial" w:hAnsi="Arial" w:cs="Arial"/>
                <w:sz w:val="18"/>
              </w:rPr>
            </w:pPr>
            <w:r>
              <w:rPr>
                <w:rFonts w:ascii="Arial" w:hAnsi="Arial" w:cs="Arial"/>
                <w:sz w:val="18"/>
              </w:rPr>
              <w:t>World Bank (2016)</w:t>
            </w:r>
          </w:p>
        </w:tc>
      </w:tr>
      <w:tr w:rsidR="00185F66" w:rsidRPr="000C1BC8" w14:paraId="753F520A" w14:textId="77777777" w:rsidTr="00185F66">
        <w:trPr>
          <w:trHeight w:val="292"/>
        </w:trPr>
        <w:tc>
          <w:tcPr>
            <w:tcW w:w="1656" w:type="dxa"/>
            <w:shd w:val="clear" w:color="auto" w:fill="FFFFFF" w:themeFill="background1"/>
            <w:tcMar>
              <w:top w:w="54" w:type="dxa"/>
              <w:left w:w="108" w:type="dxa"/>
              <w:bottom w:w="54" w:type="dxa"/>
              <w:right w:w="108" w:type="dxa"/>
            </w:tcMar>
            <w:hideMark/>
          </w:tcPr>
          <w:p w14:paraId="4D3B8E08" w14:textId="77777777" w:rsidR="00185F66" w:rsidRPr="000C1BC8" w:rsidRDefault="00185F66" w:rsidP="00185F66">
            <w:pPr>
              <w:spacing w:after="0"/>
              <w:rPr>
                <w:rFonts w:ascii="Arial" w:hAnsi="Arial" w:cs="Arial"/>
                <w:sz w:val="18"/>
              </w:rPr>
            </w:pPr>
            <w:r w:rsidRPr="000C1BC8">
              <w:rPr>
                <w:rFonts w:ascii="Arial" w:hAnsi="Arial" w:cs="Arial"/>
                <w:b/>
                <w:bCs/>
                <w:sz w:val="18"/>
              </w:rPr>
              <w:t>Program support</w:t>
            </w:r>
          </w:p>
        </w:tc>
        <w:tc>
          <w:tcPr>
            <w:tcW w:w="2659" w:type="dxa"/>
            <w:shd w:val="clear" w:color="auto" w:fill="FFFFFF" w:themeFill="background1"/>
            <w:tcMar>
              <w:top w:w="54" w:type="dxa"/>
              <w:left w:w="108" w:type="dxa"/>
              <w:bottom w:w="54" w:type="dxa"/>
              <w:right w:w="108" w:type="dxa"/>
            </w:tcMar>
            <w:hideMark/>
          </w:tcPr>
          <w:p w14:paraId="00C49D21" w14:textId="77777777" w:rsidR="00185F66" w:rsidRPr="000C1BC8" w:rsidRDefault="00185F66" w:rsidP="00185F66">
            <w:pPr>
              <w:spacing w:after="0"/>
              <w:rPr>
                <w:rFonts w:ascii="Arial" w:hAnsi="Arial" w:cs="Arial"/>
                <w:sz w:val="18"/>
              </w:rPr>
            </w:pPr>
            <w:r w:rsidRPr="000C1BC8">
              <w:rPr>
                <w:rFonts w:ascii="Arial" w:hAnsi="Arial" w:cs="Arial"/>
                <w:sz w:val="18"/>
              </w:rPr>
              <w:t>24% of direct costs</w:t>
            </w:r>
          </w:p>
        </w:tc>
        <w:tc>
          <w:tcPr>
            <w:tcW w:w="5779" w:type="dxa"/>
            <w:shd w:val="clear" w:color="auto" w:fill="FFFFFF" w:themeFill="background1"/>
            <w:tcMar>
              <w:top w:w="54" w:type="dxa"/>
              <w:left w:w="108" w:type="dxa"/>
              <w:bottom w:w="54" w:type="dxa"/>
              <w:right w:w="108" w:type="dxa"/>
            </w:tcMar>
            <w:hideMark/>
          </w:tcPr>
          <w:p w14:paraId="11CCB4C3" w14:textId="1544C528" w:rsidR="00185F66" w:rsidRPr="000C1BC8" w:rsidRDefault="00185F66" w:rsidP="00185F66">
            <w:pPr>
              <w:spacing w:after="0"/>
              <w:rPr>
                <w:rFonts w:ascii="Arial" w:hAnsi="Arial" w:cs="Arial"/>
                <w:sz w:val="18"/>
              </w:rPr>
            </w:pPr>
            <w:r>
              <w:rPr>
                <w:rFonts w:ascii="Arial" w:hAnsi="Arial" w:cs="Arial"/>
                <w:sz w:val="18"/>
              </w:rPr>
              <w:t xml:space="preserve">Weighted average based on analysis of PEPFAR, Global Fund and </w:t>
            </w:r>
            <w:r w:rsidR="005A6258">
              <w:rPr>
                <w:rFonts w:ascii="Arial" w:hAnsi="Arial" w:cs="Arial"/>
                <w:sz w:val="18"/>
              </w:rPr>
              <w:t>D</w:t>
            </w:r>
            <w:r>
              <w:rPr>
                <w:rFonts w:ascii="Arial" w:hAnsi="Arial" w:cs="Arial"/>
                <w:sz w:val="18"/>
              </w:rPr>
              <w:t xml:space="preserve">omestic HIV expenditure </w:t>
            </w:r>
          </w:p>
        </w:tc>
      </w:tr>
    </w:tbl>
    <w:p w14:paraId="6BE0694A" w14:textId="77777777" w:rsidR="00185F66" w:rsidRPr="008544A5" w:rsidRDefault="00185F66" w:rsidP="008544A5"/>
    <w:p w14:paraId="70A9727B" w14:textId="40FCCEFA" w:rsidR="00436EF4" w:rsidRPr="0000091D" w:rsidRDefault="0000091D" w:rsidP="007067DC">
      <w:pPr>
        <w:rPr>
          <w:rFonts w:ascii="Arial" w:hAnsi="Arial" w:cs="Arial"/>
          <w:i/>
          <w:sz w:val="18"/>
        </w:rPr>
      </w:pPr>
      <w:r w:rsidRPr="0000091D">
        <w:rPr>
          <w:rFonts w:ascii="Arial" w:hAnsi="Arial" w:cs="Arial"/>
          <w:i/>
          <w:sz w:val="18"/>
        </w:rPr>
        <w:t>Figure 5A-2. More details on ART unit cost</w:t>
      </w:r>
    </w:p>
    <w:tbl>
      <w:tblPr>
        <w:tblW w:w="10002" w:type="dxa"/>
        <w:tblCellMar>
          <w:left w:w="0" w:type="dxa"/>
          <w:right w:w="0" w:type="dxa"/>
        </w:tblCellMar>
        <w:tblLook w:val="0420" w:firstRow="1" w:lastRow="0" w:firstColumn="0" w:lastColumn="0" w:noHBand="0" w:noVBand="1"/>
      </w:tblPr>
      <w:tblGrid>
        <w:gridCol w:w="2586"/>
        <w:gridCol w:w="1791"/>
        <w:gridCol w:w="5625"/>
      </w:tblGrid>
      <w:tr w:rsidR="0007051B" w:rsidRPr="00505F88" w14:paraId="17183386" w14:textId="5FA74D83" w:rsidTr="008544A5">
        <w:trPr>
          <w:trHeight w:val="137"/>
        </w:trPr>
        <w:tc>
          <w:tcPr>
            <w:tcW w:w="2586" w:type="dxa"/>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14:paraId="51CC389B" w14:textId="26E9AA0A" w:rsidR="0007051B" w:rsidRPr="00505F88" w:rsidRDefault="0007051B" w:rsidP="0007051B">
            <w:pPr>
              <w:spacing w:after="0"/>
              <w:rPr>
                <w:rFonts w:ascii="Arial" w:hAnsi="Arial" w:cs="Arial"/>
                <w:b/>
                <w:sz w:val="18"/>
              </w:rPr>
            </w:pPr>
            <w:r w:rsidRPr="00505F88">
              <w:rPr>
                <w:rFonts w:ascii="Arial" w:hAnsi="Arial" w:cs="Arial"/>
                <w:b/>
                <w:bCs/>
                <w:sz w:val="18"/>
              </w:rPr>
              <w:t>US</w:t>
            </w:r>
            <w:r w:rsidR="0000091D">
              <w:rPr>
                <w:rFonts w:ascii="Arial" w:hAnsi="Arial" w:cs="Arial"/>
                <w:b/>
                <w:bCs/>
                <w:sz w:val="18"/>
              </w:rPr>
              <w:t>D</w:t>
            </w:r>
          </w:p>
        </w:tc>
        <w:tc>
          <w:tcPr>
            <w:tcW w:w="1791" w:type="dxa"/>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14:paraId="22A46089" w14:textId="4F1507C2" w:rsidR="0007051B" w:rsidRPr="00505F88" w:rsidRDefault="0007051B" w:rsidP="0007051B">
            <w:pPr>
              <w:spacing w:after="0"/>
              <w:jc w:val="center"/>
              <w:rPr>
                <w:rFonts w:ascii="Arial" w:hAnsi="Arial" w:cs="Arial"/>
                <w:b/>
                <w:sz w:val="18"/>
              </w:rPr>
            </w:pPr>
            <w:r w:rsidRPr="00505F88">
              <w:rPr>
                <w:rFonts w:ascii="Arial" w:hAnsi="Arial" w:cs="Arial"/>
                <w:b/>
                <w:bCs/>
                <w:sz w:val="18"/>
              </w:rPr>
              <w:t>2015</w:t>
            </w:r>
          </w:p>
        </w:tc>
        <w:tc>
          <w:tcPr>
            <w:tcW w:w="5625" w:type="dxa"/>
            <w:tcBorders>
              <w:top w:val="single" w:sz="8" w:space="0" w:color="FFFFFF"/>
              <w:left w:val="single" w:sz="8" w:space="0" w:color="FFFFFF"/>
              <w:bottom w:val="single" w:sz="24" w:space="0" w:color="FFFFFF"/>
              <w:right w:val="single" w:sz="8" w:space="0" w:color="FFFFFF"/>
            </w:tcBorders>
            <w:shd w:val="clear" w:color="auto" w:fill="C00000"/>
            <w:vAlign w:val="center"/>
          </w:tcPr>
          <w:p w14:paraId="305581B1" w14:textId="09A76CF6" w:rsidR="0007051B" w:rsidRPr="00505F88" w:rsidRDefault="0007051B" w:rsidP="0007051B">
            <w:pPr>
              <w:spacing w:after="0"/>
              <w:jc w:val="center"/>
              <w:rPr>
                <w:rFonts w:ascii="Arial" w:hAnsi="Arial" w:cs="Arial"/>
                <w:b/>
                <w:bCs/>
                <w:sz w:val="18"/>
              </w:rPr>
            </w:pPr>
            <w:r w:rsidRPr="00505F88">
              <w:rPr>
                <w:rFonts w:ascii="Arial" w:hAnsi="Arial" w:cs="Arial"/>
                <w:b/>
                <w:bCs/>
                <w:sz w:val="18"/>
              </w:rPr>
              <w:t>Notes</w:t>
            </w:r>
          </w:p>
        </w:tc>
      </w:tr>
      <w:tr w:rsidR="0007051B" w:rsidRPr="00505F88" w14:paraId="34717D87" w14:textId="5B5D3ABE" w:rsidTr="008544A5">
        <w:trPr>
          <w:trHeight w:val="150"/>
        </w:trPr>
        <w:tc>
          <w:tcPr>
            <w:tcW w:w="2586" w:type="dxa"/>
            <w:tcBorders>
              <w:top w:val="single" w:sz="24" w:space="0" w:color="FFFFFF"/>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167D67A9" w14:textId="77777777" w:rsidR="0007051B" w:rsidRPr="00505F88" w:rsidRDefault="0007051B" w:rsidP="0007051B">
            <w:pPr>
              <w:spacing w:after="0"/>
              <w:rPr>
                <w:rFonts w:ascii="Arial" w:hAnsi="Arial" w:cs="Arial"/>
                <w:b/>
                <w:sz w:val="18"/>
              </w:rPr>
            </w:pPr>
            <w:r w:rsidRPr="00505F88">
              <w:rPr>
                <w:rFonts w:ascii="Arial" w:hAnsi="Arial" w:cs="Arial"/>
                <w:b/>
                <w:bCs/>
                <w:sz w:val="18"/>
              </w:rPr>
              <w:t>Average cost of ART per person reached</w:t>
            </w:r>
          </w:p>
        </w:tc>
        <w:tc>
          <w:tcPr>
            <w:tcW w:w="1791" w:type="dxa"/>
            <w:tcBorders>
              <w:top w:val="single" w:sz="24" w:space="0" w:color="FFFFFF"/>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63FE78E9" w14:textId="77777777" w:rsidR="0007051B" w:rsidRPr="00505F88" w:rsidRDefault="0007051B" w:rsidP="0007051B">
            <w:pPr>
              <w:spacing w:after="0"/>
              <w:rPr>
                <w:rFonts w:ascii="Arial" w:hAnsi="Arial" w:cs="Arial"/>
                <w:sz w:val="18"/>
              </w:rPr>
            </w:pPr>
            <w:r w:rsidRPr="00505F88">
              <w:rPr>
                <w:rFonts w:ascii="Arial" w:hAnsi="Arial" w:cs="Arial"/>
                <w:bCs/>
                <w:sz w:val="18"/>
              </w:rPr>
              <w:t>$189</w:t>
            </w:r>
          </w:p>
        </w:tc>
        <w:tc>
          <w:tcPr>
            <w:tcW w:w="5625" w:type="dxa"/>
            <w:tcBorders>
              <w:top w:val="single" w:sz="24" w:space="0" w:color="FFFFFF"/>
              <w:left w:val="dashed" w:sz="4" w:space="0" w:color="000000"/>
              <w:bottom w:val="dashed" w:sz="4" w:space="0" w:color="000000"/>
              <w:right w:val="dashed" w:sz="4" w:space="0" w:color="000000"/>
            </w:tcBorders>
            <w:vAlign w:val="center"/>
          </w:tcPr>
          <w:p w14:paraId="22A363E4" w14:textId="03301F64" w:rsidR="0007051B" w:rsidRPr="00505F88" w:rsidRDefault="0007051B" w:rsidP="0007051B">
            <w:pPr>
              <w:spacing w:after="0"/>
              <w:rPr>
                <w:rFonts w:ascii="Arial" w:hAnsi="Arial" w:cs="Arial"/>
                <w:bCs/>
                <w:sz w:val="18"/>
              </w:rPr>
            </w:pPr>
            <w:r w:rsidRPr="00505F88">
              <w:rPr>
                <w:rFonts w:ascii="Arial" w:hAnsi="Arial" w:cs="Arial"/>
                <w:bCs/>
                <w:sz w:val="18"/>
              </w:rPr>
              <w:t xml:space="preserve">This </w:t>
            </w:r>
            <w:r w:rsidR="00185F66">
              <w:rPr>
                <w:rFonts w:ascii="Arial" w:hAnsi="Arial" w:cs="Arial"/>
                <w:bCs/>
                <w:sz w:val="18"/>
              </w:rPr>
              <w:t xml:space="preserve">unit </w:t>
            </w:r>
            <w:r w:rsidRPr="00505F88">
              <w:rPr>
                <w:rFonts w:ascii="Arial" w:hAnsi="Arial" w:cs="Arial"/>
                <w:bCs/>
                <w:sz w:val="18"/>
              </w:rPr>
              <w:t xml:space="preserve">cost was </w:t>
            </w:r>
            <w:r w:rsidR="00185F66">
              <w:rPr>
                <w:rFonts w:ascii="Arial" w:hAnsi="Arial" w:cs="Arial"/>
                <w:bCs/>
                <w:sz w:val="18"/>
              </w:rPr>
              <w:t>adjusted</w:t>
            </w:r>
            <w:r w:rsidRPr="00505F88">
              <w:rPr>
                <w:rFonts w:ascii="Arial" w:hAnsi="Arial" w:cs="Arial"/>
                <w:bCs/>
                <w:sz w:val="18"/>
              </w:rPr>
              <w:t xml:space="preserve"> to 2019 economic terms</w:t>
            </w:r>
            <w:r w:rsidR="00185F66">
              <w:rPr>
                <w:rFonts w:ascii="Arial" w:hAnsi="Arial" w:cs="Arial"/>
                <w:bCs/>
                <w:sz w:val="18"/>
              </w:rPr>
              <w:t xml:space="preserve"> in unit cost assumptions</w:t>
            </w:r>
          </w:p>
        </w:tc>
      </w:tr>
      <w:tr w:rsidR="0007051B" w:rsidRPr="00505F88" w14:paraId="254F1372" w14:textId="713BE5A3" w:rsidTr="008544A5">
        <w:trPr>
          <w:trHeight w:val="149"/>
        </w:trPr>
        <w:tc>
          <w:tcPr>
            <w:tcW w:w="2586" w:type="dxa"/>
            <w:tcBorders>
              <w:top w:val="dashed" w:sz="4" w:space="0" w:color="000000"/>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00E979B1" w14:textId="77777777" w:rsidR="0007051B" w:rsidRPr="00505F88" w:rsidRDefault="0007051B" w:rsidP="0007051B">
            <w:pPr>
              <w:spacing w:after="0"/>
              <w:rPr>
                <w:rFonts w:ascii="Arial" w:hAnsi="Arial" w:cs="Arial"/>
                <w:sz w:val="18"/>
              </w:rPr>
            </w:pPr>
            <w:r w:rsidRPr="00505F88">
              <w:rPr>
                <w:rFonts w:ascii="Arial" w:hAnsi="Arial" w:cs="Arial"/>
                <w:sz w:val="18"/>
              </w:rPr>
              <w:t>ARVs</w:t>
            </w:r>
          </w:p>
        </w:tc>
        <w:tc>
          <w:tcPr>
            <w:tcW w:w="1791" w:type="dxa"/>
            <w:tcBorders>
              <w:top w:val="dashed" w:sz="4" w:space="0" w:color="000000"/>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17EE2005" w14:textId="77777777" w:rsidR="0007051B" w:rsidRPr="00505F88" w:rsidRDefault="0007051B" w:rsidP="0007051B">
            <w:pPr>
              <w:spacing w:after="0"/>
              <w:rPr>
                <w:rFonts w:ascii="Arial" w:hAnsi="Arial" w:cs="Arial"/>
                <w:sz w:val="18"/>
              </w:rPr>
            </w:pPr>
            <w:r w:rsidRPr="00505F88">
              <w:rPr>
                <w:rFonts w:ascii="Arial" w:hAnsi="Arial" w:cs="Arial"/>
                <w:sz w:val="18"/>
              </w:rPr>
              <w:t>$95</w:t>
            </w:r>
          </w:p>
        </w:tc>
        <w:tc>
          <w:tcPr>
            <w:tcW w:w="5625" w:type="dxa"/>
            <w:tcBorders>
              <w:top w:val="dashed" w:sz="4" w:space="0" w:color="000000"/>
              <w:left w:val="dashed" w:sz="4" w:space="0" w:color="000000"/>
              <w:bottom w:val="dashed" w:sz="4" w:space="0" w:color="000000"/>
              <w:right w:val="dashed" w:sz="4" w:space="0" w:color="000000"/>
            </w:tcBorders>
          </w:tcPr>
          <w:p w14:paraId="21E586D1" w14:textId="77777777" w:rsidR="0007051B" w:rsidRPr="00505F88" w:rsidRDefault="0007051B" w:rsidP="0007051B">
            <w:pPr>
              <w:spacing w:after="0"/>
              <w:rPr>
                <w:rFonts w:ascii="Arial" w:hAnsi="Arial" w:cs="Arial"/>
                <w:b/>
                <w:sz w:val="18"/>
              </w:rPr>
            </w:pPr>
          </w:p>
        </w:tc>
      </w:tr>
      <w:tr w:rsidR="0007051B" w:rsidRPr="00505F88" w14:paraId="686D52B9" w14:textId="7D71C947" w:rsidTr="008544A5">
        <w:trPr>
          <w:trHeight w:val="149"/>
        </w:trPr>
        <w:tc>
          <w:tcPr>
            <w:tcW w:w="2586" w:type="dxa"/>
            <w:tcBorders>
              <w:top w:val="dashed" w:sz="4" w:space="0" w:color="000000"/>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65A9C129" w14:textId="77777777" w:rsidR="0007051B" w:rsidRPr="00505F88" w:rsidRDefault="0007051B" w:rsidP="0007051B">
            <w:pPr>
              <w:spacing w:after="0"/>
              <w:rPr>
                <w:rFonts w:ascii="Arial" w:hAnsi="Arial" w:cs="Arial"/>
                <w:sz w:val="18"/>
              </w:rPr>
            </w:pPr>
            <w:r w:rsidRPr="00505F88">
              <w:rPr>
                <w:rFonts w:ascii="Arial" w:hAnsi="Arial" w:cs="Arial"/>
                <w:sz w:val="18"/>
              </w:rPr>
              <w:t>Personnel</w:t>
            </w:r>
          </w:p>
        </w:tc>
        <w:tc>
          <w:tcPr>
            <w:tcW w:w="1791" w:type="dxa"/>
            <w:tcBorders>
              <w:top w:val="dashed" w:sz="4" w:space="0" w:color="000000"/>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3C6421B1" w14:textId="77777777" w:rsidR="0007051B" w:rsidRPr="00505F88" w:rsidRDefault="0007051B" w:rsidP="0007051B">
            <w:pPr>
              <w:spacing w:after="0"/>
              <w:rPr>
                <w:rFonts w:ascii="Arial" w:hAnsi="Arial" w:cs="Arial"/>
                <w:sz w:val="18"/>
              </w:rPr>
            </w:pPr>
            <w:r w:rsidRPr="00505F88">
              <w:rPr>
                <w:rFonts w:ascii="Arial" w:hAnsi="Arial" w:cs="Arial"/>
                <w:sz w:val="18"/>
              </w:rPr>
              <w:t>$35</w:t>
            </w:r>
          </w:p>
        </w:tc>
        <w:tc>
          <w:tcPr>
            <w:tcW w:w="5625" w:type="dxa"/>
            <w:tcBorders>
              <w:top w:val="dashed" w:sz="4" w:space="0" w:color="000000"/>
              <w:left w:val="dashed" w:sz="4" w:space="0" w:color="000000"/>
              <w:bottom w:val="dashed" w:sz="4" w:space="0" w:color="000000"/>
              <w:right w:val="dashed" w:sz="4" w:space="0" w:color="000000"/>
            </w:tcBorders>
          </w:tcPr>
          <w:p w14:paraId="1143A254" w14:textId="77777777" w:rsidR="0007051B" w:rsidRPr="00505F88" w:rsidRDefault="0007051B" w:rsidP="0007051B">
            <w:pPr>
              <w:spacing w:after="0"/>
              <w:rPr>
                <w:rFonts w:ascii="Arial" w:hAnsi="Arial" w:cs="Arial"/>
                <w:b/>
                <w:sz w:val="18"/>
              </w:rPr>
            </w:pPr>
          </w:p>
        </w:tc>
      </w:tr>
      <w:tr w:rsidR="0007051B" w:rsidRPr="00505F88" w14:paraId="7B50A11E" w14:textId="6AB73BF7" w:rsidTr="008544A5">
        <w:trPr>
          <w:trHeight w:val="149"/>
        </w:trPr>
        <w:tc>
          <w:tcPr>
            <w:tcW w:w="2586" w:type="dxa"/>
            <w:tcBorders>
              <w:top w:val="dashed" w:sz="4" w:space="0" w:color="000000"/>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450B71BA" w14:textId="77777777" w:rsidR="0007051B" w:rsidRPr="00505F88" w:rsidRDefault="0007051B" w:rsidP="0007051B">
            <w:pPr>
              <w:spacing w:after="0"/>
              <w:rPr>
                <w:rFonts w:ascii="Arial" w:hAnsi="Arial" w:cs="Arial"/>
                <w:sz w:val="18"/>
              </w:rPr>
            </w:pPr>
            <w:r w:rsidRPr="00505F88">
              <w:rPr>
                <w:rFonts w:ascii="Arial" w:hAnsi="Arial" w:cs="Arial"/>
                <w:sz w:val="18"/>
              </w:rPr>
              <w:t>Lab services</w:t>
            </w:r>
          </w:p>
        </w:tc>
        <w:tc>
          <w:tcPr>
            <w:tcW w:w="1791" w:type="dxa"/>
            <w:tcBorders>
              <w:top w:val="dashed" w:sz="4" w:space="0" w:color="000000"/>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6316C356" w14:textId="77777777" w:rsidR="0007051B" w:rsidRPr="00505F88" w:rsidRDefault="0007051B" w:rsidP="0007051B">
            <w:pPr>
              <w:spacing w:after="0"/>
              <w:rPr>
                <w:rFonts w:ascii="Arial" w:hAnsi="Arial" w:cs="Arial"/>
                <w:sz w:val="18"/>
              </w:rPr>
            </w:pPr>
            <w:r w:rsidRPr="00505F88">
              <w:rPr>
                <w:rFonts w:ascii="Arial" w:hAnsi="Arial" w:cs="Arial"/>
                <w:sz w:val="18"/>
              </w:rPr>
              <w:t>$20</w:t>
            </w:r>
          </w:p>
        </w:tc>
        <w:tc>
          <w:tcPr>
            <w:tcW w:w="5625" w:type="dxa"/>
            <w:tcBorders>
              <w:top w:val="dashed" w:sz="4" w:space="0" w:color="000000"/>
              <w:left w:val="dashed" w:sz="4" w:space="0" w:color="000000"/>
              <w:bottom w:val="dashed" w:sz="4" w:space="0" w:color="000000"/>
              <w:right w:val="dashed" w:sz="4" w:space="0" w:color="000000"/>
            </w:tcBorders>
          </w:tcPr>
          <w:p w14:paraId="12846F90" w14:textId="77777777" w:rsidR="0007051B" w:rsidRPr="00505F88" w:rsidRDefault="0007051B" w:rsidP="0007051B">
            <w:pPr>
              <w:spacing w:after="0"/>
              <w:rPr>
                <w:rFonts w:ascii="Arial" w:hAnsi="Arial" w:cs="Arial"/>
                <w:b/>
                <w:sz w:val="18"/>
              </w:rPr>
            </w:pPr>
          </w:p>
        </w:tc>
      </w:tr>
      <w:tr w:rsidR="0007051B" w:rsidRPr="00505F88" w14:paraId="799E0B4A" w14:textId="7DB8B250" w:rsidTr="008544A5">
        <w:trPr>
          <w:trHeight w:val="244"/>
        </w:trPr>
        <w:tc>
          <w:tcPr>
            <w:tcW w:w="2586" w:type="dxa"/>
            <w:tcBorders>
              <w:top w:val="dashed" w:sz="4" w:space="0" w:color="000000"/>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5F41E4CC" w14:textId="77777777" w:rsidR="0007051B" w:rsidRPr="00505F88" w:rsidRDefault="0007051B" w:rsidP="0007051B">
            <w:pPr>
              <w:spacing w:after="0"/>
              <w:rPr>
                <w:rFonts w:ascii="Arial" w:hAnsi="Arial" w:cs="Arial"/>
                <w:sz w:val="18"/>
              </w:rPr>
            </w:pPr>
            <w:r w:rsidRPr="00505F88">
              <w:rPr>
                <w:rFonts w:ascii="Arial" w:hAnsi="Arial" w:cs="Arial"/>
                <w:sz w:val="18"/>
              </w:rPr>
              <w:t>Hospital admissions</w:t>
            </w:r>
          </w:p>
        </w:tc>
        <w:tc>
          <w:tcPr>
            <w:tcW w:w="1791" w:type="dxa"/>
            <w:tcBorders>
              <w:top w:val="dashed" w:sz="4" w:space="0" w:color="000000"/>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7DF34B56" w14:textId="77777777" w:rsidR="0007051B" w:rsidRPr="00505F88" w:rsidRDefault="0007051B" w:rsidP="0007051B">
            <w:pPr>
              <w:spacing w:after="0"/>
              <w:rPr>
                <w:rFonts w:ascii="Arial" w:hAnsi="Arial" w:cs="Arial"/>
                <w:sz w:val="18"/>
              </w:rPr>
            </w:pPr>
            <w:r w:rsidRPr="00505F88">
              <w:rPr>
                <w:rFonts w:ascii="Arial" w:hAnsi="Arial" w:cs="Arial"/>
                <w:sz w:val="18"/>
              </w:rPr>
              <w:t>--</w:t>
            </w:r>
          </w:p>
        </w:tc>
        <w:tc>
          <w:tcPr>
            <w:tcW w:w="5625" w:type="dxa"/>
            <w:tcBorders>
              <w:top w:val="dashed" w:sz="4" w:space="0" w:color="000000"/>
              <w:left w:val="dashed" w:sz="4" w:space="0" w:color="000000"/>
              <w:bottom w:val="dashed" w:sz="4" w:space="0" w:color="000000"/>
              <w:right w:val="dashed" w:sz="4" w:space="0" w:color="000000"/>
            </w:tcBorders>
          </w:tcPr>
          <w:p w14:paraId="319DA073" w14:textId="77777777" w:rsidR="0007051B" w:rsidRPr="00505F88" w:rsidRDefault="0007051B" w:rsidP="0007051B">
            <w:pPr>
              <w:spacing w:after="0"/>
              <w:rPr>
                <w:rFonts w:ascii="Arial" w:hAnsi="Arial" w:cs="Arial"/>
                <w:b/>
                <w:sz w:val="18"/>
              </w:rPr>
            </w:pPr>
          </w:p>
        </w:tc>
      </w:tr>
      <w:tr w:rsidR="0007051B" w:rsidRPr="00505F88" w14:paraId="5E95DCD3" w14:textId="07211926" w:rsidTr="008544A5">
        <w:trPr>
          <w:trHeight w:val="149"/>
        </w:trPr>
        <w:tc>
          <w:tcPr>
            <w:tcW w:w="2586" w:type="dxa"/>
            <w:tcBorders>
              <w:top w:val="dashed" w:sz="4" w:space="0" w:color="000000"/>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3F240933" w14:textId="77777777" w:rsidR="0007051B" w:rsidRPr="00505F88" w:rsidRDefault="0007051B" w:rsidP="0007051B">
            <w:pPr>
              <w:spacing w:after="0"/>
              <w:rPr>
                <w:rFonts w:ascii="Arial" w:hAnsi="Arial" w:cs="Arial"/>
                <w:sz w:val="18"/>
              </w:rPr>
            </w:pPr>
            <w:r w:rsidRPr="00505F88">
              <w:rPr>
                <w:rFonts w:ascii="Arial" w:hAnsi="Arial" w:cs="Arial"/>
                <w:sz w:val="18"/>
              </w:rPr>
              <w:t>Viral load?</w:t>
            </w:r>
          </w:p>
        </w:tc>
        <w:tc>
          <w:tcPr>
            <w:tcW w:w="1791" w:type="dxa"/>
            <w:tcBorders>
              <w:top w:val="dashed" w:sz="4" w:space="0" w:color="000000"/>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6481B1FB" w14:textId="77777777" w:rsidR="0007051B" w:rsidRPr="00505F88" w:rsidRDefault="0007051B" w:rsidP="0007051B">
            <w:pPr>
              <w:spacing w:after="0"/>
              <w:rPr>
                <w:rFonts w:ascii="Arial" w:hAnsi="Arial" w:cs="Arial"/>
                <w:sz w:val="18"/>
              </w:rPr>
            </w:pPr>
            <w:r w:rsidRPr="00505F88">
              <w:rPr>
                <w:rFonts w:ascii="Arial" w:hAnsi="Arial" w:cs="Arial"/>
                <w:sz w:val="18"/>
              </w:rPr>
              <w:t>8% of facilities</w:t>
            </w:r>
          </w:p>
        </w:tc>
        <w:tc>
          <w:tcPr>
            <w:tcW w:w="5625" w:type="dxa"/>
            <w:tcBorders>
              <w:top w:val="dashed" w:sz="4" w:space="0" w:color="000000"/>
              <w:left w:val="dashed" w:sz="4" w:space="0" w:color="000000"/>
              <w:bottom w:val="dashed" w:sz="4" w:space="0" w:color="000000"/>
              <w:right w:val="dashed" w:sz="4" w:space="0" w:color="000000"/>
            </w:tcBorders>
          </w:tcPr>
          <w:p w14:paraId="1BCE7137" w14:textId="4ED06E50" w:rsidR="0007051B" w:rsidRPr="00505F88" w:rsidRDefault="0007051B" w:rsidP="0007051B">
            <w:pPr>
              <w:spacing w:after="0"/>
              <w:rPr>
                <w:rFonts w:ascii="Arial" w:hAnsi="Arial" w:cs="Arial"/>
                <w:b/>
                <w:sz w:val="18"/>
              </w:rPr>
            </w:pPr>
            <w:r w:rsidRPr="00505F88">
              <w:rPr>
                <w:rFonts w:ascii="Arial" w:hAnsi="Arial" w:cs="Arial"/>
                <w:sz w:val="18"/>
              </w:rPr>
              <w:t xml:space="preserve">At the time of the ART costing study, only 8% of facilities were using VL testing. We adjusted this figure to account for 63% of patients receiving VL testing (Forsythe </w:t>
            </w:r>
            <w:r w:rsidR="00121628">
              <w:rPr>
                <w:rFonts w:ascii="Arial" w:hAnsi="Arial" w:cs="Arial"/>
                <w:sz w:val="18"/>
              </w:rPr>
              <w:t>et al</w:t>
            </w:r>
            <w:r w:rsidRPr="00505F88">
              <w:rPr>
                <w:rFonts w:ascii="Arial" w:hAnsi="Arial" w:cs="Arial"/>
                <w:sz w:val="18"/>
              </w:rPr>
              <w:t xml:space="preserve"> 2018)</w:t>
            </w:r>
          </w:p>
        </w:tc>
      </w:tr>
      <w:tr w:rsidR="0007051B" w:rsidRPr="00505F88" w14:paraId="4CDC72D5" w14:textId="59DA1D7A" w:rsidTr="008544A5">
        <w:trPr>
          <w:trHeight w:val="235"/>
        </w:trPr>
        <w:tc>
          <w:tcPr>
            <w:tcW w:w="2586" w:type="dxa"/>
            <w:tcBorders>
              <w:top w:val="dashed" w:sz="4" w:space="0" w:color="000000"/>
              <w:left w:val="single" w:sz="8" w:space="0" w:color="FFFFFF"/>
              <w:bottom w:val="dashed" w:sz="4" w:space="0" w:color="000000"/>
              <w:right w:val="dashed" w:sz="4" w:space="0" w:color="000000"/>
            </w:tcBorders>
            <w:shd w:val="clear" w:color="auto" w:fill="FFFFFF" w:themeFill="background1"/>
            <w:tcMar>
              <w:top w:w="72" w:type="dxa"/>
              <w:left w:w="144" w:type="dxa"/>
              <w:bottom w:w="72" w:type="dxa"/>
              <w:right w:w="144" w:type="dxa"/>
            </w:tcMar>
            <w:vAlign w:val="center"/>
            <w:hideMark/>
          </w:tcPr>
          <w:p w14:paraId="3645610C" w14:textId="77777777" w:rsidR="0007051B" w:rsidRPr="00505F88" w:rsidRDefault="0007051B" w:rsidP="0007051B">
            <w:pPr>
              <w:spacing w:after="0"/>
              <w:rPr>
                <w:rFonts w:ascii="Arial" w:hAnsi="Arial" w:cs="Arial"/>
                <w:sz w:val="18"/>
              </w:rPr>
            </w:pPr>
            <w:r w:rsidRPr="00505F88">
              <w:rPr>
                <w:rFonts w:ascii="Arial" w:hAnsi="Arial" w:cs="Arial"/>
                <w:sz w:val="18"/>
              </w:rPr>
              <w:t>Study population</w:t>
            </w:r>
          </w:p>
        </w:tc>
        <w:tc>
          <w:tcPr>
            <w:tcW w:w="1791" w:type="dxa"/>
            <w:tcBorders>
              <w:top w:val="dashed" w:sz="4" w:space="0" w:color="000000"/>
              <w:left w:val="dashed" w:sz="4" w:space="0" w:color="000000"/>
              <w:bottom w:val="dashed" w:sz="4" w:space="0" w:color="000000"/>
              <w:right w:val="dashed" w:sz="4" w:space="0" w:color="000000"/>
            </w:tcBorders>
            <w:shd w:val="clear" w:color="auto" w:fill="auto"/>
            <w:tcMar>
              <w:top w:w="72" w:type="dxa"/>
              <w:left w:w="144" w:type="dxa"/>
              <w:bottom w:w="72" w:type="dxa"/>
              <w:right w:w="144" w:type="dxa"/>
            </w:tcMar>
            <w:vAlign w:val="center"/>
            <w:hideMark/>
          </w:tcPr>
          <w:p w14:paraId="1EA8CD66" w14:textId="77777777" w:rsidR="0007051B" w:rsidRPr="00505F88" w:rsidRDefault="0007051B" w:rsidP="0007051B">
            <w:pPr>
              <w:spacing w:after="0"/>
              <w:rPr>
                <w:rFonts w:ascii="Arial" w:hAnsi="Arial" w:cs="Arial"/>
                <w:sz w:val="18"/>
              </w:rPr>
            </w:pPr>
            <w:r w:rsidRPr="00505F88">
              <w:rPr>
                <w:rFonts w:ascii="Arial" w:hAnsi="Arial" w:cs="Arial"/>
                <w:sz w:val="18"/>
              </w:rPr>
              <w:t>All ART patients</w:t>
            </w:r>
          </w:p>
        </w:tc>
        <w:tc>
          <w:tcPr>
            <w:tcW w:w="5625" w:type="dxa"/>
            <w:tcBorders>
              <w:top w:val="dashed" w:sz="4" w:space="0" w:color="000000"/>
              <w:left w:val="dashed" w:sz="4" w:space="0" w:color="000000"/>
              <w:bottom w:val="dashed" w:sz="4" w:space="0" w:color="000000"/>
              <w:right w:val="dashed" w:sz="4" w:space="0" w:color="000000"/>
            </w:tcBorders>
          </w:tcPr>
          <w:p w14:paraId="1FA9AAA3" w14:textId="77777777" w:rsidR="0007051B" w:rsidRPr="00505F88" w:rsidRDefault="0007051B" w:rsidP="0007051B">
            <w:pPr>
              <w:spacing w:after="0"/>
              <w:rPr>
                <w:rFonts w:ascii="Arial" w:hAnsi="Arial" w:cs="Arial"/>
                <w:b/>
                <w:sz w:val="18"/>
              </w:rPr>
            </w:pPr>
          </w:p>
        </w:tc>
      </w:tr>
      <w:tr w:rsidR="0007051B" w:rsidRPr="00505F88" w14:paraId="5AAA7FF5" w14:textId="4B03F679" w:rsidTr="008544A5">
        <w:trPr>
          <w:trHeight w:val="244"/>
        </w:trPr>
        <w:tc>
          <w:tcPr>
            <w:tcW w:w="2586" w:type="dxa"/>
            <w:tcBorders>
              <w:top w:val="dashed" w:sz="4" w:space="0" w:color="000000"/>
              <w:left w:val="single" w:sz="8" w:space="0" w:color="FFFFFF"/>
              <w:bottom w:val="single" w:sz="8" w:space="0" w:color="FFFFFF"/>
              <w:right w:val="dashed" w:sz="4" w:space="0" w:color="000000"/>
            </w:tcBorders>
            <w:shd w:val="clear" w:color="auto" w:fill="FFFFFF" w:themeFill="background1"/>
            <w:tcMar>
              <w:top w:w="72" w:type="dxa"/>
              <w:left w:w="144" w:type="dxa"/>
              <w:bottom w:w="72" w:type="dxa"/>
              <w:right w:w="144" w:type="dxa"/>
            </w:tcMar>
            <w:vAlign w:val="center"/>
            <w:hideMark/>
          </w:tcPr>
          <w:p w14:paraId="402E38BC" w14:textId="77777777" w:rsidR="0007051B" w:rsidRPr="00505F88" w:rsidRDefault="0007051B" w:rsidP="0007051B">
            <w:pPr>
              <w:spacing w:after="0"/>
              <w:rPr>
                <w:rFonts w:ascii="Arial" w:hAnsi="Arial" w:cs="Arial"/>
                <w:sz w:val="18"/>
              </w:rPr>
            </w:pPr>
            <w:r w:rsidRPr="00505F88">
              <w:rPr>
                <w:rFonts w:ascii="Arial" w:hAnsi="Arial" w:cs="Arial"/>
                <w:sz w:val="18"/>
              </w:rPr>
              <w:t>Year of data collection</w:t>
            </w:r>
          </w:p>
        </w:tc>
        <w:tc>
          <w:tcPr>
            <w:tcW w:w="1791" w:type="dxa"/>
            <w:tcBorders>
              <w:top w:val="dashed" w:sz="4" w:space="0" w:color="000000"/>
              <w:left w:val="dashed" w:sz="4" w:space="0" w:color="000000"/>
              <w:bottom w:val="single" w:sz="8" w:space="0" w:color="FFFFFF"/>
              <w:right w:val="dashed" w:sz="4" w:space="0" w:color="000000"/>
            </w:tcBorders>
            <w:shd w:val="clear" w:color="auto" w:fill="auto"/>
            <w:tcMar>
              <w:top w:w="72" w:type="dxa"/>
              <w:left w:w="144" w:type="dxa"/>
              <w:bottom w:w="72" w:type="dxa"/>
              <w:right w:w="144" w:type="dxa"/>
            </w:tcMar>
            <w:vAlign w:val="center"/>
            <w:hideMark/>
          </w:tcPr>
          <w:p w14:paraId="48435897" w14:textId="77777777" w:rsidR="0007051B" w:rsidRPr="00505F88" w:rsidRDefault="0007051B" w:rsidP="0007051B">
            <w:pPr>
              <w:spacing w:after="0"/>
              <w:rPr>
                <w:rFonts w:ascii="Arial" w:hAnsi="Arial" w:cs="Arial"/>
                <w:sz w:val="18"/>
              </w:rPr>
            </w:pPr>
            <w:r w:rsidRPr="00505F88">
              <w:rPr>
                <w:rFonts w:ascii="Arial" w:hAnsi="Arial" w:cs="Arial"/>
                <w:sz w:val="18"/>
              </w:rPr>
              <w:t>2012-2013</w:t>
            </w:r>
          </w:p>
        </w:tc>
        <w:tc>
          <w:tcPr>
            <w:tcW w:w="5625" w:type="dxa"/>
            <w:tcBorders>
              <w:top w:val="dashed" w:sz="4" w:space="0" w:color="000000"/>
              <w:left w:val="dashed" w:sz="4" w:space="0" w:color="000000"/>
              <w:bottom w:val="single" w:sz="8" w:space="0" w:color="FFFFFF"/>
              <w:right w:val="dashed" w:sz="4" w:space="0" w:color="000000"/>
            </w:tcBorders>
          </w:tcPr>
          <w:p w14:paraId="72134FD4" w14:textId="77777777" w:rsidR="0007051B" w:rsidRPr="00505F88" w:rsidRDefault="0007051B" w:rsidP="0007051B">
            <w:pPr>
              <w:spacing w:after="0"/>
              <w:rPr>
                <w:rFonts w:ascii="Arial" w:hAnsi="Arial" w:cs="Arial"/>
                <w:b/>
                <w:sz w:val="18"/>
              </w:rPr>
            </w:pPr>
          </w:p>
        </w:tc>
      </w:tr>
    </w:tbl>
    <w:p w14:paraId="6C8FE09E" w14:textId="66A8FF10" w:rsidR="0000091D" w:rsidRPr="0000091D" w:rsidRDefault="0000091D" w:rsidP="0000091D">
      <w:pPr>
        <w:spacing w:after="0"/>
        <w:rPr>
          <w:rFonts w:ascii="Arial" w:hAnsi="Arial" w:cs="Arial"/>
          <w:sz w:val="16"/>
        </w:rPr>
      </w:pPr>
      <w:r w:rsidRPr="004066EA">
        <w:rPr>
          <w:rFonts w:ascii="Arial" w:hAnsi="Arial" w:cs="Arial"/>
          <w:sz w:val="16"/>
        </w:rPr>
        <w:t>Source:</w:t>
      </w:r>
      <w:r w:rsidRPr="004066EA">
        <w:rPr>
          <w:rFonts w:ascii="Arial" w:hAnsi="Arial" w:cs="Arial"/>
          <w:sz w:val="14"/>
        </w:rPr>
        <w:t xml:space="preserve"> </w:t>
      </w:r>
      <w:r w:rsidRPr="0000091D">
        <w:rPr>
          <w:rFonts w:ascii="Arial" w:hAnsi="Arial" w:cs="Arial"/>
          <w:sz w:val="16"/>
        </w:rPr>
        <w:t>Tanzania Ministry of Health, Community Development, Gender, Elderly, and Children, U.S. Centers for Disease Control and Prevention, and ICF International. (2016). The Cost of Comprehensive HIV Treatment in Tanzania. Dar es Salaam, Tanzania and Atlanta, GA (USA): U.S. Centers for Disease Control and Prevention</w:t>
      </w:r>
    </w:p>
    <w:p w14:paraId="592F0C0A" w14:textId="59C30340" w:rsidR="001F1B8D" w:rsidRDefault="001F1B8D" w:rsidP="001F1B8D">
      <w:pPr>
        <w:pStyle w:val="Heading2"/>
        <w:rPr>
          <w:rFonts w:ascii="Arial" w:hAnsi="Arial" w:cs="Arial"/>
          <w:color w:val="000000" w:themeColor="text1"/>
        </w:rPr>
      </w:pPr>
      <w:bookmarkStart w:id="145" w:name="_Toc57035238"/>
      <w:r w:rsidRPr="00A178D1">
        <w:rPr>
          <w:rFonts w:ascii="Arial" w:hAnsi="Arial" w:cs="Arial"/>
          <w:color w:val="000000" w:themeColor="text1"/>
        </w:rPr>
        <w:t>Annex 6. Geographic prioritization results</w:t>
      </w:r>
      <w:bookmarkEnd w:id="145"/>
    </w:p>
    <w:p w14:paraId="4E025E5D" w14:textId="77777777" w:rsidR="001F1B8D" w:rsidRDefault="001F1B8D" w:rsidP="001F1B8D"/>
    <w:p w14:paraId="4ACFC128" w14:textId="6F158F7B" w:rsidR="001F1B8D" w:rsidRPr="00FA77B5" w:rsidRDefault="001F1B8D" w:rsidP="00A178D1">
      <w:pPr>
        <w:rPr>
          <w:rFonts w:ascii="Arial" w:hAnsi="Arial" w:cs="Arial"/>
        </w:rPr>
      </w:pPr>
      <w:r w:rsidRPr="00A178D1">
        <w:rPr>
          <w:rFonts w:ascii="Arial" w:hAnsi="Arial" w:cs="Arial"/>
        </w:rPr>
        <w:t xml:space="preserve">For the Investment Case Optimization analysis, incidence was estimated by district. </w:t>
      </w:r>
      <w:r w:rsidR="006B78FD" w:rsidRPr="00A178D1">
        <w:rPr>
          <w:rFonts w:ascii="Arial" w:hAnsi="Arial" w:cs="Arial"/>
        </w:rPr>
        <w:t xml:space="preserve"> </w:t>
      </w:r>
      <w:r w:rsidRPr="00A178D1">
        <w:rPr>
          <w:rFonts w:ascii="Arial" w:hAnsi="Arial" w:cs="Arial"/>
        </w:rPr>
        <w:t>Among the highest incidence districts</w:t>
      </w:r>
      <w:r w:rsidR="006B78FD" w:rsidRPr="00A178D1">
        <w:rPr>
          <w:rFonts w:ascii="Arial" w:hAnsi="Arial" w:cs="Arial"/>
        </w:rPr>
        <w:t xml:space="preserve"> identified (&gt;0.30% annual incidence)</w:t>
      </w:r>
      <w:r w:rsidRPr="00A178D1">
        <w:rPr>
          <w:rFonts w:ascii="Arial" w:hAnsi="Arial" w:cs="Arial"/>
        </w:rPr>
        <w:t xml:space="preserve">, </w:t>
      </w:r>
      <w:r w:rsidR="006B78FD" w:rsidRPr="00A178D1">
        <w:rPr>
          <w:rFonts w:ascii="Arial" w:hAnsi="Arial" w:cs="Arial"/>
        </w:rPr>
        <w:t>a</w:t>
      </w:r>
      <w:r w:rsidRPr="00A178D1">
        <w:rPr>
          <w:rFonts w:ascii="Arial" w:hAnsi="Arial" w:cs="Arial"/>
        </w:rPr>
        <w:t xml:space="preserve">lmost all </w:t>
      </w:r>
      <w:r w:rsidR="006B78FD" w:rsidRPr="00A178D1">
        <w:rPr>
          <w:rFonts w:ascii="Arial" w:hAnsi="Arial" w:cs="Arial"/>
        </w:rPr>
        <w:t>a</w:t>
      </w:r>
      <w:r w:rsidRPr="00A178D1">
        <w:rPr>
          <w:rFonts w:ascii="Arial" w:hAnsi="Arial" w:cs="Arial"/>
        </w:rPr>
        <w:t>re</w:t>
      </w:r>
      <w:r w:rsidR="006B78FD" w:rsidRPr="00A178D1">
        <w:rPr>
          <w:rFonts w:ascii="Arial" w:hAnsi="Arial" w:cs="Arial"/>
        </w:rPr>
        <w:t xml:space="preserve"> already</w:t>
      </w:r>
      <w:r w:rsidRPr="00A178D1">
        <w:rPr>
          <w:rFonts w:ascii="Arial" w:hAnsi="Arial" w:cs="Arial"/>
        </w:rPr>
        <w:t xml:space="preserve"> PEPFAR highest priority districts. </w:t>
      </w:r>
      <w:r w:rsidR="00E5101A">
        <w:rPr>
          <w:rFonts w:ascii="Arial" w:hAnsi="Arial" w:cs="Arial"/>
        </w:rPr>
        <w:t>This result implies that</w:t>
      </w:r>
      <w:r w:rsidRPr="00A178D1">
        <w:rPr>
          <w:rFonts w:ascii="Arial" w:hAnsi="Arial" w:cs="Arial"/>
        </w:rPr>
        <w:t xml:space="preserve"> spending is already</w:t>
      </w:r>
      <w:r w:rsidR="00E5101A">
        <w:rPr>
          <w:rFonts w:ascii="Arial" w:hAnsi="Arial" w:cs="Arial"/>
        </w:rPr>
        <w:t xml:space="preserve"> highly</w:t>
      </w:r>
      <w:r w:rsidRPr="00A178D1">
        <w:rPr>
          <w:rFonts w:ascii="Arial" w:hAnsi="Arial" w:cs="Arial"/>
        </w:rPr>
        <w:t xml:space="preserve"> prioritized geographically </w:t>
      </w:r>
      <w:r w:rsidR="00E5101A">
        <w:rPr>
          <w:rFonts w:ascii="Arial" w:hAnsi="Arial" w:cs="Arial"/>
        </w:rPr>
        <w:t xml:space="preserve">and </w:t>
      </w:r>
      <w:r w:rsidRPr="00A178D1">
        <w:rPr>
          <w:rFonts w:ascii="Arial" w:hAnsi="Arial" w:cs="Arial"/>
        </w:rPr>
        <w:t xml:space="preserve">there is not much scope to </w:t>
      </w:r>
      <w:r w:rsidR="006B78FD" w:rsidRPr="00A178D1">
        <w:rPr>
          <w:rFonts w:ascii="Arial" w:hAnsi="Arial" w:cs="Arial"/>
        </w:rPr>
        <w:t>further maximize prevention spending from the geography perspective</w:t>
      </w:r>
      <w:r w:rsidRPr="00A178D1">
        <w:rPr>
          <w:rFonts w:ascii="Arial" w:hAnsi="Arial" w:cs="Arial"/>
        </w:rPr>
        <w:t>.</w:t>
      </w:r>
    </w:p>
    <w:p w14:paraId="719B9F4A" w14:textId="5F2AB24C" w:rsidR="006B78FD" w:rsidRPr="00BA002E" w:rsidRDefault="001F1B8D" w:rsidP="006B78FD">
      <w:r w:rsidRPr="00FA77B5">
        <w:rPr>
          <w:noProof/>
        </w:rPr>
        <w:drawing>
          <wp:inline distT="0" distB="0" distL="0" distR="0" wp14:anchorId="6E10F4E8" wp14:editId="236865F4">
            <wp:extent cx="6057900" cy="2019300"/>
            <wp:effectExtent l="0" t="0" r="0" b="0"/>
            <wp:docPr id="14" name="Chart 14">
              <a:extLst xmlns:a="http://schemas.openxmlformats.org/drawingml/2006/main">
                <a:ext uri="{FF2B5EF4-FFF2-40B4-BE49-F238E27FC236}">
                  <a16:creationId xmlns:a16="http://schemas.microsoft.com/office/drawing/2014/main" id="{D9B49F8D-72ED-4AC4-BD5F-176BF3B99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829768F" w14:textId="4729AF69" w:rsidR="006B78FD" w:rsidRPr="00BA002E" w:rsidRDefault="006B78FD" w:rsidP="00BA002E">
      <w:pPr>
        <w:rPr>
          <w:rFonts w:ascii="Arial" w:hAnsi="Arial" w:cs="Arial"/>
        </w:rPr>
      </w:pPr>
      <w:r w:rsidRPr="00BA002E">
        <w:rPr>
          <w:rFonts w:ascii="Arial" w:hAnsi="Arial" w:cs="Arial"/>
        </w:rPr>
        <w:t>For reference, the names of the districts within incidence bucket are shown below--</w:t>
      </w:r>
    </w:p>
    <w:tbl>
      <w:tblPr>
        <w:tblW w:w="10018" w:type="dxa"/>
        <w:tblCellMar>
          <w:left w:w="0" w:type="dxa"/>
          <w:right w:w="0" w:type="dxa"/>
        </w:tblCellMar>
        <w:tblLook w:val="0420" w:firstRow="1" w:lastRow="0" w:firstColumn="0" w:lastColumn="0" w:noHBand="0" w:noVBand="1"/>
      </w:tblPr>
      <w:tblGrid>
        <w:gridCol w:w="2026"/>
        <w:gridCol w:w="2056"/>
        <w:gridCol w:w="2026"/>
        <w:gridCol w:w="2018"/>
        <w:gridCol w:w="1892"/>
      </w:tblGrid>
      <w:tr w:rsidR="006B78FD" w:rsidRPr="00BA002E" w14:paraId="7D941710" w14:textId="77777777" w:rsidTr="00A178D1">
        <w:trPr>
          <w:trHeight w:val="193"/>
        </w:trPr>
        <w:tc>
          <w:tcPr>
            <w:tcW w:w="2026" w:type="dxa"/>
            <w:tcBorders>
              <w:top w:val="single" w:sz="8" w:space="0" w:color="FFFFFF"/>
              <w:left w:val="single" w:sz="8" w:space="0" w:color="FFFFFF"/>
              <w:bottom w:val="single" w:sz="24" w:space="0" w:color="FFFFFF"/>
              <w:right w:val="single" w:sz="8" w:space="0" w:color="000000"/>
            </w:tcBorders>
            <w:shd w:val="clear" w:color="auto" w:fill="C00000"/>
            <w:tcMar>
              <w:top w:w="72" w:type="dxa"/>
              <w:left w:w="144" w:type="dxa"/>
              <w:bottom w:w="72" w:type="dxa"/>
              <w:right w:w="144" w:type="dxa"/>
            </w:tcMar>
            <w:hideMark/>
          </w:tcPr>
          <w:p w14:paraId="005CE0C5" w14:textId="77777777" w:rsidR="006B78FD" w:rsidRPr="00BA002E" w:rsidRDefault="006B78FD" w:rsidP="00BA002E">
            <w:pPr>
              <w:rPr>
                <w:rFonts w:ascii="Arial" w:hAnsi="Arial" w:cs="Arial"/>
                <w:color w:val="FFFFFF" w:themeColor="background1"/>
                <w:sz w:val="14"/>
                <w:szCs w:val="14"/>
              </w:rPr>
            </w:pPr>
            <w:r w:rsidRPr="00BA002E">
              <w:rPr>
                <w:rFonts w:ascii="Arial" w:hAnsi="Arial" w:cs="Arial"/>
                <w:b/>
                <w:bCs/>
                <w:color w:val="FFFFFF" w:themeColor="background1"/>
                <w:sz w:val="14"/>
                <w:szCs w:val="14"/>
              </w:rPr>
              <w:t>0.3-0.39</w:t>
            </w:r>
          </w:p>
        </w:tc>
        <w:tc>
          <w:tcPr>
            <w:tcW w:w="2056" w:type="dxa"/>
            <w:tcBorders>
              <w:top w:val="single" w:sz="8" w:space="0" w:color="FFFFFF"/>
              <w:left w:val="single" w:sz="8" w:space="0" w:color="000000"/>
              <w:bottom w:val="single" w:sz="24" w:space="0" w:color="FFFFFF"/>
              <w:right w:val="single" w:sz="8" w:space="0" w:color="000000"/>
            </w:tcBorders>
            <w:shd w:val="clear" w:color="auto" w:fill="C00000"/>
            <w:tcMar>
              <w:top w:w="72" w:type="dxa"/>
              <w:left w:w="144" w:type="dxa"/>
              <w:bottom w:w="72" w:type="dxa"/>
              <w:right w:w="144" w:type="dxa"/>
            </w:tcMar>
            <w:hideMark/>
          </w:tcPr>
          <w:p w14:paraId="0627A376" w14:textId="77777777" w:rsidR="006B78FD" w:rsidRPr="00BA002E" w:rsidRDefault="006B78FD" w:rsidP="00BA002E">
            <w:pPr>
              <w:rPr>
                <w:rFonts w:ascii="Arial" w:hAnsi="Arial" w:cs="Arial"/>
                <w:color w:val="FFFFFF" w:themeColor="background1"/>
                <w:sz w:val="14"/>
                <w:szCs w:val="14"/>
              </w:rPr>
            </w:pPr>
            <w:r w:rsidRPr="00BA002E">
              <w:rPr>
                <w:rFonts w:ascii="Arial" w:hAnsi="Arial" w:cs="Arial"/>
                <w:b/>
                <w:bCs/>
                <w:color w:val="FFFFFF" w:themeColor="background1"/>
                <w:sz w:val="14"/>
                <w:szCs w:val="14"/>
              </w:rPr>
              <w:t>0.4-0.49</w:t>
            </w:r>
          </w:p>
        </w:tc>
        <w:tc>
          <w:tcPr>
            <w:tcW w:w="2026" w:type="dxa"/>
            <w:tcBorders>
              <w:top w:val="single" w:sz="8" w:space="0" w:color="FFFFFF"/>
              <w:left w:val="single" w:sz="8" w:space="0" w:color="000000"/>
              <w:bottom w:val="single" w:sz="24" w:space="0" w:color="FFFFFF"/>
              <w:right w:val="single" w:sz="8" w:space="0" w:color="000000"/>
            </w:tcBorders>
            <w:shd w:val="clear" w:color="auto" w:fill="C00000"/>
            <w:tcMar>
              <w:top w:w="72" w:type="dxa"/>
              <w:left w:w="144" w:type="dxa"/>
              <w:bottom w:w="72" w:type="dxa"/>
              <w:right w:w="144" w:type="dxa"/>
            </w:tcMar>
            <w:hideMark/>
          </w:tcPr>
          <w:p w14:paraId="39B69AB2" w14:textId="77777777" w:rsidR="006B78FD" w:rsidRPr="00BA002E" w:rsidRDefault="006B78FD" w:rsidP="00BA002E">
            <w:pPr>
              <w:rPr>
                <w:rFonts w:ascii="Arial" w:hAnsi="Arial" w:cs="Arial"/>
                <w:color w:val="FFFFFF" w:themeColor="background1"/>
                <w:sz w:val="14"/>
                <w:szCs w:val="14"/>
              </w:rPr>
            </w:pPr>
            <w:r w:rsidRPr="00BA002E">
              <w:rPr>
                <w:rFonts w:ascii="Arial" w:hAnsi="Arial" w:cs="Arial"/>
                <w:b/>
                <w:bCs/>
                <w:color w:val="FFFFFF" w:themeColor="background1"/>
                <w:sz w:val="14"/>
                <w:szCs w:val="14"/>
              </w:rPr>
              <w:t>0.5-0.59</w:t>
            </w:r>
          </w:p>
        </w:tc>
        <w:tc>
          <w:tcPr>
            <w:tcW w:w="2018" w:type="dxa"/>
            <w:tcBorders>
              <w:top w:val="single" w:sz="8" w:space="0" w:color="FFFFFF"/>
              <w:left w:val="single" w:sz="8" w:space="0" w:color="000000"/>
              <w:bottom w:val="single" w:sz="24" w:space="0" w:color="FFFFFF"/>
              <w:right w:val="single" w:sz="8" w:space="0" w:color="000000"/>
            </w:tcBorders>
            <w:shd w:val="clear" w:color="auto" w:fill="C00000"/>
            <w:tcMar>
              <w:top w:w="72" w:type="dxa"/>
              <w:left w:w="144" w:type="dxa"/>
              <w:bottom w:w="72" w:type="dxa"/>
              <w:right w:w="144" w:type="dxa"/>
            </w:tcMar>
            <w:hideMark/>
          </w:tcPr>
          <w:p w14:paraId="2D5962B0" w14:textId="77777777" w:rsidR="006B78FD" w:rsidRPr="00BA002E" w:rsidRDefault="006B78FD" w:rsidP="00BA002E">
            <w:pPr>
              <w:rPr>
                <w:rFonts w:ascii="Arial" w:hAnsi="Arial" w:cs="Arial"/>
                <w:color w:val="FFFFFF" w:themeColor="background1"/>
                <w:sz w:val="14"/>
                <w:szCs w:val="14"/>
              </w:rPr>
            </w:pPr>
            <w:r w:rsidRPr="00BA002E">
              <w:rPr>
                <w:rFonts w:ascii="Arial" w:hAnsi="Arial" w:cs="Arial"/>
                <w:b/>
                <w:bCs/>
                <w:color w:val="FFFFFF" w:themeColor="background1"/>
                <w:sz w:val="14"/>
                <w:szCs w:val="14"/>
              </w:rPr>
              <w:t>0.6-0.69</w:t>
            </w:r>
          </w:p>
        </w:tc>
        <w:tc>
          <w:tcPr>
            <w:tcW w:w="1892" w:type="dxa"/>
            <w:tcBorders>
              <w:top w:val="single" w:sz="8" w:space="0" w:color="FFFFFF"/>
              <w:left w:val="single" w:sz="8" w:space="0" w:color="000000"/>
              <w:bottom w:val="single" w:sz="24" w:space="0" w:color="FFFFFF"/>
              <w:right w:val="single" w:sz="8" w:space="0" w:color="FFFFFF"/>
            </w:tcBorders>
            <w:shd w:val="clear" w:color="auto" w:fill="C00000"/>
            <w:tcMar>
              <w:top w:w="72" w:type="dxa"/>
              <w:left w:w="144" w:type="dxa"/>
              <w:bottom w:w="72" w:type="dxa"/>
              <w:right w:w="144" w:type="dxa"/>
            </w:tcMar>
            <w:hideMark/>
          </w:tcPr>
          <w:p w14:paraId="592BBA3A" w14:textId="77777777" w:rsidR="006B78FD" w:rsidRPr="00BA002E" w:rsidRDefault="006B78FD" w:rsidP="00BA002E">
            <w:pPr>
              <w:rPr>
                <w:rFonts w:ascii="Arial" w:hAnsi="Arial" w:cs="Arial"/>
                <w:color w:val="FFFFFF" w:themeColor="background1"/>
                <w:sz w:val="14"/>
                <w:szCs w:val="14"/>
              </w:rPr>
            </w:pPr>
            <w:r w:rsidRPr="00BA002E">
              <w:rPr>
                <w:rFonts w:ascii="Arial" w:hAnsi="Arial" w:cs="Arial"/>
                <w:b/>
                <w:bCs/>
                <w:color w:val="FFFFFF" w:themeColor="background1"/>
                <w:sz w:val="14"/>
                <w:szCs w:val="14"/>
              </w:rPr>
              <w:t>&gt;0.7</w:t>
            </w:r>
          </w:p>
        </w:tc>
      </w:tr>
      <w:tr w:rsidR="006B78FD" w:rsidRPr="00BA002E" w14:paraId="64D5AF56" w14:textId="77777777" w:rsidTr="00A178D1">
        <w:trPr>
          <w:trHeight w:val="3715"/>
        </w:trPr>
        <w:tc>
          <w:tcPr>
            <w:tcW w:w="2026" w:type="dxa"/>
            <w:tcBorders>
              <w:top w:val="single" w:sz="24" w:space="0" w:color="FFFFFF"/>
              <w:left w:val="single" w:sz="8" w:space="0" w:color="FFFFFF"/>
              <w:bottom w:val="single" w:sz="8" w:space="0" w:color="FFFFFF"/>
              <w:right w:val="single" w:sz="8" w:space="0" w:color="000000"/>
            </w:tcBorders>
            <w:shd w:val="clear" w:color="auto" w:fill="FFFFFF"/>
            <w:tcMar>
              <w:top w:w="72" w:type="dxa"/>
              <w:left w:w="144" w:type="dxa"/>
              <w:bottom w:w="72" w:type="dxa"/>
              <w:right w:w="144" w:type="dxa"/>
            </w:tcMar>
            <w:hideMark/>
          </w:tcPr>
          <w:p w14:paraId="3545B268" w14:textId="77777777" w:rsidR="006B78FD" w:rsidRPr="00BA002E" w:rsidRDefault="006B78FD" w:rsidP="00BA002E">
            <w:pPr>
              <w:rPr>
                <w:rFonts w:ascii="Arial" w:hAnsi="Arial" w:cs="Arial"/>
                <w:sz w:val="14"/>
                <w:szCs w:val="14"/>
              </w:rPr>
            </w:pPr>
            <w:r w:rsidRPr="00BA002E">
              <w:rPr>
                <w:rFonts w:ascii="Arial" w:hAnsi="Arial" w:cs="Arial"/>
                <w:sz w:val="14"/>
                <w:szCs w:val="14"/>
              </w:rPr>
              <w:t>Songea MC</w:t>
            </w:r>
          </w:p>
          <w:p w14:paraId="4DDA0158" w14:textId="77777777" w:rsidR="006B78FD" w:rsidRPr="00BA002E" w:rsidRDefault="006B78FD" w:rsidP="00BA002E">
            <w:pPr>
              <w:rPr>
                <w:rFonts w:ascii="Arial" w:hAnsi="Arial" w:cs="Arial"/>
                <w:sz w:val="14"/>
                <w:szCs w:val="14"/>
              </w:rPr>
            </w:pPr>
            <w:r w:rsidRPr="00BA002E">
              <w:rPr>
                <w:rFonts w:ascii="Arial" w:hAnsi="Arial" w:cs="Arial"/>
                <w:sz w:val="14"/>
                <w:szCs w:val="14"/>
              </w:rPr>
              <w:t>Mlele DC</w:t>
            </w:r>
          </w:p>
          <w:p w14:paraId="3F726456" w14:textId="77777777" w:rsidR="006B78FD" w:rsidRPr="00BA002E" w:rsidRDefault="006B78FD" w:rsidP="00BA002E">
            <w:pPr>
              <w:rPr>
                <w:rFonts w:ascii="Arial" w:hAnsi="Arial" w:cs="Arial"/>
                <w:sz w:val="14"/>
                <w:szCs w:val="14"/>
              </w:rPr>
            </w:pPr>
            <w:r w:rsidRPr="00BA002E">
              <w:rPr>
                <w:rFonts w:ascii="Arial" w:hAnsi="Arial" w:cs="Arial"/>
                <w:sz w:val="14"/>
                <w:szCs w:val="14"/>
              </w:rPr>
              <w:t>Mbinga TC</w:t>
            </w:r>
          </w:p>
          <w:p w14:paraId="22800924" w14:textId="77777777" w:rsidR="006B78FD" w:rsidRPr="00BA002E" w:rsidRDefault="006B78FD" w:rsidP="00BA002E">
            <w:pPr>
              <w:rPr>
                <w:rFonts w:ascii="Arial" w:hAnsi="Arial" w:cs="Arial"/>
                <w:sz w:val="14"/>
                <w:szCs w:val="14"/>
              </w:rPr>
            </w:pPr>
            <w:r w:rsidRPr="00BA002E">
              <w:rPr>
                <w:rFonts w:ascii="Arial" w:hAnsi="Arial" w:cs="Arial"/>
                <w:sz w:val="14"/>
                <w:szCs w:val="14"/>
              </w:rPr>
              <w:t>Bukoba MC</w:t>
            </w:r>
          </w:p>
          <w:p w14:paraId="24EB7203" w14:textId="77777777" w:rsidR="006B78FD" w:rsidRPr="00BA002E" w:rsidRDefault="006B78FD" w:rsidP="00BA002E">
            <w:pPr>
              <w:rPr>
                <w:rFonts w:ascii="Arial" w:hAnsi="Arial" w:cs="Arial"/>
                <w:sz w:val="14"/>
                <w:szCs w:val="14"/>
              </w:rPr>
            </w:pPr>
            <w:r w:rsidRPr="00BA002E">
              <w:rPr>
                <w:rFonts w:ascii="Arial" w:hAnsi="Arial" w:cs="Arial"/>
                <w:sz w:val="14"/>
                <w:szCs w:val="14"/>
              </w:rPr>
              <w:t>Nyamagana MC</w:t>
            </w:r>
          </w:p>
          <w:p w14:paraId="77819EF3" w14:textId="77777777" w:rsidR="006B78FD" w:rsidRPr="00BA002E" w:rsidRDefault="006B78FD" w:rsidP="00BA002E">
            <w:pPr>
              <w:rPr>
                <w:rFonts w:ascii="Arial" w:hAnsi="Arial" w:cs="Arial"/>
                <w:sz w:val="14"/>
                <w:szCs w:val="14"/>
              </w:rPr>
            </w:pPr>
            <w:r w:rsidRPr="00BA002E">
              <w:rPr>
                <w:rFonts w:ascii="Arial" w:hAnsi="Arial" w:cs="Arial"/>
                <w:sz w:val="14"/>
                <w:szCs w:val="14"/>
              </w:rPr>
              <w:t>Kahama TC</w:t>
            </w:r>
          </w:p>
          <w:p w14:paraId="42BBC384" w14:textId="77777777" w:rsidR="006B78FD" w:rsidRPr="00BA002E" w:rsidRDefault="006B78FD" w:rsidP="00BA002E">
            <w:pPr>
              <w:rPr>
                <w:rFonts w:ascii="Arial" w:hAnsi="Arial" w:cs="Arial"/>
                <w:sz w:val="14"/>
                <w:szCs w:val="14"/>
              </w:rPr>
            </w:pPr>
            <w:r w:rsidRPr="00BA002E">
              <w:rPr>
                <w:rFonts w:ascii="Arial" w:hAnsi="Arial" w:cs="Arial"/>
                <w:sz w:val="14"/>
                <w:szCs w:val="14"/>
              </w:rPr>
              <w:t>Tanga CC</w:t>
            </w:r>
          </w:p>
          <w:p w14:paraId="384886E1" w14:textId="77777777" w:rsidR="006B78FD" w:rsidRPr="00BA002E" w:rsidRDefault="006B78FD" w:rsidP="00BA002E">
            <w:pPr>
              <w:rPr>
                <w:rFonts w:ascii="Arial" w:hAnsi="Arial" w:cs="Arial"/>
                <w:sz w:val="14"/>
                <w:szCs w:val="14"/>
              </w:rPr>
            </w:pPr>
            <w:r w:rsidRPr="00BA002E">
              <w:rPr>
                <w:rFonts w:ascii="Arial" w:hAnsi="Arial" w:cs="Arial"/>
                <w:sz w:val="14"/>
                <w:szCs w:val="14"/>
              </w:rPr>
              <w:t>Misungwi DC</w:t>
            </w:r>
          </w:p>
          <w:p w14:paraId="516B3D1B" w14:textId="77777777" w:rsidR="006B78FD" w:rsidRPr="00BA002E" w:rsidRDefault="006B78FD" w:rsidP="00BA002E">
            <w:pPr>
              <w:rPr>
                <w:rFonts w:ascii="Arial" w:hAnsi="Arial" w:cs="Arial"/>
                <w:sz w:val="14"/>
                <w:szCs w:val="14"/>
              </w:rPr>
            </w:pPr>
            <w:r w:rsidRPr="00BA002E">
              <w:rPr>
                <w:rFonts w:ascii="Arial" w:hAnsi="Arial" w:cs="Arial"/>
                <w:sz w:val="14"/>
                <w:szCs w:val="14"/>
              </w:rPr>
              <w:t>Muleba DC</w:t>
            </w:r>
          </w:p>
          <w:p w14:paraId="1A1406B5" w14:textId="77777777" w:rsidR="006B78FD" w:rsidRPr="00BA002E" w:rsidRDefault="006B78FD" w:rsidP="00BA002E">
            <w:pPr>
              <w:rPr>
                <w:rFonts w:ascii="Arial" w:hAnsi="Arial" w:cs="Arial"/>
                <w:sz w:val="14"/>
                <w:szCs w:val="14"/>
              </w:rPr>
            </w:pPr>
            <w:r w:rsidRPr="00BA002E">
              <w:rPr>
                <w:rFonts w:ascii="Arial" w:hAnsi="Arial" w:cs="Arial"/>
                <w:sz w:val="14"/>
                <w:szCs w:val="14"/>
              </w:rPr>
              <w:t>Kilolo DC</w:t>
            </w:r>
          </w:p>
          <w:p w14:paraId="0D5215B0" w14:textId="77777777" w:rsidR="006B78FD" w:rsidRPr="00BA002E" w:rsidRDefault="006B78FD" w:rsidP="00BA002E">
            <w:pPr>
              <w:rPr>
                <w:rFonts w:ascii="Arial" w:hAnsi="Arial" w:cs="Arial"/>
                <w:sz w:val="14"/>
                <w:szCs w:val="14"/>
              </w:rPr>
            </w:pPr>
            <w:r w:rsidRPr="00BA002E">
              <w:rPr>
                <w:rFonts w:ascii="Arial" w:hAnsi="Arial" w:cs="Arial"/>
                <w:sz w:val="14"/>
                <w:szCs w:val="14"/>
              </w:rPr>
              <w:t>Kyerwa DC</w:t>
            </w:r>
          </w:p>
          <w:p w14:paraId="2116C2CD" w14:textId="77777777" w:rsidR="006B78FD" w:rsidRPr="00BA002E" w:rsidRDefault="006B78FD" w:rsidP="00BA002E">
            <w:pPr>
              <w:rPr>
                <w:rFonts w:ascii="Arial" w:hAnsi="Arial" w:cs="Arial"/>
                <w:sz w:val="14"/>
                <w:szCs w:val="14"/>
              </w:rPr>
            </w:pPr>
            <w:r w:rsidRPr="00BA002E">
              <w:rPr>
                <w:rFonts w:ascii="Arial" w:hAnsi="Arial" w:cs="Arial"/>
                <w:sz w:val="14"/>
                <w:szCs w:val="14"/>
              </w:rPr>
              <w:t>Magu DC</w:t>
            </w:r>
          </w:p>
          <w:p w14:paraId="013BFF5A" w14:textId="77777777" w:rsidR="006B78FD" w:rsidRPr="00093605" w:rsidRDefault="006B78FD" w:rsidP="00BA002E">
            <w:pPr>
              <w:rPr>
                <w:rFonts w:ascii="Arial" w:hAnsi="Arial" w:cs="Arial"/>
                <w:sz w:val="14"/>
                <w:szCs w:val="14"/>
                <w:lang w:val="fr-FR"/>
              </w:rPr>
            </w:pPr>
            <w:r w:rsidRPr="00093605">
              <w:rPr>
                <w:rFonts w:ascii="Arial" w:hAnsi="Arial" w:cs="Arial"/>
                <w:sz w:val="14"/>
                <w:szCs w:val="14"/>
                <w:lang w:val="fr-FR"/>
              </w:rPr>
              <w:t>Rufiji DC</w:t>
            </w:r>
          </w:p>
          <w:p w14:paraId="75BFE11B" w14:textId="77777777" w:rsidR="006B78FD" w:rsidRPr="00093605" w:rsidRDefault="006B78FD" w:rsidP="00BA002E">
            <w:pPr>
              <w:rPr>
                <w:rFonts w:ascii="Arial" w:hAnsi="Arial" w:cs="Arial"/>
                <w:sz w:val="14"/>
                <w:szCs w:val="14"/>
                <w:lang w:val="fr-FR"/>
              </w:rPr>
            </w:pPr>
            <w:r w:rsidRPr="00093605">
              <w:rPr>
                <w:rFonts w:ascii="Arial" w:hAnsi="Arial" w:cs="Arial"/>
                <w:sz w:val="14"/>
                <w:szCs w:val="14"/>
                <w:lang w:val="fr-FR"/>
              </w:rPr>
              <w:t>Bukoba DC</w:t>
            </w:r>
          </w:p>
          <w:p w14:paraId="5D2BB89A" w14:textId="77777777" w:rsidR="006B78FD" w:rsidRPr="00093605" w:rsidRDefault="006B78FD" w:rsidP="00BA002E">
            <w:pPr>
              <w:rPr>
                <w:rFonts w:ascii="Arial" w:hAnsi="Arial" w:cs="Arial"/>
                <w:sz w:val="14"/>
                <w:szCs w:val="14"/>
                <w:lang w:val="fr-FR"/>
              </w:rPr>
            </w:pPr>
            <w:r w:rsidRPr="00093605">
              <w:rPr>
                <w:rFonts w:ascii="Arial" w:hAnsi="Arial" w:cs="Arial"/>
                <w:sz w:val="14"/>
                <w:szCs w:val="14"/>
                <w:lang w:val="fr-FR"/>
              </w:rPr>
              <w:t>Ulanga DC</w:t>
            </w:r>
          </w:p>
          <w:p w14:paraId="7155D19F" w14:textId="77777777" w:rsidR="006B78FD" w:rsidRPr="00BA002E" w:rsidRDefault="006B78FD" w:rsidP="00BA002E">
            <w:pPr>
              <w:rPr>
                <w:rFonts w:ascii="Arial" w:hAnsi="Arial" w:cs="Arial"/>
                <w:sz w:val="14"/>
                <w:szCs w:val="14"/>
              </w:rPr>
            </w:pPr>
            <w:r w:rsidRPr="00BA002E">
              <w:rPr>
                <w:rFonts w:ascii="Arial" w:hAnsi="Arial" w:cs="Arial"/>
                <w:sz w:val="14"/>
                <w:szCs w:val="14"/>
              </w:rPr>
              <w:t>Lindi MC</w:t>
            </w:r>
          </w:p>
          <w:p w14:paraId="0457AD43" w14:textId="77777777" w:rsidR="006B78FD" w:rsidRPr="00BA002E" w:rsidRDefault="006B78FD" w:rsidP="00BA002E">
            <w:pPr>
              <w:rPr>
                <w:rFonts w:ascii="Arial" w:hAnsi="Arial" w:cs="Arial"/>
                <w:sz w:val="14"/>
                <w:szCs w:val="14"/>
              </w:rPr>
            </w:pPr>
            <w:r w:rsidRPr="00BA002E">
              <w:rPr>
                <w:rFonts w:ascii="Arial" w:hAnsi="Arial" w:cs="Arial"/>
                <w:sz w:val="14"/>
                <w:szCs w:val="14"/>
              </w:rPr>
              <w:t>Mtwara MC</w:t>
            </w:r>
          </w:p>
          <w:p w14:paraId="329E976B" w14:textId="77777777" w:rsidR="006B78FD" w:rsidRPr="00BA002E" w:rsidRDefault="006B78FD" w:rsidP="00BA002E">
            <w:pPr>
              <w:rPr>
                <w:rFonts w:ascii="Arial" w:hAnsi="Arial" w:cs="Arial"/>
                <w:sz w:val="14"/>
                <w:szCs w:val="14"/>
              </w:rPr>
            </w:pPr>
            <w:r w:rsidRPr="00BA002E">
              <w:rPr>
                <w:rFonts w:ascii="Arial" w:hAnsi="Arial" w:cs="Arial"/>
                <w:sz w:val="14"/>
                <w:szCs w:val="14"/>
              </w:rPr>
              <w:t>Iringa DC</w:t>
            </w:r>
          </w:p>
          <w:p w14:paraId="0923A091" w14:textId="77777777" w:rsidR="006B78FD" w:rsidRPr="00BA002E" w:rsidRDefault="006B78FD" w:rsidP="00BA002E">
            <w:pPr>
              <w:rPr>
                <w:rFonts w:ascii="Arial" w:hAnsi="Arial" w:cs="Arial"/>
                <w:sz w:val="14"/>
                <w:szCs w:val="14"/>
              </w:rPr>
            </w:pPr>
            <w:r w:rsidRPr="00BA002E">
              <w:rPr>
                <w:rFonts w:ascii="Arial" w:hAnsi="Arial" w:cs="Arial"/>
                <w:sz w:val="14"/>
                <w:szCs w:val="14"/>
              </w:rPr>
              <w:t>Mbozi DC</w:t>
            </w:r>
          </w:p>
          <w:p w14:paraId="36D39319" w14:textId="77777777" w:rsidR="006B78FD" w:rsidRPr="00BA002E" w:rsidRDefault="006B78FD" w:rsidP="00BA002E">
            <w:pPr>
              <w:rPr>
                <w:rFonts w:ascii="Arial" w:hAnsi="Arial" w:cs="Arial"/>
                <w:sz w:val="14"/>
                <w:szCs w:val="14"/>
              </w:rPr>
            </w:pPr>
            <w:r w:rsidRPr="00BA002E">
              <w:rPr>
                <w:rFonts w:ascii="Arial" w:hAnsi="Arial" w:cs="Arial"/>
                <w:sz w:val="14"/>
                <w:szCs w:val="14"/>
              </w:rPr>
              <w:t>Ludewa DC</w:t>
            </w:r>
          </w:p>
          <w:p w14:paraId="6DBEF74D" w14:textId="77777777" w:rsidR="006B78FD" w:rsidRPr="00BA002E" w:rsidRDefault="006B78FD" w:rsidP="00BA002E">
            <w:pPr>
              <w:rPr>
                <w:rFonts w:ascii="Arial" w:hAnsi="Arial" w:cs="Arial"/>
                <w:color w:val="000000" w:themeColor="text1"/>
                <w:sz w:val="14"/>
                <w:szCs w:val="14"/>
              </w:rPr>
            </w:pPr>
            <w:r w:rsidRPr="00BA002E">
              <w:rPr>
                <w:rFonts w:ascii="Arial" w:hAnsi="Arial" w:cs="Arial"/>
                <w:color w:val="000000" w:themeColor="text1"/>
                <w:sz w:val="14"/>
                <w:szCs w:val="14"/>
              </w:rPr>
              <w:t>Morogoro MC</w:t>
            </w:r>
          </w:p>
          <w:p w14:paraId="52224147" w14:textId="77777777" w:rsidR="006B78FD" w:rsidRPr="00BA002E" w:rsidRDefault="006B78FD" w:rsidP="00BA002E">
            <w:pPr>
              <w:rPr>
                <w:rFonts w:ascii="Arial" w:hAnsi="Arial" w:cs="Arial"/>
                <w:sz w:val="14"/>
                <w:szCs w:val="14"/>
              </w:rPr>
            </w:pPr>
            <w:r w:rsidRPr="00BA002E">
              <w:rPr>
                <w:rFonts w:ascii="Arial" w:hAnsi="Arial" w:cs="Arial"/>
                <w:sz w:val="14"/>
                <w:szCs w:val="14"/>
              </w:rPr>
              <w:t>Nzega TC</w:t>
            </w:r>
          </w:p>
        </w:tc>
        <w:tc>
          <w:tcPr>
            <w:tcW w:w="2056" w:type="dxa"/>
            <w:tcBorders>
              <w:top w:val="single" w:sz="24"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072F27D3" w14:textId="77777777" w:rsidR="006B78FD" w:rsidRPr="00BA002E" w:rsidRDefault="006B78FD" w:rsidP="00BA002E">
            <w:pPr>
              <w:rPr>
                <w:rFonts w:ascii="Arial" w:hAnsi="Arial" w:cs="Arial"/>
                <w:sz w:val="14"/>
                <w:szCs w:val="14"/>
              </w:rPr>
            </w:pPr>
            <w:r w:rsidRPr="00BA002E">
              <w:rPr>
                <w:rFonts w:ascii="Arial" w:hAnsi="Arial" w:cs="Arial"/>
                <w:sz w:val="14"/>
                <w:szCs w:val="14"/>
              </w:rPr>
              <w:t>Njombe DC</w:t>
            </w:r>
          </w:p>
          <w:p w14:paraId="371773C3" w14:textId="77777777" w:rsidR="006B78FD" w:rsidRPr="00BA002E" w:rsidRDefault="006B78FD" w:rsidP="00BA002E">
            <w:pPr>
              <w:rPr>
                <w:rFonts w:ascii="Arial" w:hAnsi="Arial" w:cs="Arial"/>
                <w:sz w:val="14"/>
                <w:szCs w:val="14"/>
              </w:rPr>
            </w:pPr>
            <w:r w:rsidRPr="00BA002E">
              <w:rPr>
                <w:rFonts w:ascii="Arial" w:hAnsi="Arial" w:cs="Arial"/>
                <w:sz w:val="14"/>
                <w:szCs w:val="14"/>
              </w:rPr>
              <w:t>Mbeya DC</w:t>
            </w:r>
          </w:p>
          <w:p w14:paraId="19C0DCD4" w14:textId="77777777" w:rsidR="006B78FD" w:rsidRPr="00BA002E" w:rsidRDefault="006B78FD" w:rsidP="00BA002E">
            <w:pPr>
              <w:rPr>
                <w:rFonts w:ascii="Arial" w:hAnsi="Arial" w:cs="Arial"/>
                <w:sz w:val="14"/>
                <w:szCs w:val="14"/>
              </w:rPr>
            </w:pPr>
            <w:r w:rsidRPr="00BA002E">
              <w:rPr>
                <w:rFonts w:ascii="Arial" w:hAnsi="Arial" w:cs="Arial"/>
                <w:sz w:val="14"/>
                <w:szCs w:val="14"/>
              </w:rPr>
              <w:t>Rorya DC</w:t>
            </w:r>
          </w:p>
          <w:p w14:paraId="16E47474" w14:textId="77777777" w:rsidR="006B78FD" w:rsidRPr="00BA002E" w:rsidRDefault="006B78FD" w:rsidP="00BA002E">
            <w:pPr>
              <w:rPr>
                <w:rFonts w:ascii="Arial" w:hAnsi="Arial" w:cs="Arial"/>
                <w:sz w:val="14"/>
                <w:szCs w:val="14"/>
              </w:rPr>
            </w:pPr>
            <w:r w:rsidRPr="00BA002E">
              <w:rPr>
                <w:rFonts w:ascii="Arial" w:hAnsi="Arial" w:cs="Arial"/>
                <w:sz w:val="14"/>
                <w:szCs w:val="14"/>
              </w:rPr>
              <w:t>Mbarali DC</w:t>
            </w:r>
          </w:p>
          <w:p w14:paraId="55544BE6" w14:textId="77777777" w:rsidR="006B78FD" w:rsidRPr="00BA002E" w:rsidRDefault="006B78FD" w:rsidP="00BA002E">
            <w:pPr>
              <w:rPr>
                <w:rFonts w:ascii="Arial" w:hAnsi="Arial" w:cs="Arial"/>
                <w:sz w:val="14"/>
                <w:szCs w:val="14"/>
              </w:rPr>
            </w:pPr>
            <w:r w:rsidRPr="00BA002E">
              <w:rPr>
                <w:rFonts w:ascii="Arial" w:hAnsi="Arial" w:cs="Arial"/>
                <w:sz w:val="14"/>
                <w:szCs w:val="14"/>
              </w:rPr>
              <w:t>Waging'ombe DC</w:t>
            </w:r>
          </w:p>
          <w:p w14:paraId="1DF09484" w14:textId="77777777" w:rsidR="006B78FD" w:rsidRPr="00BA002E" w:rsidRDefault="006B78FD" w:rsidP="00BA002E">
            <w:pPr>
              <w:rPr>
                <w:rFonts w:ascii="Arial" w:hAnsi="Arial" w:cs="Arial"/>
                <w:sz w:val="14"/>
                <w:szCs w:val="14"/>
              </w:rPr>
            </w:pPr>
            <w:r w:rsidRPr="00BA002E">
              <w:rPr>
                <w:rFonts w:ascii="Arial" w:hAnsi="Arial" w:cs="Arial"/>
                <w:sz w:val="14"/>
                <w:szCs w:val="14"/>
              </w:rPr>
              <w:t>Mbeya CC</w:t>
            </w:r>
          </w:p>
          <w:p w14:paraId="317E5D40" w14:textId="77777777" w:rsidR="006B78FD" w:rsidRPr="00BA002E" w:rsidRDefault="006B78FD" w:rsidP="00BA002E">
            <w:pPr>
              <w:rPr>
                <w:rFonts w:ascii="Arial" w:hAnsi="Arial" w:cs="Arial"/>
                <w:sz w:val="14"/>
                <w:szCs w:val="14"/>
              </w:rPr>
            </w:pPr>
            <w:r w:rsidRPr="00BA002E">
              <w:rPr>
                <w:rFonts w:ascii="Arial" w:hAnsi="Arial" w:cs="Arial"/>
                <w:sz w:val="14"/>
                <w:szCs w:val="14"/>
              </w:rPr>
              <w:t>Iringa MC</w:t>
            </w:r>
          </w:p>
          <w:p w14:paraId="57CC3D29" w14:textId="77777777" w:rsidR="006B78FD" w:rsidRPr="00BA002E" w:rsidRDefault="006B78FD" w:rsidP="00BA002E">
            <w:pPr>
              <w:rPr>
                <w:rFonts w:ascii="Arial" w:hAnsi="Arial" w:cs="Arial"/>
                <w:sz w:val="14"/>
                <w:szCs w:val="14"/>
              </w:rPr>
            </w:pPr>
            <w:r w:rsidRPr="00BA002E">
              <w:rPr>
                <w:rFonts w:ascii="Arial" w:hAnsi="Arial" w:cs="Arial"/>
                <w:sz w:val="14"/>
                <w:szCs w:val="14"/>
              </w:rPr>
              <w:t>Songwe DC</w:t>
            </w:r>
          </w:p>
          <w:p w14:paraId="515330B9" w14:textId="77777777" w:rsidR="006B78FD" w:rsidRPr="00BA002E" w:rsidRDefault="006B78FD" w:rsidP="00BA002E">
            <w:pPr>
              <w:rPr>
                <w:rFonts w:ascii="Arial" w:hAnsi="Arial" w:cs="Arial"/>
                <w:sz w:val="14"/>
                <w:szCs w:val="14"/>
              </w:rPr>
            </w:pPr>
            <w:r w:rsidRPr="00BA002E">
              <w:rPr>
                <w:rFonts w:ascii="Arial" w:hAnsi="Arial" w:cs="Arial"/>
                <w:sz w:val="14"/>
                <w:szCs w:val="14"/>
              </w:rPr>
              <w:t>Bagamoyo DC</w:t>
            </w:r>
          </w:p>
          <w:p w14:paraId="7F811972" w14:textId="77777777" w:rsidR="006B78FD" w:rsidRPr="00BA002E" w:rsidRDefault="006B78FD" w:rsidP="00BA002E">
            <w:pPr>
              <w:rPr>
                <w:rFonts w:ascii="Arial" w:hAnsi="Arial" w:cs="Arial"/>
                <w:sz w:val="14"/>
                <w:szCs w:val="14"/>
              </w:rPr>
            </w:pPr>
            <w:r w:rsidRPr="00BA002E">
              <w:rPr>
                <w:rFonts w:ascii="Arial" w:hAnsi="Arial" w:cs="Arial"/>
                <w:sz w:val="14"/>
                <w:szCs w:val="14"/>
              </w:rPr>
              <w:t>Busokelo DC</w:t>
            </w:r>
          </w:p>
          <w:p w14:paraId="16BA2E5E" w14:textId="77777777" w:rsidR="006B78FD" w:rsidRPr="00093605" w:rsidRDefault="006B78FD" w:rsidP="00BA002E">
            <w:pPr>
              <w:rPr>
                <w:rFonts w:ascii="Arial" w:hAnsi="Arial" w:cs="Arial"/>
                <w:sz w:val="14"/>
                <w:szCs w:val="14"/>
                <w:lang w:val="fr-FR"/>
              </w:rPr>
            </w:pPr>
            <w:r w:rsidRPr="00093605">
              <w:rPr>
                <w:rFonts w:ascii="Arial" w:hAnsi="Arial" w:cs="Arial"/>
                <w:sz w:val="14"/>
                <w:szCs w:val="14"/>
                <w:lang w:val="fr-FR"/>
              </w:rPr>
              <w:t>Handeni TC</w:t>
            </w:r>
          </w:p>
          <w:p w14:paraId="7F917AAD" w14:textId="77777777" w:rsidR="006B78FD" w:rsidRPr="00093605" w:rsidRDefault="006B78FD" w:rsidP="00BA002E">
            <w:pPr>
              <w:rPr>
                <w:rFonts w:ascii="Arial" w:hAnsi="Arial" w:cs="Arial"/>
                <w:sz w:val="14"/>
                <w:szCs w:val="14"/>
                <w:lang w:val="fr-FR"/>
              </w:rPr>
            </w:pPr>
            <w:r w:rsidRPr="00093605">
              <w:rPr>
                <w:rFonts w:ascii="Arial" w:hAnsi="Arial" w:cs="Arial"/>
                <w:sz w:val="14"/>
                <w:szCs w:val="14"/>
                <w:lang w:val="fr-FR"/>
              </w:rPr>
              <w:t>Korogwe TC</w:t>
            </w:r>
          </w:p>
          <w:p w14:paraId="0B1C3756" w14:textId="77777777" w:rsidR="006B78FD" w:rsidRPr="00093605" w:rsidRDefault="006B78FD" w:rsidP="00BA002E">
            <w:pPr>
              <w:rPr>
                <w:rFonts w:ascii="Arial" w:hAnsi="Arial" w:cs="Arial"/>
                <w:sz w:val="14"/>
                <w:szCs w:val="14"/>
                <w:lang w:val="fr-FR"/>
              </w:rPr>
            </w:pPr>
            <w:r w:rsidRPr="00093605">
              <w:rPr>
                <w:rFonts w:ascii="Arial" w:hAnsi="Arial" w:cs="Arial"/>
                <w:sz w:val="14"/>
                <w:szCs w:val="14"/>
                <w:lang w:val="fr-FR"/>
              </w:rPr>
              <w:t>Kibaha DC</w:t>
            </w:r>
          </w:p>
          <w:p w14:paraId="548394B7" w14:textId="77777777" w:rsidR="006B78FD" w:rsidRPr="00BA002E" w:rsidRDefault="006B78FD" w:rsidP="00BA002E">
            <w:pPr>
              <w:rPr>
                <w:rFonts w:ascii="Arial" w:hAnsi="Arial" w:cs="Arial"/>
                <w:sz w:val="14"/>
                <w:szCs w:val="14"/>
              </w:rPr>
            </w:pPr>
            <w:r w:rsidRPr="00BA002E">
              <w:rPr>
                <w:rFonts w:ascii="Arial" w:hAnsi="Arial" w:cs="Arial"/>
                <w:sz w:val="14"/>
                <w:szCs w:val="14"/>
              </w:rPr>
              <w:t>Missenyi DC</w:t>
            </w:r>
          </w:p>
        </w:tc>
        <w:tc>
          <w:tcPr>
            <w:tcW w:w="2026" w:type="dxa"/>
            <w:tcBorders>
              <w:top w:val="single" w:sz="24"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56ED0C57" w14:textId="77777777" w:rsidR="006B78FD" w:rsidRPr="00BA002E" w:rsidRDefault="006B78FD" w:rsidP="00BA002E">
            <w:pPr>
              <w:rPr>
                <w:rFonts w:ascii="Arial" w:hAnsi="Arial" w:cs="Arial"/>
                <w:sz w:val="14"/>
                <w:szCs w:val="14"/>
              </w:rPr>
            </w:pPr>
            <w:r w:rsidRPr="00BA002E">
              <w:rPr>
                <w:rFonts w:ascii="Arial" w:hAnsi="Arial" w:cs="Arial"/>
                <w:sz w:val="14"/>
                <w:szCs w:val="14"/>
                <w:lang w:val="pl-PL"/>
              </w:rPr>
              <w:t>Makambako TC</w:t>
            </w:r>
          </w:p>
          <w:p w14:paraId="5EFF59F8" w14:textId="77777777" w:rsidR="006B78FD" w:rsidRPr="00BA002E" w:rsidRDefault="006B78FD" w:rsidP="00BA002E">
            <w:pPr>
              <w:rPr>
                <w:rFonts w:ascii="Arial" w:hAnsi="Arial" w:cs="Arial"/>
                <w:sz w:val="14"/>
                <w:szCs w:val="14"/>
              </w:rPr>
            </w:pPr>
            <w:r w:rsidRPr="00BA002E">
              <w:rPr>
                <w:rFonts w:ascii="Arial" w:hAnsi="Arial" w:cs="Arial"/>
                <w:sz w:val="14"/>
                <w:szCs w:val="14"/>
                <w:lang w:val="pl-PL"/>
              </w:rPr>
              <w:t>Kongwa DC</w:t>
            </w:r>
          </w:p>
          <w:p w14:paraId="052B5C4F" w14:textId="77777777" w:rsidR="006B78FD" w:rsidRPr="00BA002E" w:rsidRDefault="006B78FD" w:rsidP="00BA002E">
            <w:pPr>
              <w:rPr>
                <w:rFonts w:ascii="Arial" w:hAnsi="Arial" w:cs="Arial"/>
                <w:sz w:val="14"/>
                <w:szCs w:val="14"/>
              </w:rPr>
            </w:pPr>
            <w:r w:rsidRPr="00BA002E">
              <w:rPr>
                <w:rFonts w:ascii="Arial" w:hAnsi="Arial" w:cs="Arial"/>
                <w:sz w:val="14"/>
                <w:szCs w:val="14"/>
                <w:lang w:val="pl-PL"/>
              </w:rPr>
              <w:t>Madaba DC</w:t>
            </w:r>
          </w:p>
          <w:p w14:paraId="6B80F4AD" w14:textId="77777777" w:rsidR="006B78FD" w:rsidRPr="00BA002E" w:rsidRDefault="006B78FD" w:rsidP="00BA002E">
            <w:pPr>
              <w:rPr>
                <w:rFonts w:ascii="Arial" w:hAnsi="Arial" w:cs="Arial"/>
                <w:sz w:val="14"/>
                <w:szCs w:val="14"/>
              </w:rPr>
            </w:pPr>
            <w:r w:rsidRPr="00BA002E">
              <w:rPr>
                <w:rFonts w:ascii="Arial" w:hAnsi="Arial" w:cs="Arial"/>
                <w:sz w:val="14"/>
                <w:szCs w:val="14"/>
                <w:lang w:val="pl-PL"/>
              </w:rPr>
              <w:t>Kyela DC</w:t>
            </w:r>
          </w:p>
          <w:p w14:paraId="4D37709B" w14:textId="77777777" w:rsidR="006B78FD" w:rsidRPr="00BA002E" w:rsidRDefault="006B78FD" w:rsidP="00BA002E">
            <w:pPr>
              <w:rPr>
                <w:rFonts w:ascii="Arial" w:hAnsi="Arial" w:cs="Arial"/>
                <w:sz w:val="14"/>
                <w:szCs w:val="14"/>
              </w:rPr>
            </w:pPr>
            <w:r w:rsidRPr="00BA002E">
              <w:rPr>
                <w:rFonts w:ascii="Arial" w:hAnsi="Arial" w:cs="Arial"/>
                <w:sz w:val="14"/>
                <w:szCs w:val="14"/>
                <w:lang w:val="pl-PL"/>
              </w:rPr>
              <w:t>Makete DC</w:t>
            </w:r>
          </w:p>
        </w:tc>
        <w:tc>
          <w:tcPr>
            <w:tcW w:w="2018" w:type="dxa"/>
            <w:tcBorders>
              <w:top w:val="single" w:sz="24" w:space="0" w:color="FFFFFF"/>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14:paraId="62E7C98A" w14:textId="77777777" w:rsidR="006B78FD" w:rsidRPr="00093605" w:rsidRDefault="006B78FD" w:rsidP="00BA002E">
            <w:pPr>
              <w:rPr>
                <w:rFonts w:ascii="Arial" w:hAnsi="Arial" w:cs="Arial"/>
                <w:sz w:val="14"/>
                <w:szCs w:val="14"/>
                <w:lang w:val="fr-FR"/>
              </w:rPr>
            </w:pPr>
            <w:r w:rsidRPr="00BA002E">
              <w:rPr>
                <w:rFonts w:ascii="Arial" w:hAnsi="Arial" w:cs="Arial"/>
                <w:sz w:val="14"/>
                <w:szCs w:val="14"/>
                <w:lang w:val="it-IT"/>
              </w:rPr>
              <w:t>Mufindi DC</w:t>
            </w:r>
          </w:p>
          <w:p w14:paraId="712BAE2A" w14:textId="77777777" w:rsidR="006B78FD" w:rsidRPr="00093605" w:rsidRDefault="006B78FD" w:rsidP="00BA002E">
            <w:pPr>
              <w:rPr>
                <w:rFonts w:ascii="Arial" w:hAnsi="Arial" w:cs="Arial"/>
                <w:sz w:val="14"/>
                <w:szCs w:val="14"/>
                <w:lang w:val="fr-FR"/>
              </w:rPr>
            </w:pPr>
            <w:r w:rsidRPr="00BA002E">
              <w:rPr>
                <w:rFonts w:ascii="Arial" w:hAnsi="Arial" w:cs="Arial"/>
                <w:sz w:val="14"/>
                <w:szCs w:val="14"/>
                <w:lang w:val="it-IT"/>
              </w:rPr>
              <w:t>Buchosa DC</w:t>
            </w:r>
          </w:p>
          <w:p w14:paraId="33C564D7" w14:textId="77777777" w:rsidR="006B78FD" w:rsidRPr="00093605" w:rsidRDefault="006B78FD" w:rsidP="00BA002E">
            <w:pPr>
              <w:rPr>
                <w:rFonts w:ascii="Arial" w:hAnsi="Arial" w:cs="Arial"/>
                <w:sz w:val="14"/>
                <w:szCs w:val="14"/>
                <w:lang w:val="fr-FR"/>
              </w:rPr>
            </w:pPr>
            <w:r w:rsidRPr="00BA002E">
              <w:rPr>
                <w:rFonts w:ascii="Arial" w:hAnsi="Arial" w:cs="Arial"/>
                <w:sz w:val="14"/>
                <w:szCs w:val="14"/>
                <w:lang w:val="it-IT"/>
              </w:rPr>
              <w:t>Pangani DC</w:t>
            </w:r>
          </w:p>
        </w:tc>
        <w:tc>
          <w:tcPr>
            <w:tcW w:w="1892" w:type="dxa"/>
            <w:tcBorders>
              <w:top w:val="single" w:sz="24" w:space="0" w:color="FFFFFF"/>
              <w:left w:val="single" w:sz="8" w:space="0" w:color="000000"/>
              <w:bottom w:val="single" w:sz="8" w:space="0" w:color="FFFFFF"/>
              <w:right w:val="single" w:sz="8" w:space="0" w:color="FFFFFF"/>
            </w:tcBorders>
            <w:shd w:val="clear" w:color="auto" w:fill="FFFFFF"/>
            <w:tcMar>
              <w:top w:w="72" w:type="dxa"/>
              <w:left w:w="144" w:type="dxa"/>
              <w:bottom w:w="72" w:type="dxa"/>
              <w:right w:w="144" w:type="dxa"/>
            </w:tcMar>
            <w:hideMark/>
          </w:tcPr>
          <w:p w14:paraId="36BA4F04" w14:textId="77777777" w:rsidR="006B78FD" w:rsidRPr="00BA002E" w:rsidRDefault="006B78FD" w:rsidP="00BA002E">
            <w:pPr>
              <w:rPr>
                <w:rFonts w:ascii="Arial" w:hAnsi="Arial" w:cs="Arial"/>
                <w:sz w:val="14"/>
                <w:szCs w:val="14"/>
              </w:rPr>
            </w:pPr>
            <w:r w:rsidRPr="00BA002E">
              <w:rPr>
                <w:rFonts w:ascii="Arial" w:hAnsi="Arial" w:cs="Arial"/>
                <w:sz w:val="14"/>
                <w:szCs w:val="14"/>
              </w:rPr>
              <w:t>Mafinga TC</w:t>
            </w:r>
          </w:p>
          <w:p w14:paraId="24762E29" w14:textId="77777777" w:rsidR="006B78FD" w:rsidRPr="00BA002E" w:rsidRDefault="006B78FD" w:rsidP="00BA002E">
            <w:pPr>
              <w:rPr>
                <w:rFonts w:ascii="Arial" w:hAnsi="Arial" w:cs="Arial"/>
                <w:sz w:val="14"/>
                <w:szCs w:val="14"/>
              </w:rPr>
            </w:pPr>
            <w:r w:rsidRPr="00BA002E">
              <w:rPr>
                <w:rFonts w:ascii="Arial" w:hAnsi="Arial" w:cs="Arial"/>
                <w:sz w:val="14"/>
                <w:szCs w:val="14"/>
              </w:rPr>
              <w:t>Njombe TC</w:t>
            </w:r>
          </w:p>
        </w:tc>
      </w:tr>
    </w:tbl>
    <w:p w14:paraId="313334B4" w14:textId="7A0BE165" w:rsidR="008E4A35" w:rsidRPr="005B5A2B" w:rsidRDefault="008E4A35" w:rsidP="008544A5">
      <w:pPr>
        <w:pStyle w:val="Heading2"/>
        <w:rPr>
          <w:rFonts w:ascii="Arial" w:hAnsi="Arial" w:cs="Arial"/>
          <w:color w:val="000000" w:themeColor="text1"/>
        </w:rPr>
      </w:pPr>
      <w:bookmarkStart w:id="146" w:name="_Toc57035239"/>
      <w:r w:rsidRPr="005B5A2B">
        <w:rPr>
          <w:rFonts w:ascii="Arial" w:hAnsi="Arial" w:cs="Arial"/>
          <w:color w:val="000000" w:themeColor="text1"/>
        </w:rPr>
        <w:t xml:space="preserve">Annex </w:t>
      </w:r>
      <w:r w:rsidR="001F1B8D">
        <w:rPr>
          <w:rFonts w:ascii="Arial" w:hAnsi="Arial" w:cs="Arial"/>
          <w:color w:val="000000" w:themeColor="text1"/>
        </w:rPr>
        <w:t>7</w:t>
      </w:r>
      <w:r w:rsidRPr="005B5A2B">
        <w:rPr>
          <w:rFonts w:ascii="Arial" w:hAnsi="Arial" w:cs="Arial"/>
          <w:color w:val="000000" w:themeColor="text1"/>
        </w:rPr>
        <w:t>. Identification of technical efficiencies</w:t>
      </w:r>
      <w:bookmarkEnd w:id="146"/>
    </w:p>
    <w:p w14:paraId="4B378402" w14:textId="77777777" w:rsidR="008E4A35" w:rsidRDefault="008E4A35" w:rsidP="008E4A35">
      <w:pPr>
        <w:spacing w:after="0"/>
        <w:rPr>
          <w:rFonts w:ascii="Arial" w:hAnsi="Arial" w:cs="Arial"/>
          <w:b/>
        </w:rPr>
      </w:pPr>
    </w:p>
    <w:p w14:paraId="355B4490" w14:textId="1BB371AC" w:rsidR="008E4A35" w:rsidRDefault="008E4A35" w:rsidP="008E4A35">
      <w:pPr>
        <w:spacing w:after="0"/>
        <w:rPr>
          <w:rFonts w:ascii="Arial" w:hAnsi="Arial" w:cs="Arial"/>
        </w:rPr>
      </w:pPr>
      <w:r>
        <w:rPr>
          <w:rFonts w:ascii="Arial" w:hAnsi="Arial" w:cs="Arial"/>
        </w:rPr>
        <w:t xml:space="preserve">To model the potential cost savings of technical efficiencies, first a list of changes to be considered needed to be identified. </w:t>
      </w:r>
      <w:r w:rsidRPr="00925A18">
        <w:rPr>
          <w:rFonts w:ascii="Arial" w:hAnsi="Arial" w:cs="Arial"/>
        </w:rPr>
        <w:t xml:space="preserve">The Investment case 1.0 </w:t>
      </w:r>
      <w:r>
        <w:rPr>
          <w:rFonts w:ascii="Arial" w:hAnsi="Arial" w:cs="Arial"/>
        </w:rPr>
        <w:t>was used as a starting point. Since the investment case 1.0 did not distinguish between coverage enhancing interventions and technical efficiencies. P</w:t>
      </w:r>
      <w:r w:rsidRPr="00925A18">
        <w:rPr>
          <w:rFonts w:ascii="Arial" w:hAnsi="Arial" w:cs="Arial"/>
        </w:rPr>
        <w:t>rogress to date on the implementation</w:t>
      </w:r>
      <w:r>
        <w:rPr>
          <w:rFonts w:ascii="Arial" w:hAnsi="Arial" w:cs="Arial"/>
        </w:rPr>
        <w:t xml:space="preserve"> of these innovations is noted</w:t>
      </w:r>
      <w:r w:rsidR="00585A95">
        <w:rPr>
          <w:rFonts w:ascii="Arial" w:hAnsi="Arial" w:cs="Arial"/>
        </w:rPr>
        <w:t xml:space="preserve"> in </w:t>
      </w:r>
      <w:r w:rsidR="00585A95" w:rsidRPr="00865B13">
        <w:rPr>
          <w:rFonts w:ascii="Arial" w:hAnsi="Arial" w:cs="Arial"/>
          <w:i/>
        </w:rPr>
        <w:t xml:space="preserve">Figure </w:t>
      </w:r>
      <w:r w:rsidR="00865B13" w:rsidRPr="00865B13">
        <w:rPr>
          <w:rFonts w:ascii="Arial" w:hAnsi="Arial" w:cs="Arial"/>
          <w:i/>
        </w:rPr>
        <w:t>2-8</w:t>
      </w:r>
      <w:r w:rsidR="00865B13">
        <w:rPr>
          <w:rFonts w:ascii="Arial" w:hAnsi="Arial" w:cs="Arial"/>
        </w:rPr>
        <w:t xml:space="preserve"> in Chapter 2</w:t>
      </w:r>
      <w:r w:rsidR="00812C85">
        <w:rPr>
          <w:rFonts w:ascii="Arial" w:hAnsi="Arial" w:cs="Arial"/>
        </w:rPr>
        <w:t>.</w:t>
      </w:r>
    </w:p>
    <w:p w14:paraId="096209E1" w14:textId="77777777" w:rsidR="008E4A35" w:rsidRPr="00925A18" w:rsidRDefault="008E4A35" w:rsidP="008E4A35">
      <w:pPr>
        <w:spacing w:after="0" w:line="256" w:lineRule="auto"/>
        <w:rPr>
          <w:rFonts w:ascii="Arial" w:hAnsi="Arial" w:cs="Arial"/>
        </w:rPr>
      </w:pPr>
    </w:p>
    <w:p w14:paraId="1121ADBF" w14:textId="688CD6F0" w:rsidR="008E4A35" w:rsidRDefault="008E4A35" w:rsidP="008E4A35">
      <w:pPr>
        <w:spacing w:after="0" w:line="256" w:lineRule="auto"/>
        <w:rPr>
          <w:rFonts w:ascii="Arial" w:hAnsi="Arial" w:cs="Arial"/>
        </w:rPr>
      </w:pPr>
      <w:r w:rsidRPr="00925A18">
        <w:rPr>
          <w:rFonts w:ascii="Arial" w:hAnsi="Arial" w:cs="Arial"/>
        </w:rPr>
        <w:t xml:space="preserve">Overall, limited progress on implementation of </w:t>
      </w:r>
      <w:r>
        <w:rPr>
          <w:rFonts w:ascii="Arial" w:hAnsi="Arial" w:cs="Arial"/>
        </w:rPr>
        <w:t>innovations from IC 1.0</w:t>
      </w:r>
      <w:r w:rsidRPr="00925A18">
        <w:rPr>
          <w:rFonts w:ascii="Arial" w:hAnsi="Arial" w:cs="Arial"/>
        </w:rPr>
        <w:t xml:space="preserve"> has been </w:t>
      </w:r>
      <w:r>
        <w:rPr>
          <w:rFonts w:ascii="Arial" w:hAnsi="Arial" w:cs="Arial"/>
        </w:rPr>
        <w:t>achieved.</w:t>
      </w:r>
      <w:r w:rsidRPr="00A91DA9">
        <w:rPr>
          <w:rFonts w:ascii="Arial" w:hAnsi="Arial" w:cs="Arial"/>
        </w:rPr>
        <w:t xml:space="preserve"> </w:t>
      </w:r>
      <w:r>
        <w:rPr>
          <w:rFonts w:ascii="Arial" w:hAnsi="Arial" w:cs="Arial"/>
        </w:rPr>
        <w:t xml:space="preserve">Community-based support services continue to be considered and could help increase the quality of services overall.  </w:t>
      </w:r>
      <w:r w:rsidRPr="00925A18">
        <w:rPr>
          <w:rFonts w:ascii="Arial" w:hAnsi="Arial" w:cs="Arial"/>
        </w:rPr>
        <w:t xml:space="preserve">NACP published an updated HTC strategy in 2019 that does prioritize targeted approaches to increase testing coverage, including index testing and community-based testing approaches. </w:t>
      </w:r>
      <w:r>
        <w:rPr>
          <w:rFonts w:ascii="Arial" w:hAnsi="Arial" w:cs="Arial"/>
        </w:rPr>
        <w:t>PEPFAR also plans to expand DREAMS (</w:t>
      </w:r>
      <w:r w:rsidR="00BA2636">
        <w:rPr>
          <w:rFonts w:ascii="Arial" w:hAnsi="Arial" w:cs="Arial"/>
        </w:rPr>
        <w:t>PEPFAR</w:t>
      </w:r>
      <w:r w:rsidR="005B7907">
        <w:rPr>
          <w:rFonts w:ascii="Arial" w:hAnsi="Arial" w:cs="Arial"/>
        </w:rPr>
        <w:t xml:space="preserve"> </w:t>
      </w:r>
      <w:r>
        <w:rPr>
          <w:rFonts w:ascii="Arial" w:hAnsi="Arial" w:cs="Arial"/>
        </w:rPr>
        <w:t>2018</w:t>
      </w:r>
      <w:r w:rsidR="005B7907">
        <w:rPr>
          <w:rFonts w:ascii="Arial" w:hAnsi="Arial" w:cs="Arial"/>
        </w:rPr>
        <w:t>a</w:t>
      </w:r>
      <w:r>
        <w:rPr>
          <w:rFonts w:ascii="Arial" w:hAnsi="Arial" w:cs="Arial"/>
        </w:rPr>
        <w:t xml:space="preserve">) and the Global Fund has supported bundled packages for adolescents as well. These interventions are important, but as described are coverage enhancing interventions and will require additional funds at a time when the program is facing potential budget cuts. </w:t>
      </w:r>
    </w:p>
    <w:p w14:paraId="541323EB" w14:textId="77777777" w:rsidR="008E4A35" w:rsidRDefault="008E4A35" w:rsidP="008E4A35">
      <w:pPr>
        <w:spacing w:after="0" w:line="256" w:lineRule="auto"/>
        <w:rPr>
          <w:rFonts w:ascii="Arial" w:hAnsi="Arial" w:cs="Arial"/>
        </w:rPr>
      </w:pPr>
    </w:p>
    <w:p w14:paraId="7D55DCAA" w14:textId="6E0A3C92" w:rsidR="008E4A35" w:rsidRDefault="008E4A35" w:rsidP="008E4A35">
      <w:pPr>
        <w:spacing w:after="0" w:line="256" w:lineRule="auto"/>
        <w:rPr>
          <w:rFonts w:ascii="Arial" w:hAnsi="Arial" w:cs="Arial"/>
        </w:rPr>
      </w:pPr>
      <w:r>
        <w:rPr>
          <w:rFonts w:ascii="Arial" w:hAnsi="Arial" w:cs="Arial"/>
        </w:rPr>
        <w:t xml:space="preserve">Since the previous investment case, a few promising policy changes that could reduce HIV program costs have been introduced or have the potential to be expanded, including Dolutegravir-based ARV regimens and full implementation of differentiated care models. Two to three-month ARV prescriptions were already in place for </w:t>
      </w:r>
      <w:r w:rsidR="0028213B">
        <w:rPr>
          <w:rFonts w:ascii="Arial" w:hAnsi="Arial" w:cs="Arial"/>
        </w:rPr>
        <w:t>stable</w:t>
      </w:r>
      <w:r>
        <w:rPr>
          <w:rFonts w:ascii="Arial" w:hAnsi="Arial" w:cs="Arial"/>
        </w:rPr>
        <w:t xml:space="preserve"> patients in Tanzania, but there was interest among some stakeholders to transition to six-month prescriptions and more efficient lab testing algorithms. Policies such as community-based service delivery models and retention programs could improve the quality of services and reduce costs to the overall health system. </w:t>
      </w:r>
    </w:p>
    <w:p w14:paraId="61FF4DFB" w14:textId="77777777" w:rsidR="008E4A35" w:rsidRDefault="008E4A35" w:rsidP="008E4A35">
      <w:pPr>
        <w:spacing w:after="0" w:line="256" w:lineRule="auto"/>
        <w:rPr>
          <w:rFonts w:ascii="Arial" w:hAnsi="Arial" w:cs="Arial"/>
        </w:rPr>
      </w:pPr>
    </w:p>
    <w:p w14:paraId="1A5F8980" w14:textId="35591F30" w:rsidR="008E4A35" w:rsidRDefault="008E4A35" w:rsidP="008E4A35">
      <w:pPr>
        <w:spacing w:after="0" w:line="256" w:lineRule="auto"/>
        <w:rPr>
          <w:rFonts w:ascii="Arial" w:hAnsi="Arial" w:cs="Arial"/>
        </w:rPr>
      </w:pPr>
      <w:r>
        <w:rPr>
          <w:rFonts w:ascii="Arial" w:hAnsi="Arial" w:cs="Arial"/>
        </w:rPr>
        <w:t xml:space="preserve">The list of technical efficiencies to consider gathered from stakeholder consultations and literature review is shown below. The criteria to be included in this analysis: Relevant to current HIV program 2) Evidence of cost-saving and 3) Politically feasible. The efficiencies fell at 3 different phases of implementation.  </w:t>
      </w:r>
    </w:p>
    <w:p w14:paraId="370E3E3E" w14:textId="77777777" w:rsidR="0000091D" w:rsidRDefault="0000091D" w:rsidP="008E4A35">
      <w:pPr>
        <w:spacing w:after="0" w:line="256" w:lineRule="auto"/>
        <w:rPr>
          <w:rFonts w:ascii="Arial" w:hAnsi="Arial" w:cs="Arial"/>
        </w:rPr>
      </w:pPr>
    </w:p>
    <w:p w14:paraId="28769269" w14:textId="1F34B9DC" w:rsidR="008E4A35" w:rsidRPr="00FD35E7" w:rsidRDefault="0000091D" w:rsidP="008E4A35">
      <w:pPr>
        <w:spacing w:after="0" w:line="256" w:lineRule="auto"/>
        <w:rPr>
          <w:rFonts w:ascii="Arial" w:hAnsi="Arial" w:cs="Arial"/>
          <w:i/>
          <w:sz w:val="18"/>
        </w:rPr>
      </w:pPr>
      <w:r w:rsidRPr="0000091D">
        <w:rPr>
          <w:rFonts w:ascii="Arial" w:hAnsi="Arial" w:cs="Arial"/>
          <w:i/>
          <w:sz w:val="18"/>
        </w:rPr>
        <w:t>Figure 6A-1. List of technical efficiencies considered and criteria for inclusion</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700"/>
        <w:gridCol w:w="1710"/>
        <w:gridCol w:w="1080"/>
        <w:gridCol w:w="1124"/>
      </w:tblGrid>
      <w:tr w:rsidR="008E4A35" w:rsidRPr="00650F2B" w14:paraId="6E994F3D" w14:textId="77777777" w:rsidTr="007212D5">
        <w:trPr>
          <w:trHeight w:val="508"/>
        </w:trPr>
        <w:tc>
          <w:tcPr>
            <w:tcW w:w="2605" w:type="dxa"/>
            <w:shd w:val="clear" w:color="auto" w:fill="C00000"/>
          </w:tcPr>
          <w:p w14:paraId="67DBA0A8" w14:textId="77777777" w:rsidR="008E4A35" w:rsidRPr="00650F2B" w:rsidRDefault="008E4A35" w:rsidP="00650F2B">
            <w:pPr>
              <w:spacing w:after="0" w:line="256" w:lineRule="auto"/>
              <w:rPr>
                <w:rFonts w:ascii="Arial" w:hAnsi="Arial" w:cs="Arial"/>
                <w:sz w:val="18"/>
              </w:rPr>
            </w:pPr>
          </w:p>
        </w:tc>
        <w:tc>
          <w:tcPr>
            <w:tcW w:w="2700" w:type="dxa"/>
            <w:shd w:val="clear" w:color="auto" w:fill="C00000"/>
            <w:vAlign w:val="center"/>
          </w:tcPr>
          <w:p w14:paraId="6FAF370D" w14:textId="77777777" w:rsidR="008E4A35" w:rsidRPr="00650F2B" w:rsidRDefault="008E4A35" w:rsidP="00650F2B">
            <w:pPr>
              <w:spacing w:after="0" w:line="256" w:lineRule="auto"/>
              <w:jc w:val="center"/>
              <w:rPr>
                <w:rFonts w:ascii="Arial" w:hAnsi="Arial" w:cs="Arial"/>
                <w:b/>
                <w:sz w:val="18"/>
              </w:rPr>
            </w:pPr>
            <w:r w:rsidRPr="00650F2B">
              <w:rPr>
                <w:rFonts w:ascii="Arial" w:hAnsi="Arial" w:cs="Arial"/>
                <w:b/>
                <w:sz w:val="18"/>
              </w:rPr>
              <w:t>Relevant as new technical efficiency</w:t>
            </w:r>
          </w:p>
        </w:tc>
        <w:tc>
          <w:tcPr>
            <w:tcW w:w="1710" w:type="dxa"/>
            <w:shd w:val="clear" w:color="auto" w:fill="C00000"/>
            <w:vAlign w:val="center"/>
          </w:tcPr>
          <w:p w14:paraId="2FDFEEC0" w14:textId="77777777" w:rsidR="008E4A35" w:rsidRPr="00650F2B" w:rsidRDefault="008E4A35" w:rsidP="00650F2B">
            <w:pPr>
              <w:spacing w:after="0" w:line="256" w:lineRule="auto"/>
              <w:jc w:val="center"/>
              <w:rPr>
                <w:rFonts w:ascii="Arial" w:hAnsi="Arial" w:cs="Arial"/>
                <w:b/>
                <w:sz w:val="18"/>
              </w:rPr>
            </w:pPr>
            <w:r w:rsidRPr="00650F2B">
              <w:rPr>
                <w:rFonts w:ascii="Arial" w:hAnsi="Arial" w:cs="Arial"/>
                <w:b/>
                <w:sz w:val="18"/>
              </w:rPr>
              <w:t>Evidence for cost-saving</w:t>
            </w:r>
          </w:p>
        </w:tc>
        <w:tc>
          <w:tcPr>
            <w:tcW w:w="1080" w:type="dxa"/>
            <w:shd w:val="clear" w:color="auto" w:fill="C00000"/>
            <w:vAlign w:val="center"/>
          </w:tcPr>
          <w:p w14:paraId="3CD70D7F" w14:textId="77777777" w:rsidR="008E4A35" w:rsidRPr="00650F2B" w:rsidRDefault="008E4A35" w:rsidP="00650F2B">
            <w:pPr>
              <w:spacing w:after="0" w:line="256" w:lineRule="auto"/>
              <w:jc w:val="center"/>
              <w:rPr>
                <w:rFonts w:ascii="Arial" w:hAnsi="Arial" w:cs="Arial"/>
                <w:b/>
                <w:sz w:val="18"/>
              </w:rPr>
            </w:pPr>
            <w:r w:rsidRPr="00650F2B">
              <w:rPr>
                <w:rFonts w:ascii="Arial" w:hAnsi="Arial" w:cs="Arial"/>
                <w:b/>
                <w:sz w:val="18"/>
              </w:rPr>
              <w:t>Politically feasible</w:t>
            </w:r>
          </w:p>
        </w:tc>
        <w:tc>
          <w:tcPr>
            <w:tcW w:w="1124" w:type="dxa"/>
            <w:shd w:val="clear" w:color="auto" w:fill="C00000"/>
            <w:vAlign w:val="center"/>
          </w:tcPr>
          <w:p w14:paraId="212DA17F" w14:textId="77777777" w:rsidR="008E4A35" w:rsidRPr="00650F2B" w:rsidRDefault="008E4A35" w:rsidP="00650F2B">
            <w:pPr>
              <w:spacing w:after="0" w:line="256" w:lineRule="auto"/>
              <w:jc w:val="center"/>
              <w:rPr>
                <w:rFonts w:ascii="Arial" w:hAnsi="Arial" w:cs="Arial"/>
                <w:b/>
                <w:sz w:val="18"/>
              </w:rPr>
            </w:pPr>
            <w:r w:rsidRPr="00650F2B">
              <w:rPr>
                <w:rFonts w:ascii="Arial" w:hAnsi="Arial" w:cs="Arial"/>
                <w:b/>
                <w:sz w:val="18"/>
              </w:rPr>
              <w:t>Meets all criteria</w:t>
            </w:r>
          </w:p>
        </w:tc>
      </w:tr>
      <w:tr w:rsidR="008E4A35" w:rsidRPr="00650F2B" w14:paraId="2ED4CE3A" w14:textId="77777777" w:rsidTr="007212D5">
        <w:trPr>
          <w:trHeight w:val="246"/>
        </w:trPr>
        <w:tc>
          <w:tcPr>
            <w:tcW w:w="2605" w:type="dxa"/>
          </w:tcPr>
          <w:p w14:paraId="0A81C9A7" w14:textId="77777777" w:rsidR="008E4A35" w:rsidRPr="00650F2B" w:rsidRDefault="008E4A35" w:rsidP="00650F2B">
            <w:pPr>
              <w:spacing w:after="0" w:line="256" w:lineRule="auto"/>
              <w:rPr>
                <w:rFonts w:ascii="Arial" w:hAnsi="Arial" w:cs="Arial"/>
                <w:b/>
                <w:sz w:val="18"/>
              </w:rPr>
            </w:pPr>
            <w:r w:rsidRPr="00650F2B">
              <w:rPr>
                <w:rFonts w:ascii="Arial" w:hAnsi="Arial" w:cs="Arial"/>
                <w:b/>
                <w:sz w:val="18"/>
              </w:rPr>
              <w:t>Test &amp; Start</w:t>
            </w:r>
          </w:p>
        </w:tc>
        <w:tc>
          <w:tcPr>
            <w:tcW w:w="2700" w:type="dxa"/>
            <w:shd w:val="clear" w:color="auto" w:fill="FFFFFF" w:themeFill="background1"/>
          </w:tcPr>
          <w:p w14:paraId="3021D420" w14:textId="77777777" w:rsidR="008E4A35" w:rsidRPr="00650F2B" w:rsidRDefault="008E4A35" w:rsidP="00650F2B">
            <w:pPr>
              <w:spacing w:after="0" w:line="256" w:lineRule="auto"/>
              <w:rPr>
                <w:rFonts w:ascii="Arial" w:hAnsi="Arial" w:cs="Arial"/>
                <w:sz w:val="18"/>
              </w:rPr>
            </w:pPr>
            <w:r w:rsidRPr="00650F2B">
              <w:rPr>
                <w:rFonts w:ascii="Arial" w:hAnsi="Arial" w:cs="Arial"/>
                <w:sz w:val="18"/>
              </w:rPr>
              <w:t>No, already occurring at scale</w:t>
            </w:r>
          </w:p>
        </w:tc>
        <w:tc>
          <w:tcPr>
            <w:tcW w:w="1710" w:type="dxa"/>
            <w:shd w:val="clear" w:color="auto" w:fill="FFFFFF" w:themeFill="background1"/>
          </w:tcPr>
          <w:p w14:paraId="1CD39BE8" w14:textId="77777777" w:rsidR="008E4A35" w:rsidRPr="00650F2B" w:rsidRDefault="008E4A35" w:rsidP="00650F2B">
            <w:pPr>
              <w:spacing w:after="0" w:line="256" w:lineRule="auto"/>
              <w:rPr>
                <w:rFonts w:ascii="Arial" w:hAnsi="Arial" w:cs="Arial"/>
                <w:sz w:val="18"/>
              </w:rPr>
            </w:pPr>
            <w:r w:rsidRPr="00650F2B">
              <w:rPr>
                <w:rFonts w:ascii="Arial" w:hAnsi="Arial" w:cs="Arial"/>
                <w:sz w:val="18"/>
              </w:rPr>
              <w:t>No</w:t>
            </w:r>
          </w:p>
        </w:tc>
        <w:tc>
          <w:tcPr>
            <w:tcW w:w="1080" w:type="dxa"/>
            <w:shd w:val="clear" w:color="auto" w:fill="FFFFFF" w:themeFill="background1"/>
          </w:tcPr>
          <w:p w14:paraId="7D10C34F"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FF9999"/>
          </w:tcPr>
          <w:p w14:paraId="0721981A" w14:textId="77777777" w:rsidR="008E4A35" w:rsidRPr="00650F2B" w:rsidRDefault="008E4A35" w:rsidP="00650F2B">
            <w:pPr>
              <w:spacing w:after="0" w:line="256" w:lineRule="auto"/>
              <w:rPr>
                <w:rFonts w:ascii="Arial" w:hAnsi="Arial" w:cs="Arial"/>
                <w:color w:val="000000" w:themeColor="text1"/>
                <w:sz w:val="18"/>
              </w:rPr>
            </w:pPr>
          </w:p>
        </w:tc>
      </w:tr>
      <w:tr w:rsidR="008E4A35" w:rsidRPr="00650F2B" w14:paraId="740C29BB" w14:textId="77777777" w:rsidTr="007212D5">
        <w:trPr>
          <w:trHeight w:val="508"/>
        </w:trPr>
        <w:tc>
          <w:tcPr>
            <w:tcW w:w="2605" w:type="dxa"/>
          </w:tcPr>
          <w:p w14:paraId="34F84410" w14:textId="77777777" w:rsidR="008E4A35" w:rsidRPr="00650F2B" w:rsidRDefault="008E4A35" w:rsidP="00650F2B">
            <w:pPr>
              <w:spacing w:after="0" w:line="256" w:lineRule="auto"/>
              <w:rPr>
                <w:rFonts w:ascii="Arial" w:hAnsi="Arial" w:cs="Arial"/>
                <w:b/>
                <w:sz w:val="18"/>
              </w:rPr>
            </w:pPr>
            <w:r w:rsidRPr="00650F2B">
              <w:rPr>
                <w:rFonts w:ascii="Arial" w:hAnsi="Arial" w:cs="Arial"/>
                <w:b/>
                <w:sz w:val="18"/>
              </w:rPr>
              <w:t xml:space="preserve">Self-testing </w:t>
            </w:r>
          </w:p>
        </w:tc>
        <w:tc>
          <w:tcPr>
            <w:tcW w:w="2700" w:type="dxa"/>
            <w:shd w:val="clear" w:color="auto" w:fill="FFFFFF" w:themeFill="background1"/>
          </w:tcPr>
          <w:p w14:paraId="3357EE1C"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implemented but room to scale</w:t>
            </w:r>
          </w:p>
        </w:tc>
        <w:tc>
          <w:tcPr>
            <w:tcW w:w="1710" w:type="dxa"/>
            <w:shd w:val="clear" w:color="auto" w:fill="FFFFFF" w:themeFill="background1"/>
          </w:tcPr>
          <w:p w14:paraId="4F5668E9" w14:textId="77777777" w:rsidR="008E4A35" w:rsidRPr="00650F2B" w:rsidRDefault="008E4A35" w:rsidP="00650F2B">
            <w:pPr>
              <w:spacing w:after="0" w:line="256" w:lineRule="auto"/>
              <w:rPr>
                <w:rFonts w:ascii="Arial" w:hAnsi="Arial" w:cs="Arial"/>
                <w:sz w:val="18"/>
              </w:rPr>
            </w:pPr>
            <w:r w:rsidRPr="00650F2B">
              <w:rPr>
                <w:rFonts w:ascii="Arial" w:hAnsi="Arial" w:cs="Arial"/>
                <w:sz w:val="18"/>
              </w:rPr>
              <w:t>No</w:t>
            </w:r>
          </w:p>
        </w:tc>
        <w:tc>
          <w:tcPr>
            <w:tcW w:w="1080" w:type="dxa"/>
            <w:shd w:val="clear" w:color="auto" w:fill="FFFFFF" w:themeFill="background1"/>
          </w:tcPr>
          <w:p w14:paraId="41038A16"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FF9999"/>
          </w:tcPr>
          <w:p w14:paraId="3FD546DC" w14:textId="77777777" w:rsidR="008E4A35" w:rsidRPr="00650F2B" w:rsidRDefault="008E4A35" w:rsidP="00650F2B">
            <w:pPr>
              <w:spacing w:after="0" w:line="256" w:lineRule="auto"/>
              <w:rPr>
                <w:rFonts w:ascii="Arial" w:hAnsi="Arial" w:cs="Arial"/>
                <w:color w:val="000000" w:themeColor="text1"/>
                <w:sz w:val="18"/>
              </w:rPr>
            </w:pPr>
          </w:p>
        </w:tc>
      </w:tr>
      <w:tr w:rsidR="008E4A35" w:rsidRPr="00650F2B" w14:paraId="1F4E04E1" w14:textId="77777777" w:rsidTr="007212D5">
        <w:trPr>
          <w:trHeight w:val="508"/>
        </w:trPr>
        <w:tc>
          <w:tcPr>
            <w:tcW w:w="2605" w:type="dxa"/>
          </w:tcPr>
          <w:p w14:paraId="11A9D389" w14:textId="77777777" w:rsidR="008E4A35" w:rsidRPr="00650F2B" w:rsidRDefault="008E4A35" w:rsidP="00650F2B">
            <w:pPr>
              <w:spacing w:after="0" w:line="256" w:lineRule="auto"/>
              <w:rPr>
                <w:rFonts w:ascii="Arial" w:hAnsi="Arial" w:cs="Arial"/>
                <w:b/>
                <w:sz w:val="18"/>
              </w:rPr>
            </w:pPr>
            <w:r w:rsidRPr="00650F2B">
              <w:rPr>
                <w:rFonts w:ascii="Arial" w:hAnsi="Arial" w:cs="Arial"/>
                <w:b/>
                <w:sz w:val="18"/>
              </w:rPr>
              <w:t>Index testing</w:t>
            </w:r>
          </w:p>
        </w:tc>
        <w:tc>
          <w:tcPr>
            <w:tcW w:w="2700" w:type="dxa"/>
            <w:shd w:val="clear" w:color="auto" w:fill="FFFFFF" w:themeFill="background1"/>
          </w:tcPr>
          <w:p w14:paraId="3B24F820"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implemented but room to scale</w:t>
            </w:r>
          </w:p>
        </w:tc>
        <w:tc>
          <w:tcPr>
            <w:tcW w:w="1710" w:type="dxa"/>
            <w:shd w:val="clear" w:color="auto" w:fill="FFFFFF" w:themeFill="background1"/>
          </w:tcPr>
          <w:p w14:paraId="144FB6CC" w14:textId="77777777" w:rsidR="008E4A35" w:rsidRPr="00650F2B" w:rsidRDefault="008E4A35" w:rsidP="00650F2B">
            <w:pPr>
              <w:spacing w:after="0" w:line="256" w:lineRule="auto"/>
              <w:rPr>
                <w:rFonts w:ascii="Arial" w:hAnsi="Arial" w:cs="Arial"/>
                <w:sz w:val="18"/>
              </w:rPr>
            </w:pPr>
            <w:r w:rsidRPr="00650F2B">
              <w:rPr>
                <w:rFonts w:ascii="Arial" w:hAnsi="Arial" w:cs="Arial"/>
                <w:sz w:val="18"/>
              </w:rPr>
              <w:t>No</w:t>
            </w:r>
          </w:p>
        </w:tc>
        <w:tc>
          <w:tcPr>
            <w:tcW w:w="1080" w:type="dxa"/>
            <w:shd w:val="clear" w:color="auto" w:fill="FFFFFF" w:themeFill="background1"/>
          </w:tcPr>
          <w:p w14:paraId="51247B69"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FF9999"/>
          </w:tcPr>
          <w:p w14:paraId="7F9F5A09" w14:textId="77777777" w:rsidR="008E4A35" w:rsidRPr="00650F2B" w:rsidRDefault="008E4A35" w:rsidP="00650F2B">
            <w:pPr>
              <w:spacing w:after="0" w:line="256" w:lineRule="auto"/>
              <w:rPr>
                <w:rFonts w:ascii="Arial" w:hAnsi="Arial" w:cs="Arial"/>
                <w:color w:val="000000" w:themeColor="text1"/>
                <w:sz w:val="18"/>
              </w:rPr>
            </w:pPr>
          </w:p>
        </w:tc>
      </w:tr>
      <w:tr w:rsidR="008E4A35" w:rsidRPr="00650F2B" w14:paraId="7EE5AC5F" w14:textId="77777777" w:rsidTr="007212D5">
        <w:trPr>
          <w:trHeight w:val="508"/>
        </w:trPr>
        <w:tc>
          <w:tcPr>
            <w:tcW w:w="2605" w:type="dxa"/>
          </w:tcPr>
          <w:p w14:paraId="0F1DFE16" w14:textId="50A757D2" w:rsidR="008E4A35" w:rsidRPr="00650F2B" w:rsidRDefault="008E4A35" w:rsidP="00650F2B">
            <w:pPr>
              <w:spacing w:after="0" w:line="256" w:lineRule="auto"/>
              <w:rPr>
                <w:rFonts w:ascii="Arial" w:hAnsi="Arial" w:cs="Arial"/>
                <w:b/>
                <w:sz w:val="18"/>
              </w:rPr>
            </w:pPr>
            <w:r w:rsidRPr="00650F2B">
              <w:rPr>
                <w:rFonts w:ascii="Arial" w:hAnsi="Arial" w:cs="Arial"/>
                <w:b/>
                <w:sz w:val="18"/>
              </w:rPr>
              <w:t>P</w:t>
            </w:r>
            <w:r w:rsidR="00422204">
              <w:rPr>
                <w:rFonts w:ascii="Arial" w:hAnsi="Arial" w:cs="Arial"/>
                <w:b/>
                <w:sz w:val="18"/>
              </w:rPr>
              <w:t>rEP</w:t>
            </w:r>
          </w:p>
        </w:tc>
        <w:tc>
          <w:tcPr>
            <w:tcW w:w="2700" w:type="dxa"/>
            <w:shd w:val="clear" w:color="auto" w:fill="FFFFFF" w:themeFill="background1"/>
          </w:tcPr>
          <w:p w14:paraId="0CA95D60"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implemented but room to scale</w:t>
            </w:r>
          </w:p>
        </w:tc>
        <w:tc>
          <w:tcPr>
            <w:tcW w:w="1710" w:type="dxa"/>
            <w:shd w:val="clear" w:color="auto" w:fill="FFFFFF" w:themeFill="background1"/>
          </w:tcPr>
          <w:p w14:paraId="586FD502" w14:textId="77777777" w:rsidR="008E4A35" w:rsidRPr="00650F2B" w:rsidRDefault="008E4A35" w:rsidP="00650F2B">
            <w:pPr>
              <w:spacing w:after="0" w:line="256" w:lineRule="auto"/>
              <w:rPr>
                <w:rFonts w:ascii="Arial" w:hAnsi="Arial" w:cs="Arial"/>
                <w:sz w:val="18"/>
              </w:rPr>
            </w:pPr>
            <w:r w:rsidRPr="00650F2B">
              <w:rPr>
                <w:rFonts w:ascii="Arial" w:hAnsi="Arial" w:cs="Arial"/>
                <w:sz w:val="18"/>
              </w:rPr>
              <w:t>No</w:t>
            </w:r>
          </w:p>
        </w:tc>
        <w:tc>
          <w:tcPr>
            <w:tcW w:w="1080" w:type="dxa"/>
            <w:shd w:val="clear" w:color="auto" w:fill="FFFFFF" w:themeFill="background1"/>
          </w:tcPr>
          <w:p w14:paraId="554BA337"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FF9999"/>
          </w:tcPr>
          <w:p w14:paraId="51C147A0" w14:textId="77777777" w:rsidR="008E4A35" w:rsidRPr="00650F2B" w:rsidRDefault="008E4A35" w:rsidP="00650F2B">
            <w:pPr>
              <w:spacing w:after="0" w:line="256" w:lineRule="auto"/>
              <w:rPr>
                <w:rFonts w:ascii="Arial" w:hAnsi="Arial" w:cs="Arial"/>
                <w:color w:val="000000" w:themeColor="text1"/>
                <w:sz w:val="18"/>
              </w:rPr>
            </w:pPr>
          </w:p>
        </w:tc>
      </w:tr>
      <w:tr w:rsidR="008E4A35" w:rsidRPr="00650F2B" w14:paraId="21DE7163" w14:textId="77777777" w:rsidTr="007212D5">
        <w:trPr>
          <w:trHeight w:val="494"/>
        </w:trPr>
        <w:tc>
          <w:tcPr>
            <w:tcW w:w="2605" w:type="dxa"/>
          </w:tcPr>
          <w:p w14:paraId="4C12C441" w14:textId="77777777" w:rsidR="008E4A35" w:rsidRPr="00650F2B" w:rsidRDefault="008E4A35" w:rsidP="00650F2B">
            <w:pPr>
              <w:spacing w:after="0" w:line="256" w:lineRule="auto"/>
              <w:rPr>
                <w:rFonts w:ascii="Arial" w:hAnsi="Arial" w:cs="Arial"/>
                <w:b/>
                <w:sz w:val="18"/>
              </w:rPr>
            </w:pPr>
            <w:r w:rsidRPr="00650F2B">
              <w:rPr>
                <w:rFonts w:ascii="Arial" w:hAnsi="Arial" w:cs="Arial"/>
                <w:b/>
                <w:sz w:val="18"/>
              </w:rPr>
              <w:t>Scale-up of AGYW interventions</w:t>
            </w:r>
          </w:p>
        </w:tc>
        <w:tc>
          <w:tcPr>
            <w:tcW w:w="2700" w:type="dxa"/>
            <w:shd w:val="clear" w:color="auto" w:fill="FFFFFF" w:themeFill="background1"/>
          </w:tcPr>
          <w:p w14:paraId="06FFC251"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implemented but room to scale</w:t>
            </w:r>
          </w:p>
        </w:tc>
        <w:tc>
          <w:tcPr>
            <w:tcW w:w="1710" w:type="dxa"/>
            <w:shd w:val="clear" w:color="auto" w:fill="FFFFFF" w:themeFill="background1"/>
          </w:tcPr>
          <w:p w14:paraId="1CCE4298" w14:textId="77777777" w:rsidR="008E4A35" w:rsidRPr="00650F2B" w:rsidRDefault="008E4A35" w:rsidP="00650F2B">
            <w:pPr>
              <w:spacing w:after="0" w:line="256" w:lineRule="auto"/>
              <w:rPr>
                <w:rFonts w:ascii="Arial" w:hAnsi="Arial" w:cs="Arial"/>
                <w:sz w:val="18"/>
              </w:rPr>
            </w:pPr>
            <w:r w:rsidRPr="00650F2B">
              <w:rPr>
                <w:rFonts w:ascii="Arial" w:hAnsi="Arial" w:cs="Arial"/>
                <w:sz w:val="18"/>
              </w:rPr>
              <w:t>No</w:t>
            </w:r>
          </w:p>
        </w:tc>
        <w:tc>
          <w:tcPr>
            <w:tcW w:w="1080" w:type="dxa"/>
            <w:shd w:val="clear" w:color="auto" w:fill="FFFFFF" w:themeFill="background1"/>
          </w:tcPr>
          <w:p w14:paraId="2FDD784B"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FF9999"/>
          </w:tcPr>
          <w:p w14:paraId="5E5C9C20" w14:textId="77777777" w:rsidR="008E4A35" w:rsidRPr="00650F2B" w:rsidRDefault="008E4A35" w:rsidP="00650F2B">
            <w:pPr>
              <w:spacing w:after="0" w:line="256" w:lineRule="auto"/>
              <w:rPr>
                <w:rFonts w:ascii="Arial" w:hAnsi="Arial" w:cs="Arial"/>
                <w:color w:val="000000" w:themeColor="text1"/>
                <w:sz w:val="18"/>
              </w:rPr>
            </w:pPr>
          </w:p>
        </w:tc>
      </w:tr>
      <w:tr w:rsidR="008E4A35" w:rsidRPr="00650F2B" w14:paraId="75872DC7" w14:textId="77777777" w:rsidTr="007212D5">
        <w:trPr>
          <w:trHeight w:val="508"/>
        </w:trPr>
        <w:tc>
          <w:tcPr>
            <w:tcW w:w="2605" w:type="dxa"/>
          </w:tcPr>
          <w:p w14:paraId="6DB09CCF" w14:textId="77777777" w:rsidR="008E4A35" w:rsidRPr="00650F2B" w:rsidRDefault="008E4A35" w:rsidP="00650F2B">
            <w:pPr>
              <w:spacing w:after="0" w:line="256" w:lineRule="auto"/>
              <w:rPr>
                <w:rFonts w:ascii="Arial" w:hAnsi="Arial" w:cs="Arial"/>
                <w:b/>
                <w:sz w:val="18"/>
              </w:rPr>
            </w:pPr>
            <w:r w:rsidRPr="00650F2B">
              <w:rPr>
                <w:rFonts w:ascii="Arial" w:hAnsi="Arial" w:cs="Arial"/>
                <w:b/>
                <w:sz w:val="18"/>
              </w:rPr>
              <w:t>Dolutegravir-regimen change</w:t>
            </w:r>
          </w:p>
        </w:tc>
        <w:tc>
          <w:tcPr>
            <w:tcW w:w="2700" w:type="dxa"/>
            <w:shd w:val="clear" w:color="auto" w:fill="FFFFFF" w:themeFill="background1"/>
          </w:tcPr>
          <w:p w14:paraId="2B7C93BB"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only in pipeline</w:t>
            </w:r>
          </w:p>
        </w:tc>
        <w:tc>
          <w:tcPr>
            <w:tcW w:w="1710" w:type="dxa"/>
            <w:shd w:val="clear" w:color="auto" w:fill="FFFFFF" w:themeFill="background1"/>
          </w:tcPr>
          <w:p w14:paraId="53A4F4EA" w14:textId="7B717188"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(Zheng et al 2018)</w:t>
            </w:r>
          </w:p>
        </w:tc>
        <w:tc>
          <w:tcPr>
            <w:tcW w:w="1080" w:type="dxa"/>
            <w:shd w:val="clear" w:color="auto" w:fill="FFFFFF" w:themeFill="background1"/>
          </w:tcPr>
          <w:p w14:paraId="7A548434"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E2EFD9" w:themeFill="accent6" w:themeFillTint="33"/>
            <w:vAlign w:val="center"/>
          </w:tcPr>
          <w:p w14:paraId="1760BEDF" w14:textId="77777777" w:rsidR="008E4A35" w:rsidRPr="00650F2B" w:rsidRDefault="008E4A35" w:rsidP="00650F2B">
            <w:pPr>
              <w:spacing w:after="0" w:line="256" w:lineRule="auto"/>
              <w:jc w:val="center"/>
              <w:rPr>
                <w:rFonts w:ascii="Arial" w:hAnsi="Arial" w:cs="Arial"/>
                <w:color w:val="000000" w:themeColor="text1"/>
                <w:sz w:val="18"/>
              </w:rPr>
            </w:pPr>
            <w:r w:rsidRPr="00650F2B">
              <w:rPr>
                <w:rFonts w:ascii="Arial" w:hAnsi="Arial" w:cs="Arial"/>
                <w:color w:val="000000" w:themeColor="text1"/>
                <w:sz w:val="18"/>
              </w:rPr>
              <w:sym w:font="Wingdings" w:char="F0FC"/>
            </w:r>
          </w:p>
        </w:tc>
      </w:tr>
      <w:tr w:rsidR="008E4A35" w:rsidRPr="00650F2B" w14:paraId="68C5A757" w14:textId="77777777" w:rsidTr="007212D5">
        <w:trPr>
          <w:trHeight w:val="508"/>
        </w:trPr>
        <w:tc>
          <w:tcPr>
            <w:tcW w:w="2605" w:type="dxa"/>
          </w:tcPr>
          <w:p w14:paraId="5DF4110B" w14:textId="32F76F9D" w:rsidR="008E4A35" w:rsidRPr="00650F2B" w:rsidRDefault="008E4A35" w:rsidP="00650F2B">
            <w:pPr>
              <w:spacing w:after="0" w:line="256" w:lineRule="auto"/>
              <w:rPr>
                <w:rFonts w:ascii="Arial" w:hAnsi="Arial" w:cs="Arial"/>
                <w:b/>
                <w:sz w:val="18"/>
              </w:rPr>
            </w:pPr>
            <w:r w:rsidRPr="00650F2B">
              <w:rPr>
                <w:rFonts w:ascii="Arial" w:hAnsi="Arial" w:cs="Arial"/>
                <w:b/>
                <w:sz w:val="18"/>
              </w:rPr>
              <w:t>Differentiated care models</w:t>
            </w:r>
            <w:r w:rsidR="006A6887">
              <w:rPr>
                <w:rFonts w:ascii="Arial" w:hAnsi="Arial" w:cs="Arial"/>
                <w:b/>
                <w:sz w:val="18"/>
              </w:rPr>
              <w:t xml:space="preserve">- </w:t>
            </w:r>
            <w:r w:rsidR="00183AAB">
              <w:rPr>
                <w:rFonts w:ascii="Arial" w:hAnsi="Arial" w:cs="Arial"/>
                <w:b/>
                <w:sz w:val="18"/>
              </w:rPr>
              <w:t>multi-month scripts</w:t>
            </w:r>
            <w:r w:rsidR="006A6887">
              <w:rPr>
                <w:rFonts w:ascii="Arial" w:hAnsi="Arial" w:cs="Arial"/>
                <w:b/>
                <w:sz w:val="18"/>
              </w:rPr>
              <w:t xml:space="preserve"> and</w:t>
            </w:r>
            <w:r w:rsidR="00183AAB">
              <w:rPr>
                <w:rFonts w:ascii="Arial" w:hAnsi="Arial" w:cs="Arial"/>
                <w:b/>
                <w:sz w:val="18"/>
              </w:rPr>
              <w:t xml:space="preserve"> simplified </w:t>
            </w:r>
            <w:r w:rsidR="006A6887">
              <w:rPr>
                <w:rFonts w:ascii="Arial" w:hAnsi="Arial" w:cs="Arial"/>
                <w:b/>
                <w:sz w:val="18"/>
              </w:rPr>
              <w:t xml:space="preserve"> lab testing </w:t>
            </w:r>
            <w:r w:rsidR="00183AAB">
              <w:rPr>
                <w:rFonts w:ascii="Arial" w:hAnsi="Arial" w:cs="Arial"/>
                <w:b/>
                <w:sz w:val="18"/>
              </w:rPr>
              <w:t xml:space="preserve">algorithm for stable patients </w:t>
            </w:r>
            <w:r w:rsidR="006A6887">
              <w:rPr>
                <w:rFonts w:ascii="Arial" w:hAnsi="Arial" w:cs="Arial"/>
                <w:b/>
                <w:sz w:val="18"/>
              </w:rPr>
              <w:t>(facility-level)</w:t>
            </w:r>
          </w:p>
        </w:tc>
        <w:tc>
          <w:tcPr>
            <w:tcW w:w="2700" w:type="dxa"/>
            <w:shd w:val="clear" w:color="auto" w:fill="FFFFFF" w:themeFill="background1"/>
          </w:tcPr>
          <w:p w14:paraId="773EC69B"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partially implemented but room to scale</w:t>
            </w:r>
          </w:p>
        </w:tc>
        <w:tc>
          <w:tcPr>
            <w:tcW w:w="1710" w:type="dxa"/>
            <w:shd w:val="clear" w:color="auto" w:fill="FFFFFF" w:themeFill="background1"/>
          </w:tcPr>
          <w:p w14:paraId="0BEC8970" w14:textId="773AC48F"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w:t>
            </w:r>
            <w:r w:rsidR="00BA2636">
              <w:rPr>
                <w:rFonts w:ascii="Arial" w:hAnsi="Arial" w:cs="Arial"/>
                <w:color w:val="000000" w:themeColor="text1"/>
                <w:sz w:val="18"/>
              </w:rPr>
              <w:t xml:space="preserve">Forsythe, Lee, Dutta, Barker </w:t>
            </w:r>
            <w:r w:rsidRPr="00650F2B">
              <w:rPr>
                <w:rFonts w:ascii="Arial" w:hAnsi="Arial" w:cs="Arial"/>
                <w:color w:val="000000" w:themeColor="text1"/>
                <w:sz w:val="18"/>
              </w:rPr>
              <w:t>2016</w:t>
            </w:r>
            <w:r w:rsidR="006A6887">
              <w:rPr>
                <w:rFonts w:ascii="Arial" w:hAnsi="Arial" w:cs="Arial"/>
                <w:color w:val="000000" w:themeColor="text1"/>
                <w:sz w:val="18"/>
              </w:rPr>
              <w:t>; Baker et al 2017</w:t>
            </w:r>
            <w:r w:rsidRPr="00650F2B">
              <w:rPr>
                <w:rFonts w:ascii="Arial" w:hAnsi="Arial" w:cs="Arial"/>
                <w:color w:val="000000" w:themeColor="text1"/>
                <w:sz w:val="18"/>
              </w:rPr>
              <w:t>)</w:t>
            </w:r>
          </w:p>
        </w:tc>
        <w:tc>
          <w:tcPr>
            <w:tcW w:w="1080" w:type="dxa"/>
            <w:shd w:val="clear" w:color="auto" w:fill="FFFFFF" w:themeFill="background1"/>
          </w:tcPr>
          <w:p w14:paraId="0C615147"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E2EFD9" w:themeFill="accent6" w:themeFillTint="33"/>
            <w:vAlign w:val="center"/>
          </w:tcPr>
          <w:p w14:paraId="0C77BE21" w14:textId="77777777" w:rsidR="008E4A35" w:rsidRPr="00650F2B" w:rsidRDefault="008E4A35" w:rsidP="00650F2B">
            <w:pPr>
              <w:spacing w:after="0" w:line="256" w:lineRule="auto"/>
              <w:jc w:val="center"/>
              <w:rPr>
                <w:rFonts w:ascii="Arial" w:hAnsi="Arial" w:cs="Arial"/>
                <w:color w:val="000000" w:themeColor="text1"/>
                <w:sz w:val="18"/>
              </w:rPr>
            </w:pPr>
            <w:r w:rsidRPr="00650F2B">
              <w:rPr>
                <w:rFonts w:ascii="Arial" w:hAnsi="Arial" w:cs="Arial"/>
                <w:color w:val="000000" w:themeColor="text1"/>
                <w:sz w:val="18"/>
              </w:rPr>
              <w:sym w:font="Wingdings" w:char="F0FC"/>
            </w:r>
          </w:p>
        </w:tc>
      </w:tr>
      <w:tr w:rsidR="008E4A35" w:rsidRPr="00650F2B" w14:paraId="142976F2" w14:textId="77777777" w:rsidTr="007212D5">
        <w:trPr>
          <w:trHeight w:val="508"/>
        </w:trPr>
        <w:tc>
          <w:tcPr>
            <w:tcW w:w="2605" w:type="dxa"/>
          </w:tcPr>
          <w:p w14:paraId="01B1AD05" w14:textId="6BEC59DB" w:rsidR="008E4A35" w:rsidRPr="00650F2B" w:rsidRDefault="008E4A35" w:rsidP="00650F2B">
            <w:pPr>
              <w:spacing w:after="0" w:line="256" w:lineRule="auto"/>
              <w:rPr>
                <w:rFonts w:ascii="Arial" w:hAnsi="Arial" w:cs="Arial"/>
                <w:b/>
                <w:sz w:val="18"/>
              </w:rPr>
            </w:pPr>
            <w:r w:rsidRPr="00650F2B">
              <w:rPr>
                <w:rFonts w:ascii="Arial" w:hAnsi="Arial" w:cs="Arial"/>
                <w:b/>
                <w:sz w:val="18"/>
              </w:rPr>
              <w:t>Community-based support</w:t>
            </w:r>
            <w:r w:rsidR="006A6887">
              <w:rPr>
                <w:rFonts w:ascii="Arial" w:hAnsi="Arial" w:cs="Arial"/>
                <w:b/>
                <w:sz w:val="18"/>
              </w:rPr>
              <w:t xml:space="preserve"> </w:t>
            </w:r>
            <w:r w:rsidRPr="00650F2B">
              <w:rPr>
                <w:rFonts w:ascii="Arial" w:hAnsi="Arial" w:cs="Arial"/>
                <w:b/>
                <w:sz w:val="18"/>
              </w:rPr>
              <w:t>service</w:t>
            </w:r>
            <w:r w:rsidR="006A6887">
              <w:rPr>
                <w:rFonts w:ascii="Arial" w:hAnsi="Arial" w:cs="Arial"/>
                <w:b/>
                <w:sz w:val="18"/>
              </w:rPr>
              <w:t>s</w:t>
            </w:r>
            <w:r w:rsidR="00183AAB">
              <w:rPr>
                <w:rFonts w:ascii="Arial" w:hAnsi="Arial" w:cs="Arial"/>
                <w:b/>
                <w:sz w:val="18"/>
              </w:rPr>
              <w:t xml:space="preserve"> for stable patients</w:t>
            </w:r>
          </w:p>
        </w:tc>
        <w:tc>
          <w:tcPr>
            <w:tcW w:w="2700" w:type="dxa"/>
            <w:shd w:val="clear" w:color="auto" w:fill="FFFFFF" w:themeFill="background1"/>
          </w:tcPr>
          <w:p w14:paraId="18474853"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partially implemented but room to scale</w:t>
            </w:r>
          </w:p>
        </w:tc>
        <w:tc>
          <w:tcPr>
            <w:tcW w:w="1710" w:type="dxa"/>
            <w:shd w:val="clear" w:color="auto" w:fill="FFFFFF" w:themeFill="background1"/>
          </w:tcPr>
          <w:p w14:paraId="1783FD90" w14:textId="249797CB"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(Forsy</w:t>
            </w:r>
            <w:r w:rsidR="00BA2636">
              <w:rPr>
                <w:rFonts w:ascii="Arial" w:hAnsi="Arial" w:cs="Arial"/>
                <w:color w:val="000000" w:themeColor="text1"/>
                <w:sz w:val="18"/>
              </w:rPr>
              <w:t>th</w:t>
            </w:r>
            <w:r w:rsidRPr="00650F2B">
              <w:rPr>
                <w:rFonts w:ascii="Arial" w:hAnsi="Arial" w:cs="Arial"/>
                <w:color w:val="000000" w:themeColor="text1"/>
                <w:sz w:val="18"/>
              </w:rPr>
              <w:t xml:space="preserve">e </w:t>
            </w:r>
            <w:r w:rsidR="00121628">
              <w:rPr>
                <w:rFonts w:ascii="Arial" w:hAnsi="Arial" w:cs="Arial"/>
                <w:color w:val="000000" w:themeColor="text1"/>
                <w:sz w:val="18"/>
              </w:rPr>
              <w:t xml:space="preserve">et al </w:t>
            </w:r>
            <w:r w:rsidRPr="00650F2B">
              <w:rPr>
                <w:rFonts w:ascii="Arial" w:hAnsi="Arial" w:cs="Arial"/>
                <w:color w:val="000000" w:themeColor="text1"/>
                <w:sz w:val="18"/>
              </w:rPr>
              <w:t>2018)</w:t>
            </w:r>
          </w:p>
        </w:tc>
        <w:tc>
          <w:tcPr>
            <w:tcW w:w="1080" w:type="dxa"/>
            <w:shd w:val="clear" w:color="auto" w:fill="FFFFFF" w:themeFill="background1"/>
          </w:tcPr>
          <w:p w14:paraId="3DA32E9E"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w:t>
            </w:r>
          </w:p>
        </w:tc>
        <w:tc>
          <w:tcPr>
            <w:tcW w:w="1124" w:type="dxa"/>
            <w:shd w:val="clear" w:color="auto" w:fill="E2EFD9" w:themeFill="accent6" w:themeFillTint="33"/>
            <w:vAlign w:val="center"/>
          </w:tcPr>
          <w:p w14:paraId="384041CF" w14:textId="77777777" w:rsidR="008E4A35" w:rsidRPr="00650F2B" w:rsidRDefault="008E4A35" w:rsidP="00650F2B">
            <w:pPr>
              <w:spacing w:after="0" w:line="256" w:lineRule="auto"/>
              <w:jc w:val="center"/>
              <w:rPr>
                <w:rFonts w:ascii="Arial" w:hAnsi="Arial" w:cs="Arial"/>
                <w:color w:val="000000" w:themeColor="text1"/>
                <w:sz w:val="18"/>
              </w:rPr>
            </w:pPr>
            <w:r w:rsidRPr="00650F2B">
              <w:rPr>
                <w:rFonts w:ascii="Arial" w:hAnsi="Arial" w:cs="Arial"/>
                <w:color w:val="000000" w:themeColor="text1"/>
                <w:sz w:val="18"/>
              </w:rPr>
              <w:sym w:font="Wingdings" w:char="F0FC"/>
            </w:r>
          </w:p>
        </w:tc>
      </w:tr>
      <w:tr w:rsidR="008E4A35" w:rsidRPr="00650F2B" w14:paraId="6BBDCB37" w14:textId="77777777" w:rsidTr="007212D5">
        <w:trPr>
          <w:trHeight w:val="379"/>
        </w:trPr>
        <w:tc>
          <w:tcPr>
            <w:tcW w:w="2605" w:type="dxa"/>
          </w:tcPr>
          <w:p w14:paraId="15C4E61A" w14:textId="77777777" w:rsidR="008E4A35" w:rsidRPr="00650F2B" w:rsidRDefault="008E4A35" w:rsidP="00650F2B">
            <w:pPr>
              <w:spacing w:after="0" w:line="256" w:lineRule="auto"/>
              <w:rPr>
                <w:rFonts w:ascii="Arial" w:hAnsi="Arial" w:cs="Arial"/>
                <w:b/>
                <w:sz w:val="18"/>
              </w:rPr>
            </w:pPr>
            <w:r w:rsidRPr="00650F2B">
              <w:rPr>
                <w:rFonts w:ascii="Arial" w:hAnsi="Arial" w:cs="Arial"/>
                <w:b/>
                <w:sz w:val="18"/>
              </w:rPr>
              <w:t>Home-based ART</w:t>
            </w:r>
          </w:p>
        </w:tc>
        <w:tc>
          <w:tcPr>
            <w:tcW w:w="2700" w:type="dxa"/>
            <w:shd w:val="clear" w:color="auto" w:fill="FFFFFF" w:themeFill="background1"/>
          </w:tcPr>
          <w:p w14:paraId="3DBC3229" w14:textId="77777777"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Yes, not implemented</w:t>
            </w:r>
          </w:p>
        </w:tc>
        <w:tc>
          <w:tcPr>
            <w:tcW w:w="1710" w:type="dxa"/>
            <w:shd w:val="clear" w:color="auto" w:fill="FFFFFF" w:themeFill="background1"/>
          </w:tcPr>
          <w:p w14:paraId="77DD2A01" w14:textId="184F6668" w:rsidR="008E4A35" w:rsidRPr="00650F2B" w:rsidRDefault="008E4A35" w:rsidP="00650F2B">
            <w:pPr>
              <w:spacing w:after="0" w:line="256" w:lineRule="auto"/>
              <w:rPr>
                <w:rFonts w:ascii="Arial" w:hAnsi="Arial" w:cs="Arial"/>
                <w:color w:val="000000" w:themeColor="text1"/>
                <w:sz w:val="18"/>
              </w:rPr>
            </w:pPr>
            <w:r w:rsidRPr="00650F2B">
              <w:rPr>
                <w:rFonts w:ascii="Arial" w:hAnsi="Arial" w:cs="Arial"/>
                <w:color w:val="000000" w:themeColor="text1"/>
                <w:sz w:val="18"/>
              </w:rPr>
              <w:t>No, actually cost</w:t>
            </w:r>
            <w:r w:rsidR="00650F2B">
              <w:rPr>
                <w:rFonts w:ascii="Arial" w:hAnsi="Arial" w:cs="Arial"/>
                <w:color w:val="000000" w:themeColor="text1"/>
                <w:sz w:val="18"/>
              </w:rPr>
              <w:t>s</w:t>
            </w:r>
            <w:r w:rsidRPr="00650F2B">
              <w:rPr>
                <w:rFonts w:ascii="Arial" w:hAnsi="Arial" w:cs="Arial"/>
                <w:color w:val="000000" w:themeColor="text1"/>
                <w:sz w:val="18"/>
              </w:rPr>
              <w:t xml:space="preserve"> more</w:t>
            </w:r>
          </w:p>
          <w:p w14:paraId="7AA163C4" w14:textId="6E27CB75" w:rsidR="008E4A35" w:rsidRPr="00650F2B" w:rsidRDefault="008E4A35" w:rsidP="00650F2B">
            <w:pPr>
              <w:spacing w:after="0" w:line="256" w:lineRule="auto"/>
              <w:rPr>
                <w:rFonts w:ascii="Arial" w:hAnsi="Arial" w:cs="Arial"/>
                <w:b/>
                <w:color w:val="000000" w:themeColor="text1"/>
                <w:sz w:val="18"/>
              </w:rPr>
            </w:pPr>
            <w:r w:rsidRPr="00650F2B">
              <w:rPr>
                <w:rFonts w:ascii="Arial" w:hAnsi="Arial" w:cs="Arial"/>
                <w:color w:val="000000" w:themeColor="text1"/>
                <w:sz w:val="18"/>
              </w:rPr>
              <w:t>(MacPherson et al 2014)</w:t>
            </w:r>
          </w:p>
        </w:tc>
        <w:tc>
          <w:tcPr>
            <w:tcW w:w="1080" w:type="dxa"/>
            <w:shd w:val="clear" w:color="auto" w:fill="FFFFFF" w:themeFill="background1"/>
          </w:tcPr>
          <w:p w14:paraId="1C7D5CB4" w14:textId="77777777" w:rsidR="008E4A35" w:rsidRPr="00650F2B" w:rsidRDefault="008E4A35" w:rsidP="00650F2B">
            <w:pPr>
              <w:spacing w:after="0" w:line="256" w:lineRule="auto"/>
              <w:rPr>
                <w:rFonts w:ascii="Arial" w:hAnsi="Arial" w:cs="Arial"/>
                <w:color w:val="FFFFFF" w:themeColor="background1"/>
                <w:sz w:val="18"/>
              </w:rPr>
            </w:pPr>
            <w:r w:rsidRPr="00650F2B">
              <w:rPr>
                <w:rFonts w:ascii="Arial" w:hAnsi="Arial" w:cs="Arial"/>
                <w:color w:val="000000" w:themeColor="text1"/>
                <w:sz w:val="18"/>
              </w:rPr>
              <w:t>No</w:t>
            </w:r>
          </w:p>
        </w:tc>
        <w:tc>
          <w:tcPr>
            <w:tcW w:w="1124" w:type="dxa"/>
            <w:shd w:val="clear" w:color="auto" w:fill="FF9999"/>
          </w:tcPr>
          <w:p w14:paraId="105A1AAB" w14:textId="77777777" w:rsidR="008E4A35" w:rsidRPr="00650F2B" w:rsidRDefault="008E4A35" w:rsidP="00650F2B">
            <w:pPr>
              <w:spacing w:after="0" w:line="256" w:lineRule="auto"/>
              <w:rPr>
                <w:rFonts w:ascii="Arial" w:hAnsi="Arial" w:cs="Arial"/>
                <w:color w:val="000000" w:themeColor="text1"/>
                <w:sz w:val="18"/>
              </w:rPr>
            </w:pPr>
          </w:p>
        </w:tc>
      </w:tr>
    </w:tbl>
    <w:p w14:paraId="2BD9897E" w14:textId="197E4C12" w:rsidR="00E519E4" w:rsidRPr="00AC4829" w:rsidRDefault="00185F66" w:rsidP="00AC4829">
      <w:pPr>
        <w:pStyle w:val="Heading2"/>
        <w:rPr>
          <w:rFonts w:ascii="Arial" w:hAnsi="Arial" w:cs="Arial"/>
        </w:rPr>
      </w:pPr>
      <w:bookmarkStart w:id="147" w:name="_Toc57035240"/>
      <w:r w:rsidRPr="00C74071">
        <w:rPr>
          <w:rFonts w:ascii="Arial" w:hAnsi="Arial" w:cs="Arial"/>
        </w:rPr>
        <w:t>Annex</w:t>
      </w:r>
      <w:r w:rsidR="00C74071" w:rsidRPr="00C74071">
        <w:rPr>
          <w:rFonts w:ascii="Arial" w:hAnsi="Arial" w:cs="Arial"/>
        </w:rPr>
        <w:t xml:space="preserve"> </w:t>
      </w:r>
      <w:r w:rsidR="00E37859">
        <w:rPr>
          <w:rFonts w:ascii="Arial" w:hAnsi="Arial" w:cs="Arial"/>
        </w:rPr>
        <w:t>7</w:t>
      </w:r>
      <w:r w:rsidR="008544A5" w:rsidRPr="00C74071">
        <w:rPr>
          <w:rFonts w:ascii="Arial" w:hAnsi="Arial" w:cs="Arial"/>
        </w:rPr>
        <w:t>. Calculation of savings from technical efficiencies</w:t>
      </w:r>
      <w:bookmarkEnd w:id="147"/>
    </w:p>
    <w:p w14:paraId="1C54B7A1" w14:textId="77777777" w:rsidR="00E519E4" w:rsidRDefault="00E519E4" w:rsidP="00E519E4">
      <w:pPr>
        <w:spacing w:after="0"/>
        <w:rPr>
          <w:rFonts w:ascii="Arial" w:hAnsi="Arial" w:cs="Arial"/>
        </w:rPr>
      </w:pPr>
    </w:p>
    <w:p w14:paraId="79154C43" w14:textId="77777777" w:rsidR="00E519E4" w:rsidRDefault="00E519E4" w:rsidP="00E519E4">
      <w:pPr>
        <w:spacing w:after="0"/>
        <w:rPr>
          <w:rFonts w:ascii="Arial" w:hAnsi="Arial" w:cs="Arial"/>
        </w:rPr>
      </w:pPr>
      <w:r>
        <w:rPr>
          <w:rFonts w:ascii="Arial" w:hAnsi="Arial" w:cs="Arial"/>
        </w:rPr>
        <w:t>The breakdown for the baseline unit cost for ART is shown below with major cost components. The proposed technical efficiencies are then mapped to the specific unit cost component they affect.</w:t>
      </w:r>
    </w:p>
    <w:p w14:paraId="411BB00F" w14:textId="1D391F2A" w:rsidR="00E519E4" w:rsidRDefault="00E519E4" w:rsidP="00E519E4">
      <w:pPr>
        <w:spacing w:after="0"/>
        <w:rPr>
          <w:rFonts w:ascii="Arial" w:hAnsi="Arial" w:cs="Arial"/>
        </w:rPr>
      </w:pPr>
    </w:p>
    <w:p w14:paraId="336D52D1" w14:textId="2C048E53" w:rsidR="00AC4829" w:rsidRPr="00AC4829" w:rsidRDefault="00AC4829" w:rsidP="00E519E4">
      <w:pPr>
        <w:spacing w:after="0"/>
        <w:rPr>
          <w:rFonts w:ascii="Arial" w:hAnsi="Arial" w:cs="Arial"/>
          <w:i/>
        </w:rPr>
      </w:pPr>
      <w:r w:rsidRPr="00AC4829">
        <w:rPr>
          <w:rFonts w:ascii="Arial" w:hAnsi="Arial" w:cs="Arial"/>
          <w:i/>
          <w:sz w:val="18"/>
        </w:rPr>
        <w:t>Figure 7A-1. Baseline ART unit cost</w:t>
      </w:r>
    </w:p>
    <w:tbl>
      <w:tblPr>
        <w:tblW w:w="9340" w:type="dxa"/>
        <w:tblCellMar>
          <w:left w:w="0" w:type="dxa"/>
          <w:right w:w="0" w:type="dxa"/>
        </w:tblCellMar>
        <w:tblLook w:val="0420" w:firstRow="1" w:lastRow="0" w:firstColumn="0" w:lastColumn="0" w:noHBand="0" w:noVBand="1"/>
      </w:tblPr>
      <w:tblGrid>
        <w:gridCol w:w="3603"/>
        <w:gridCol w:w="2057"/>
        <w:gridCol w:w="3680"/>
      </w:tblGrid>
      <w:tr w:rsidR="00E519E4" w:rsidRPr="008544A5" w14:paraId="572CAB72" w14:textId="77777777" w:rsidTr="002E0189">
        <w:trPr>
          <w:trHeight w:val="70"/>
        </w:trPr>
        <w:tc>
          <w:tcPr>
            <w:tcW w:w="3603" w:type="dxa"/>
            <w:tcBorders>
              <w:top w:val="single" w:sz="8" w:space="0" w:color="FFFFFF"/>
              <w:left w:val="single" w:sz="8" w:space="0" w:color="FFFFFF"/>
              <w:bottom w:val="single" w:sz="4" w:space="0" w:color="auto"/>
              <w:right w:val="single" w:sz="8" w:space="0" w:color="FFFFFF"/>
            </w:tcBorders>
            <w:shd w:val="clear" w:color="auto" w:fill="C00000"/>
            <w:tcMar>
              <w:top w:w="72" w:type="dxa"/>
              <w:left w:w="144" w:type="dxa"/>
              <w:bottom w:w="72" w:type="dxa"/>
              <w:right w:w="144" w:type="dxa"/>
            </w:tcMar>
            <w:vAlign w:val="center"/>
            <w:hideMark/>
          </w:tcPr>
          <w:p w14:paraId="5E3E03E4" w14:textId="25C5C7F3" w:rsidR="00E519E4" w:rsidRPr="008544A5" w:rsidRDefault="00E519E4" w:rsidP="008D04B1">
            <w:pPr>
              <w:spacing w:after="0"/>
              <w:rPr>
                <w:rFonts w:ascii="Arial" w:hAnsi="Arial" w:cs="Arial"/>
                <w:sz w:val="18"/>
              </w:rPr>
            </w:pPr>
          </w:p>
        </w:tc>
        <w:tc>
          <w:tcPr>
            <w:tcW w:w="2057" w:type="dxa"/>
            <w:tcBorders>
              <w:top w:val="single" w:sz="8" w:space="0" w:color="FFFFFF"/>
              <w:left w:val="single" w:sz="8" w:space="0" w:color="FFFFFF"/>
              <w:bottom w:val="single" w:sz="4" w:space="0" w:color="auto"/>
              <w:right w:val="single" w:sz="8" w:space="0" w:color="FFFFFF"/>
            </w:tcBorders>
            <w:shd w:val="clear" w:color="auto" w:fill="C00000"/>
            <w:tcMar>
              <w:top w:w="72" w:type="dxa"/>
              <w:left w:w="144" w:type="dxa"/>
              <w:bottom w:w="72" w:type="dxa"/>
              <w:right w:w="144" w:type="dxa"/>
            </w:tcMar>
            <w:vAlign w:val="center"/>
            <w:hideMark/>
          </w:tcPr>
          <w:p w14:paraId="0C2836DF" w14:textId="40F66708" w:rsidR="00E519E4" w:rsidRPr="008544A5" w:rsidRDefault="00E519E4" w:rsidP="008D04B1">
            <w:pPr>
              <w:spacing w:after="0"/>
              <w:rPr>
                <w:rFonts w:ascii="Arial" w:hAnsi="Arial" w:cs="Arial"/>
                <w:b/>
                <w:sz w:val="18"/>
              </w:rPr>
            </w:pPr>
            <w:r w:rsidRPr="008544A5">
              <w:rPr>
                <w:rFonts w:ascii="Arial" w:hAnsi="Arial" w:cs="Arial"/>
                <w:b/>
                <w:sz w:val="18"/>
              </w:rPr>
              <w:t>Unit cost</w:t>
            </w:r>
            <w:r w:rsidR="000807B2">
              <w:rPr>
                <w:rFonts w:ascii="Arial" w:hAnsi="Arial" w:cs="Arial"/>
                <w:b/>
                <w:sz w:val="18"/>
              </w:rPr>
              <w:t xml:space="preserve"> (USD)</w:t>
            </w:r>
          </w:p>
        </w:tc>
        <w:tc>
          <w:tcPr>
            <w:tcW w:w="3680" w:type="dxa"/>
            <w:tcBorders>
              <w:top w:val="single" w:sz="8" w:space="0" w:color="FFFFFF"/>
              <w:left w:val="single" w:sz="8" w:space="0" w:color="FFFFFF"/>
              <w:bottom w:val="single" w:sz="4" w:space="0" w:color="auto"/>
              <w:right w:val="single" w:sz="8" w:space="0" w:color="FFFFFF"/>
            </w:tcBorders>
            <w:shd w:val="clear" w:color="auto" w:fill="C00000"/>
          </w:tcPr>
          <w:p w14:paraId="7DCDB1D8" w14:textId="77777777" w:rsidR="00E519E4" w:rsidRPr="008544A5" w:rsidRDefault="00E519E4" w:rsidP="008D04B1">
            <w:pPr>
              <w:spacing w:after="0"/>
              <w:rPr>
                <w:rFonts w:ascii="Arial" w:hAnsi="Arial" w:cs="Arial"/>
                <w:b/>
                <w:sz w:val="18"/>
              </w:rPr>
            </w:pPr>
            <w:r>
              <w:rPr>
                <w:rFonts w:ascii="Arial" w:hAnsi="Arial" w:cs="Arial"/>
                <w:b/>
                <w:sz w:val="18"/>
              </w:rPr>
              <w:t>Relevant TE</w:t>
            </w:r>
          </w:p>
        </w:tc>
      </w:tr>
      <w:tr w:rsidR="00E519E4" w:rsidRPr="008544A5" w14:paraId="1C7C2404" w14:textId="77777777" w:rsidTr="002E0189">
        <w:trPr>
          <w:trHeight w:val="95"/>
        </w:trPr>
        <w:tc>
          <w:tcPr>
            <w:tcW w:w="36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7BA178B" w14:textId="77777777" w:rsidR="00E519E4" w:rsidRPr="008544A5" w:rsidRDefault="00E519E4" w:rsidP="008D04B1">
            <w:pPr>
              <w:spacing w:after="0"/>
              <w:rPr>
                <w:rFonts w:ascii="Arial" w:hAnsi="Arial" w:cs="Arial"/>
                <w:sz w:val="18"/>
              </w:rPr>
            </w:pPr>
            <w:r w:rsidRPr="008544A5">
              <w:rPr>
                <w:rFonts w:ascii="Arial" w:hAnsi="Arial" w:cs="Arial"/>
                <w:b/>
                <w:bCs/>
                <w:sz w:val="18"/>
              </w:rPr>
              <w:t xml:space="preserve">Average cost of ART per person reached </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926153F" w14:textId="77777777" w:rsidR="00E519E4" w:rsidRPr="008544A5" w:rsidRDefault="00E519E4" w:rsidP="008D04B1">
            <w:pPr>
              <w:spacing w:after="0"/>
              <w:rPr>
                <w:rFonts w:ascii="Arial" w:hAnsi="Arial" w:cs="Arial"/>
                <w:sz w:val="18"/>
              </w:rPr>
            </w:pPr>
            <w:r w:rsidRPr="008544A5">
              <w:rPr>
                <w:rFonts w:ascii="Arial" w:hAnsi="Arial" w:cs="Arial"/>
                <w:b/>
                <w:bCs/>
                <w:sz w:val="18"/>
              </w:rPr>
              <w:t>$205</w:t>
            </w:r>
          </w:p>
        </w:tc>
        <w:tc>
          <w:tcPr>
            <w:tcW w:w="3680" w:type="dxa"/>
            <w:tcBorders>
              <w:top w:val="single" w:sz="4" w:space="0" w:color="auto"/>
              <w:left w:val="single" w:sz="4" w:space="0" w:color="auto"/>
              <w:bottom w:val="single" w:sz="4" w:space="0" w:color="auto"/>
              <w:right w:val="single" w:sz="4" w:space="0" w:color="auto"/>
            </w:tcBorders>
          </w:tcPr>
          <w:p w14:paraId="750A0559" w14:textId="77777777" w:rsidR="00E519E4" w:rsidRPr="008544A5" w:rsidRDefault="00E519E4" w:rsidP="008D04B1">
            <w:pPr>
              <w:spacing w:after="0"/>
              <w:rPr>
                <w:rFonts w:ascii="Arial" w:hAnsi="Arial" w:cs="Arial"/>
                <w:b/>
                <w:bCs/>
                <w:sz w:val="18"/>
              </w:rPr>
            </w:pPr>
          </w:p>
        </w:tc>
      </w:tr>
      <w:tr w:rsidR="00E519E4" w:rsidRPr="008544A5" w14:paraId="2BB12A34" w14:textId="77777777" w:rsidTr="002E0189">
        <w:trPr>
          <w:trHeight w:val="40"/>
        </w:trPr>
        <w:tc>
          <w:tcPr>
            <w:tcW w:w="36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17E6A85" w14:textId="77777777" w:rsidR="00E519E4" w:rsidRPr="008544A5" w:rsidRDefault="00E519E4" w:rsidP="008D04B1">
            <w:pPr>
              <w:spacing w:after="0"/>
              <w:rPr>
                <w:rFonts w:ascii="Arial" w:hAnsi="Arial" w:cs="Arial"/>
                <w:sz w:val="18"/>
              </w:rPr>
            </w:pPr>
            <w:r w:rsidRPr="008544A5">
              <w:rPr>
                <w:rFonts w:ascii="Arial" w:hAnsi="Arial" w:cs="Arial"/>
                <w:sz w:val="18"/>
              </w:rPr>
              <w:t xml:space="preserve">ARVs </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9C94B94" w14:textId="77777777" w:rsidR="00E519E4" w:rsidRPr="008544A5" w:rsidRDefault="00E519E4" w:rsidP="008D04B1">
            <w:pPr>
              <w:spacing w:after="0"/>
              <w:rPr>
                <w:rFonts w:ascii="Arial" w:hAnsi="Arial" w:cs="Arial"/>
                <w:sz w:val="18"/>
              </w:rPr>
            </w:pPr>
            <w:r w:rsidRPr="008544A5">
              <w:rPr>
                <w:rFonts w:ascii="Arial" w:hAnsi="Arial" w:cs="Arial"/>
                <w:sz w:val="18"/>
              </w:rPr>
              <w:t>$98</w:t>
            </w:r>
          </w:p>
        </w:tc>
        <w:tc>
          <w:tcPr>
            <w:tcW w:w="3680" w:type="dxa"/>
            <w:tcBorders>
              <w:top w:val="single" w:sz="4" w:space="0" w:color="auto"/>
              <w:left w:val="single" w:sz="4" w:space="0" w:color="auto"/>
              <w:bottom w:val="single" w:sz="4" w:space="0" w:color="auto"/>
              <w:right w:val="single" w:sz="4" w:space="0" w:color="auto"/>
            </w:tcBorders>
          </w:tcPr>
          <w:p w14:paraId="4A654FBF" w14:textId="77777777" w:rsidR="00E519E4" w:rsidRPr="008544A5" w:rsidRDefault="00E519E4" w:rsidP="008D04B1">
            <w:pPr>
              <w:spacing w:after="0"/>
              <w:rPr>
                <w:rFonts w:ascii="Arial" w:hAnsi="Arial" w:cs="Arial"/>
                <w:sz w:val="18"/>
              </w:rPr>
            </w:pPr>
            <w:r>
              <w:rPr>
                <w:rFonts w:ascii="Arial" w:hAnsi="Arial" w:cs="Arial"/>
                <w:sz w:val="18"/>
              </w:rPr>
              <w:t>DTG switch</w:t>
            </w:r>
          </w:p>
        </w:tc>
      </w:tr>
      <w:tr w:rsidR="00E519E4" w:rsidRPr="008544A5" w14:paraId="760E0929" w14:textId="77777777" w:rsidTr="002E0189">
        <w:trPr>
          <w:trHeight w:val="40"/>
        </w:trPr>
        <w:tc>
          <w:tcPr>
            <w:tcW w:w="36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6ACE23C" w14:textId="77777777" w:rsidR="00E519E4" w:rsidRPr="008544A5" w:rsidRDefault="00E519E4" w:rsidP="008D04B1">
            <w:pPr>
              <w:spacing w:after="0"/>
              <w:rPr>
                <w:rFonts w:ascii="Arial" w:hAnsi="Arial" w:cs="Arial"/>
                <w:sz w:val="18"/>
              </w:rPr>
            </w:pPr>
            <w:r w:rsidRPr="008544A5">
              <w:rPr>
                <w:rFonts w:ascii="Arial" w:hAnsi="Arial" w:cs="Arial"/>
                <w:sz w:val="18"/>
              </w:rPr>
              <w:t>Personnel</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16FED5D" w14:textId="77777777" w:rsidR="00E519E4" w:rsidRPr="008544A5" w:rsidRDefault="00E519E4" w:rsidP="008D04B1">
            <w:pPr>
              <w:spacing w:after="0"/>
              <w:rPr>
                <w:rFonts w:ascii="Arial" w:hAnsi="Arial" w:cs="Arial"/>
                <w:sz w:val="18"/>
              </w:rPr>
            </w:pPr>
            <w:r w:rsidRPr="008544A5">
              <w:rPr>
                <w:rFonts w:ascii="Arial" w:hAnsi="Arial" w:cs="Arial"/>
                <w:sz w:val="18"/>
              </w:rPr>
              <w:t>$36</w:t>
            </w:r>
          </w:p>
        </w:tc>
        <w:tc>
          <w:tcPr>
            <w:tcW w:w="3680" w:type="dxa"/>
            <w:tcBorders>
              <w:top w:val="single" w:sz="4" w:space="0" w:color="auto"/>
              <w:left w:val="single" w:sz="4" w:space="0" w:color="auto"/>
              <w:bottom w:val="single" w:sz="4" w:space="0" w:color="auto"/>
              <w:right w:val="single" w:sz="4" w:space="0" w:color="auto"/>
            </w:tcBorders>
          </w:tcPr>
          <w:p w14:paraId="6DF1F341" w14:textId="77777777" w:rsidR="00E519E4" w:rsidRPr="008544A5" w:rsidRDefault="00E519E4" w:rsidP="008D04B1">
            <w:pPr>
              <w:spacing w:after="0"/>
              <w:rPr>
                <w:rFonts w:ascii="Arial" w:hAnsi="Arial" w:cs="Arial"/>
                <w:sz w:val="18"/>
              </w:rPr>
            </w:pPr>
          </w:p>
        </w:tc>
      </w:tr>
      <w:tr w:rsidR="00E519E4" w:rsidRPr="008544A5" w14:paraId="3259D9D3" w14:textId="77777777" w:rsidTr="002E0189">
        <w:trPr>
          <w:trHeight w:val="40"/>
        </w:trPr>
        <w:tc>
          <w:tcPr>
            <w:tcW w:w="36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382502D" w14:textId="77777777" w:rsidR="00E519E4" w:rsidRPr="008544A5" w:rsidRDefault="00E519E4" w:rsidP="008D04B1">
            <w:pPr>
              <w:spacing w:after="0"/>
              <w:rPr>
                <w:rFonts w:ascii="Arial" w:hAnsi="Arial" w:cs="Arial"/>
                <w:sz w:val="18"/>
              </w:rPr>
            </w:pPr>
            <w:r w:rsidRPr="008544A5">
              <w:rPr>
                <w:rFonts w:ascii="Arial" w:hAnsi="Arial" w:cs="Arial"/>
                <w:sz w:val="18"/>
              </w:rPr>
              <w:t>Lab services</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94A7F94" w14:textId="2C549DE6" w:rsidR="00E519E4" w:rsidRPr="008544A5" w:rsidRDefault="00E519E4" w:rsidP="008D04B1">
            <w:pPr>
              <w:spacing w:after="0"/>
              <w:rPr>
                <w:rFonts w:ascii="Arial" w:hAnsi="Arial" w:cs="Arial"/>
                <w:sz w:val="18"/>
              </w:rPr>
            </w:pPr>
            <w:r w:rsidRPr="008544A5">
              <w:rPr>
                <w:rFonts w:ascii="Arial" w:hAnsi="Arial" w:cs="Arial"/>
                <w:sz w:val="18"/>
              </w:rPr>
              <w:t>$</w:t>
            </w:r>
            <w:r w:rsidR="004066EA">
              <w:rPr>
                <w:rFonts w:ascii="Arial" w:hAnsi="Arial" w:cs="Arial"/>
                <w:sz w:val="18"/>
              </w:rPr>
              <w:t>28</w:t>
            </w:r>
          </w:p>
        </w:tc>
        <w:tc>
          <w:tcPr>
            <w:tcW w:w="3680" w:type="dxa"/>
            <w:tcBorders>
              <w:top w:val="single" w:sz="4" w:space="0" w:color="auto"/>
              <w:left w:val="single" w:sz="4" w:space="0" w:color="auto"/>
              <w:bottom w:val="single" w:sz="4" w:space="0" w:color="auto"/>
              <w:right w:val="single" w:sz="4" w:space="0" w:color="auto"/>
            </w:tcBorders>
          </w:tcPr>
          <w:p w14:paraId="0A0D1135" w14:textId="77777777" w:rsidR="00E519E4" w:rsidRPr="008544A5" w:rsidRDefault="00E519E4" w:rsidP="008D04B1">
            <w:pPr>
              <w:spacing w:after="0"/>
              <w:rPr>
                <w:rFonts w:ascii="Arial" w:hAnsi="Arial" w:cs="Arial"/>
                <w:sz w:val="18"/>
              </w:rPr>
            </w:pPr>
            <w:r>
              <w:rPr>
                <w:rFonts w:ascii="Arial" w:hAnsi="Arial" w:cs="Arial"/>
                <w:sz w:val="18"/>
              </w:rPr>
              <w:t>Full implementation of DSDM</w:t>
            </w:r>
          </w:p>
        </w:tc>
      </w:tr>
      <w:tr w:rsidR="00E519E4" w:rsidRPr="008544A5" w14:paraId="47C5A138" w14:textId="77777777" w:rsidTr="002E0189">
        <w:trPr>
          <w:trHeight w:val="215"/>
        </w:trPr>
        <w:tc>
          <w:tcPr>
            <w:tcW w:w="36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C0636A4" w14:textId="77777777" w:rsidR="00E519E4" w:rsidRPr="008544A5" w:rsidRDefault="00E519E4" w:rsidP="008D04B1">
            <w:pPr>
              <w:spacing w:after="0"/>
              <w:rPr>
                <w:rFonts w:ascii="Arial" w:hAnsi="Arial" w:cs="Arial"/>
                <w:sz w:val="18"/>
              </w:rPr>
            </w:pPr>
            <w:r>
              <w:rPr>
                <w:rFonts w:ascii="Arial" w:hAnsi="Arial" w:cs="Arial"/>
                <w:sz w:val="18"/>
              </w:rPr>
              <w:t>Supporting services</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56AF3E4" w14:textId="167C6529" w:rsidR="00E519E4" w:rsidRPr="008544A5" w:rsidRDefault="00E519E4" w:rsidP="008D04B1">
            <w:pPr>
              <w:spacing w:after="0"/>
              <w:rPr>
                <w:rFonts w:ascii="Arial" w:hAnsi="Arial" w:cs="Arial"/>
                <w:sz w:val="18"/>
              </w:rPr>
            </w:pPr>
            <w:r>
              <w:rPr>
                <w:rFonts w:ascii="Arial" w:hAnsi="Arial" w:cs="Arial"/>
                <w:sz w:val="18"/>
              </w:rPr>
              <w:t>$</w:t>
            </w:r>
            <w:r w:rsidR="008D04B1">
              <w:rPr>
                <w:rFonts w:ascii="Arial" w:hAnsi="Arial" w:cs="Arial"/>
                <w:sz w:val="18"/>
              </w:rPr>
              <w:t>57</w:t>
            </w:r>
          </w:p>
        </w:tc>
        <w:tc>
          <w:tcPr>
            <w:tcW w:w="3680" w:type="dxa"/>
            <w:tcBorders>
              <w:top w:val="single" w:sz="4" w:space="0" w:color="auto"/>
              <w:left w:val="single" w:sz="4" w:space="0" w:color="auto"/>
              <w:bottom w:val="single" w:sz="4" w:space="0" w:color="auto"/>
              <w:right w:val="single" w:sz="4" w:space="0" w:color="auto"/>
            </w:tcBorders>
          </w:tcPr>
          <w:p w14:paraId="031B4228" w14:textId="083F2450" w:rsidR="00E519E4" w:rsidRDefault="008D04B1" w:rsidP="008D04B1">
            <w:pPr>
              <w:spacing w:after="0"/>
              <w:rPr>
                <w:rFonts w:ascii="Arial" w:hAnsi="Arial" w:cs="Arial"/>
                <w:sz w:val="18"/>
              </w:rPr>
            </w:pPr>
            <w:r>
              <w:rPr>
                <w:rFonts w:ascii="Arial" w:hAnsi="Arial" w:cs="Arial"/>
                <w:sz w:val="18"/>
              </w:rPr>
              <w:t>Community-based support services</w:t>
            </w:r>
          </w:p>
        </w:tc>
      </w:tr>
    </w:tbl>
    <w:p w14:paraId="3870AD65" w14:textId="77777777" w:rsidR="004066EA" w:rsidRDefault="00E519E4" w:rsidP="004066EA">
      <w:pPr>
        <w:pStyle w:val="EndnoteText"/>
        <w:rPr>
          <w:rFonts w:ascii="Arial" w:hAnsi="Arial" w:cs="Arial"/>
          <w:sz w:val="18"/>
        </w:rPr>
      </w:pPr>
      <w:r w:rsidRPr="003E62FC">
        <w:rPr>
          <w:rFonts w:ascii="Arial" w:hAnsi="Arial" w:cs="Arial"/>
          <w:sz w:val="16"/>
        </w:rPr>
        <w:t xml:space="preserve">Source: </w:t>
      </w:r>
      <w:r w:rsidR="004066EA" w:rsidRPr="004066EA">
        <w:rPr>
          <w:rFonts w:ascii="Arial" w:hAnsi="Arial" w:cs="Arial"/>
          <w:sz w:val="16"/>
        </w:rPr>
        <w:t>Tanzania Ministry of Health, Community Development, Gender, Elderly, and Children, U.S. Centers for Disease Control and Prevention, and ICF International. (2016a). The Cost of Comprehensive HIV Treatment in Tanzania. Dar es Salaam, Tanzania and Atlanta, GA (USA): U.S. Centers for Disease Control and Prevention</w:t>
      </w:r>
      <w:r w:rsidR="004066EA">
        <w:rPr>
          <w:rFonts w:ascii="Arial" w:hAnsi="Arial" w:cs="Arial"/>
          <w:sz w:val="16"/>
        </w:rPr>
        <w:t xml:space="preserve">; </w:t>
      </w:r>
      <w:r w:rsidR="004066EA" w:rsidRPr="004066EA">
        <w:rPr>
          <w:rFonts w:ascii="Arial" w:hAnsi="Arial" w:cs="Arial"/>
          <w:sz w:val="16"/>
        </w:rPr>
        <w:t>Forsythe, S., B. Lee, K. Tarimo, B. Silvan, M. Balampama, J. Chitty, and Sara Bowsky (2018). Efficiency Analysis of HIV Treatment Support Services at the Facility and the Community Levels. Washington, DC: Palladium, Health Policy Plus. [DRAFT]</w:t>
      </w:r>
    </w:p>
    <w:p w14:paraId="67C3F6B5" w14:textId="65B6FF65" w:rsidR="00E519E4" w:rsidRPr="004066EA" w:rsidRDefault="00E519E4" w:rsidP="004066EA">
      <w:pPr>
        <w:spacing w:after="0"/>
        <w:rPr>
          <w:rFonts w:ascii="Arial" w:hAnsi="Arial" w:cs="Arial"/>
          <w:sz w:val="16"/>
        </w:rPr>
      </w:pPr>
    </w:p>
    <w:p w14:paraId="7628CF33" w14:textId="2C6C6005" w:rsidR="00185F66" w:rsidRPr="00AC4829" w:rsidRDefault="00AC4829">
      <w:pPr>
        <w:rPr>
          <w:rFonts w:ascii="Arial" w:hAnsi="Arial" w:cs="Arial"/>
          <w:i/>
          <w:color w:val="000000" w:themeColor="text1"/>
          <w:sz w:val="18"/>
        </w:rPr>
      </w:pPr>
      <w:r w:rsidRPr="00AC4829">
        <w:rPr>
          <w:rFonts w:ascii="Arial" w:hAnsi="Arial" w:cs="Arial"/>
          <w:i/>
          <w:color w:val="000000" w:themeColor="text1"/>
          <w:sz w:val="18"/>
        </w:rPr>
        <w:t>Figure 7A-2. Savings from switch to DTG-based regimens for first-line ARVs</w:t>
      </w:r>
    </w:p>
    <w:tbl>
      <w:tblPr>
        <w:tblStyle w:val="TableGrid"/>
        <w:tblW w:w="0" w:type="auto"/>
        <w:tblLook w:val="04A0" w:firstRow="1" w:lastRow="0" w:firstColumn="1" w:lastColumn="0" w:noHBand="0" w:noVBand="1"/>
      </w:tblPr>
      <w:tblGrid>
        <w:gridCol w:w="2695"/>
        <w:gridCol w:w="1979"/>
        <w:gridCol w:w="2338"/>
        <w:gridCol w:w="2338"/>
      </w:tblGrid>
      <w:tr w:rsidR="00AC4829" w14:paraId="0FA4D3BD" w14:textId="77777777" w:rsidTr="00865B13">
        <w:tc>
          <w:tcPr>
            <w:tcW w:w="2695" w:type="dxa"/>
            <w:tcBorders>
              <w:bottom w:val="single" w:sz="4" w:space="0" w:color="auto"/>
            </w:tcBorders>
            <w:shd w:val="clear" w:color="auto" w:fill="C00000"/>
          </w:tcPr>
          <w:p w14:paraId="285C119A" w14:textId="77777777" w:rsidR="00AC4829" w:rsidRDefault="00AC4829" w:rsidP="00AC4829">
            <w:pPr>
              <w:rPr>
                <w:rFonts w:ascii="Arial" w:hAnsi="Arial" w:cs="Arial"/>
              </w:rPr>
            </w:pPr>
          </w:p>
        </w:tc>
        <w:tc>
          <w:tcPr>
            <w:tcW w:w="1979" w:type="dxa"/>
            <w:tcBorders>
              <w:bottom w:val="single" w:sz="4" w:space="0" w:color="auto"/>
            </w:tcBorders>
            <w:shd w:val="clear" w:color="auto" w:fill="C00000"/>
          </w:tcPr>
          <w:p w14:paraId="6F1C0700" w14:textId="77777777" w:rsidR="00AC4829" w:rsidRPr="000E7E9D" w:rsidRDefault="00AC4829" w:rsidP="00AC4829">
            <w:pPr>
              <w:rPr>
                <w:rFonts w:ascii="Arial" w:hAnsi="Arial" w:cs="Arial"/>
                <w:b/>
              </w:rPr>
            </w:pPr>
            <w:r w:rsidRPr="000E7E9D">
              <w:rPr>
                <w:rFonts w:ascii="Arial" w:hAnsi="Arial" w:cs="Arial"/>
                <w:b/>
              </w:rPr>
              <w:t>Baseline</w:t>
            </w:r>
          </w:p>
        </w:tc>
        <w:tc>
          <w:tcPr>
            <w:tcW w:w="2338" w:type="dxa"/>
            <w:tcBorders>
              <w:bottom w:val="single" w:sz="4" w:space="0" w:color="auto"/>
            </w:tcBorders>
            <w:shd w:val="clear" w:color="auto" w:fill="C00000"/>
          </w:tcPr>
          <w:p w14:paraId="214584D6" w14:textId="77777777" w:rsidR="00AC4829" w:rsidRPr="000E7E9D" w:rsidRDefault="00AC4829" w:rsidP="00AC4829">
            <w:pPr>
              <w:rPr>
                <w:rFonts w:ascii="Arial" w:hAnsi="Arial" w:cs="Arial"/>
                <w:b/>
              </w:rPr>
            </w:pPr>
            <w:r w:rsidRPr="000E7E9D">
              <w:rPr>
                <w:rFonts w:ascii="Arial" w:hAnsi="Arial" w:cs="Arial"/>
                <w:b/>
              </w:rPr>
              <w:t>DTG Switch</w:t>
            </w:r>
          </w:p>
        </w:tc>
        <w:tc>
          <w:tcPr>
            <w:tcW w:w="2338" w:type="dxa"/>
            <w:tcBorders>
              <w:bottom w:val="single" w:sz="4" w:space="0" w:color="auto"/>
            </w:tcBorders>
            <w:shd w:val="clear" w:color="auto" w:fill="C00000"/>
          </w:tcPr>
          <w:p w14:paraId="0305C6B6" w14:textId="77777777" w:rsidR="00AC4829" w:rsidRPr="000E7E9D" w:rsidRDefault="00AC4829" w:rsidP="00AC4829">
            <w:pPr>
              <w:rPr>
                <w:rFonts w:ascii="Arial" w:hAnsi="Arial" w:cs="Arial"/>
                <w:b/>
              </w:rPr>
            </w:pPr>
            <w:r>
              <w:rPr>
                <w:rFonts w:ascii="Arial" w:hAnsi="Arial" w:cs="Arial"/>
                <w:b/>
              </w:rPr>
              <w:t>Difference in costs</w:t>
            </w:r>
          </w:p>
        </w:tc>
      </w:tr>
      <w:tr w:rsidR="00AC4829" w14:paraId="7718A881" w14:textId="77777777" w:rsidTr="00865B13">
        <w:tc>
          <w:tcPr>
            <w:tcW w:w="2695" w:type="dxa"/>
            <w:tcBorders>
              <w:bottom w:val="single" w:sz="4" w:space="0" w:color="auto"/>
            </w:tcBorders>
            <w:shd w:val="clear" w:color="auto" w:fill="A6A6A6" w:themeFill="background1" w:themeFillShade="A6"/>
          </w:tcPr>
          <w:p w14:paraId="415BC62A" w14:textId="4F4CCA1C" w:rsidR="00AC4829" w:rsidRPr="000E7E9D" w:rsidRDefault="00AC4829" w:rsidP="00AC4829">
            <w:pPr>
              <w:rPr>
                <w:rFonts w:ascii="Arial" w:hAnsi="Arial" w:cs="Arial"/>
                <w:b/>
                <w:color w:val="FFFFFF" w:themeColor="background1"/>
              </w:rPr>
            </w:pPr>
            <w:r w:rsidRPr="000E7E9D">
              <w:rPr>
                <w:rFonts w:ascii="Arial" w:hAnsi="Arial" w:cs="Arial"/>
                <w:b/>
                <w:color w:val="FFFFFF" w:themeColor="background1"/>
              </w:rPr>
              <w:t>Adult average AR</w:t>
            </w:r>
            <w:r>
              <w:rPr>
                <w:rFonts w:ascii="Arial" w:hAnsi="Arial" w:cs="Arial"/>
                <w:b/>
                <w:color w:val="FFFFFF" w:themeColor="background1"/>
              </w:rPr>
              <w:t>Vs</w:t>
            </w:r>
            <w:r w:rsidRPr="000E7E9D">
              <w:rPr>
                <w:rFonts w:ascii="Arial" w:hAnsi="Arial" w:cs="Arial"/>
                <w:b/>
                <w:color w:val="FFFFFF" w:themeColor="background1"/>
              </w:rPr>
              <w:t xml:space="preserve"> cost</w:t>
            </w:r>
            <w:r w:rsidR="00865B13">
              <w:rPr>
                <w:rFonts w:ascii="Arial" w:hAnsi="Arial" w:cs="Arial"/>
                <w:b/>
                <w:color w:val="FFFFFF" w:themeColor="background1"/>
              </w:rPr>
              <w:t xml:space="preserve"> (USD)</w:t>
            </w:r>
          </w:p>
        </w:tc>
        <w:tc>
          <w:tcPr>
            <w:tcW w:w="1979" w:type="dxa"/>
            <w:tcBorders>
              <w:bottom w:val="single" w:sz="4" w:space="0" w:color="auto"/>
            </w:tcBorders>
            <w:shd w:val="clear" w:color="auto" w:fill="A6A6A6" w:themeFill="background1" w:themeFillShade="A6"/>
            <w:vAlign w:val="center"/>
          </w:tcPr>
          <w:p w14:paraId="78CE1531" w14:textId="5B38B5A5" w:rsidR="00AC4829" w:rsidRPr="000E7E9D" w:rsidRDefault="00586A7E" w:rsidP="00AC4829">
            <w:pPr>
              <w:rPr>
                <w:rFonts w:ascii="Arial" w:hAnsi="Arial" w:cs="Arial"/>
                <w:b/>
                <w:color w:val="FFFFFF" w:themeColor="background1"/>
              </w:rPr>
            </w:pPr>
            <w:r>
              <w:rPr>
                <w:rFonts w:ascii="Arial" w:hAnsi="Arial" w:cs="Arial"/>
                <w:b/>
                <w:color w:val="FFFFFF" w:themeColor="background1"/>
              </w:rPr>
              <w:t>$</w:t>
            </w:r>
            <w:r w:rsidR="00AC4829" w:rsidRPr="000E7E9D">
              <w:rPr>
                <w:rFonts w:ascii="Arial" w:hAnsi="Arial" w:cs="Arial"/>
                <w:b/>
                <w:color w:val="FFFFFF" w:themeColor="background1"/>
              </w:rPr>
              <w:t>103</w:t>
            </w:r>
          </w:p>
        </w:tc>
        <w:tc>
          <w:tcPr>
            <w:tcW w:w="2338" w:type="dxa"/>
            <w:tcBorders>
              <w:bottom w:val="single" w:sz="4" w:space="0" w:color="auto"/>
            </w:tcBorders>
            <w:shd w:val="clear" w:color="auto" w:fill="A6A6A6" w:themeFill="background1" w:themeFillShade="A6"/>
            <w:vAlign w:val="center"/>
          </w:tcPr>
          <w:p w14:paraId="150FF423" w14:textId="7C156419" w:rsidR="00AC4829" w:rsidRPr="000E7E9D" w:rsidRDefault="00586A7E" w:rsidP="00AC4829">
            <w:pPr>
              <w:rPr>
                <w:rFonts w:ascii="Arial" w:hAnsi="Arial" w:cs="Arial"/>
                <w:b/>
                <w:color w:val="FFFFFF" w:themeColor="background1"/>
              </w:rPr>
            </w:pPr>
            <w:r>
              <w:rPr>
                <w:rFonts w:ascii="Arial" w:hAnsi="Arial" w:cs="Arial"/>
                <w:b/>
                <w:color w:val="FFFFFF" w:themeColor="background1"/>
              </w:rPr>
              <w:t>$</w:t>
            </w:r>
            <w:r w:rsidR="00AC4829" w:rsidRPr="000E7E9D">
              <w:rPr>
                <w:rFonts w:ascii="Arial" w:hAnsi="Arial" w:cs="Arial"/>
                <w:b/>
                <w:color w:val="FFFFFF" w:themeColor="background1"/>
              </w:rPr>
              <w:t>87</w:t>
            </w:r>
          </w:p>
        </w:tc>
        <w:tc>
          <w:tcPr>
            <w:tcW w:w="2338" w:type="dxa"/>
            <w:tcBorders>
              <w:bottom w:val="single" w:sz="4" w:space="0" w:color="auto"/>
            </w:tcBorders>
            <w:shd w:val="clear" w:color="auto" w:fill="ED7D31" w:themeFill="accent2"/>
            <w:vAlign w:val="center"/>
          </w:tcPr>
          <w:p w14:paraId="20159598" w14:textId="3EE100C2" w:rsidR="00AC4829" w:rsidRPr="000E7E9D" w:rsidRDefault="00422204" w:rsidP="00AC4829">
            <w:pPr>
              <w:rPr>
                <w:rFonts w:ascii="Arial" w:hAnsi="Arial" w:cs="Arial"/>
                <w:b/>
                <w:color w:val="FFFFFF" w:themeColor="background1"/>
              </w:rPr>
            </w:pPr>
            <w:r>
              <w:rPr>
                <w:rFonts w:ascii="Arial" w:hAnsi="Arial" w:cs="Arial"/>
                <w:b/>
                <w:color w:val="FFFFFF" w:themeColor="background1"/>
              </w:rPr>
              <w:t>-</w:t>
            </w:r>
            <w:r w:rsidR="00586A7E">
              <w:rPr>
                <w:rFonts w:ascii="Arial" w:hAnsi="Arial" w:cs="Arial"/>
                <w:b/>
                <w:color w:val="FFFFFF" w:themeColor="background1"/>
              </w:rPr>
              <w:t>$</w:t>
            </w:r>
            <w:r w:rsidR="00AC4829" w:rsidRPr="000E7E9D">
              <w:rPr>
                <w:rFonts w:ascii="Arial" w:hAnsi="Arial" w:cs="Arial"/>
                <w:b/>
                <w:color w:val="FFFFFF" w:themeColor="background1"/>
              </w:rPr>
              <w:t>1</w:t>
            </w:r>
            <w:r w:rsidR="00AC4829">
              <w:rPr>
                <w:rFonts w:ascii="Arial" w:hAnsi="Arial" w:cs="Arial"/>
                <w:b/>
                <w:color w:val="FFFFFF" w:themeColor="background1"/>
              </w:rPr>
              <w:t>5.</w:t>
            </w:r>
            <w:r w:rsidR="00865B13">
              <w:rPr>
                <w:rFonts w:ascii="Arial" w:hAnsi="Arial" w:cs="Arial"/>
                <w:b/>
                <w:color w:val="FFFFFF" w:themeColor="background1"/>
              </w:rPr>
              <w:t>4</w:t>
            </w:r>
          </w:p>
        </w:tc>
      </w:tr>
      <w:tr w:rsidR="00865B13" w14:paraId="1611D200" w14:textId="77777777" w:rsidTr="00865B13">
        <w:tc>
          <w:tcPr>
            <w:tcW w:w="2695" w:type="dxa"/>
            <w:tcBorders>
              <w:top w:val="single" w:sz="4" w:space="0" w:color="auto"/>
              <w:bottom w:val="single" w:sz="4" w:space="0" w:color="auto"/>
            </w:tcBorders>
            <w:shd w:val="clear" w:color="auto" w:fill="F2F2F2" w:themeFill="background1" w:themeFillShade="F2"/>
          </w:tcPr>
          <w:p w14:paraId="0805573A" w14:textId="77777777" w:rsidR="00865B13" w:rsidRDefault="00865B13" w:rsidP="00AC4829">
            <w:pPr>
              <w:rPr>
                <w:rFonts w:ascii="Arial" w:hAnsi="Arial" w:cs="Arial"/>
              </w:rPr>
            </w:pPr>
            <w:r>
              <w:rPr>
                <w:rFonts w:ascii="Arial" w:hAnsi="Arial" w:cs="Arial"/>
              </w:rPr>
              <w:t>Avg FL cost/year</w:t>
            </w:r>
          </w:p>
        </w:tc>
        <w:tc>
          <w:tcPr>
            <w:tcW w:w="1979" w:type="dxa"/>
            <w:tcBorders>
              <w:top w:val="single" w:sz="4" w:space="0" w:color="auto"/>
              <w:bottom w:val="single" w:sz="4" w:space="0" w:color="auto"/>
            </w:tcBorders>
            <w:shd w:val="clear" w:color="auto" w:fill="F2F2F2" w:themeFill="background1" w:themeFillShade="F2"/>
            <w:vAlign w:val="center"/>
          </w:tcPr>
          <w:p w14:paraId="4FEFF102" w14:textId="147C0015" w:rsidR="00865B13" w:rsidRDefault="00586A7E" w:rsidP="00AC4829">
            <w:pPr>
              <w:rPr>
                <w:rFonts w:ascii="Arial" w:hAnsi="Arial" w:cs="Arial"/>
              </w:rPr>
            </w:pPr>
            <w:r>
              <w:rPr>
                <w:rFonts w:ascii="Arial" w:hAnsi="Arial" w:cs="Arial"/>
              </w:rPr>
              <w:t>$</w:t>
            </w:r>
            <w:r w:rsidR="00865B13">
              <w:rPr>
                <w:rFonts w:ascii="Arial" w:hAnsi="Arial" w:cs="Arial"/>
              </w:rPr>
              <w:t>91</w:t>
            </w:r>
          </w:p>
        </w:tc>
        <w:tc>
          <w:tcPr>
            <w:tcW w:w="2338" w:type="dxa"/>
            <w:tcBorders>
              <w:top w:val="single" w:sz="4" w:space="0" w:color="auto"/>
              <w:bottom w:val="single" w:sz="4" w:space="0" w:color="auto"/>
            </w:tcBorders>
            <w:shd w:val="clear" w:color="auto" w:fill="F2F2F2" w:themeFill="background1" w:themeFillShade="F2"/>
            <w:vAlign w:val="center"/>
          </w:tcPr>
          <w:p w14:paraId="42FDC89F" w14:textId="3A0D1193" w:rsidR="00865B13" w:rsidRDefault="00586A7E" w:rsidP="00AC4829">
            <w:pPr>
              <w:rPr>
                <w:rFonts w:ascii="Arial" w:hAnsi="Arial" w:cs="Arial"/>
              </w:rPr>
            </w:pPr>
            <w:r>
              <w:rPr>
                <w:rFonts w:ascii="Arial" w:hAnsi="Arial" w:cs="Arial"/>
              </w:rPr>
              <w:t>$75</w:t>
            </w:r>
          </w:p>
        </w:tc>
        <w:tc>
          <w:tcPr>
            <w:tcW w:w="2338" w:type="dxa"/>
            <w:vMerge w:val="restart"/>
            <w:tcBorders>
              <w:top w:val="single" w:sz="4" w:space="0" w:color="auto"/>
            </w:tcBorders>
            <w:shd w:val="clear" w:color="auto" w:fill="FBE4D5" w:themeFill="accent2" w:themeFillTint="33"/>
            <w:vAlign w:val="center"/>
          </w:tcPr>
          <w:p w14:paraId="6D37C84E" w14:textId="40298910" w:rsidR="00865B13" w:rsidRDefault="00865B13" w:rsidP="00AC4829">
            <w:pPr>
              <w:rPr>
                <w:rFonts w:ascii="Arial" w:hAnsi="Arial" w:cs="Arial"/>
              </w:rPr>
            </w:pPr>
            <w:r>
              <w:rPr>
                <w:rFonts w:ascii="Arial" w:hAnsi="Arial" w:cs="Arial"/>
              </w:rPr>
              <w:t>-</w:t>
            </w:r>
            <w:r w:rsidR="00586A7E">
              <w:rPr>
                <w:rFonts w:ascii="Arial" w:hAnsi="Arial" w:cs="Arial"/>
              </w:rPr>
              <w:t>$</w:t>
            </w:r>
            <w:r>
              <w:rPr>
                <w:rFonts w:ascii="Arial" w:hAnsi="Arial" w:cs="Arial"/>
              </w:rPr>
              <w:t>15.4</w:t>
            </w:r>
          </w:p>
          <w:p w14:paraId="1D064F02" w14:textId="00F4949D" w:rsidR="00865B13" w:rsidRDefault="00865B13" w:rsidP="00AC4829">
            <w:pPr>
              <w:rPr>
                <w:rFonts w:ascii="Arial" w:hAnsi="Arial" w:cs="Arial"/>
              </w:rPr>
            </w:pPr>
          </w:p>
        </w:tc>
      </w:tr>
      <w:tr w:rsidR="00865B13" w14:paraId="08E15691" w14:textId="77777777" w:rsidTr="00865B13">
        <w:tc>
          <w:tcPr>
            <w:tcW w:w="2695" w:type="dxa"/>
            <w:tcBorders>
              <w:bottom w:val="single" w:sz="4" w:space="0" w:color="auto"/>
            </w:tcBorders>
            <w:shd w:val="clear" w:color="auto" w:fill="F2F2F2" w:themeFill="background1" w:themeFillShade="F2"/>
          </w:tcPr>
          <w:p w14:paraId="44B20E69" w14:textId="77777777" w:rsidR="00865B13" w:rsidRDefault="00865B13" w:rsidP="00AC4829">
            <w:pPr>
              <w:rPr>
                <w:rFonts w:ascii="Arial" w:hAnsi="Arial" w:cs="Arial"/>
              </w:rPr>
            </w:pPr>
            <w:r>
              <w:rPr>
                <w:rFonts w:ascii="Arial" w:hAnsi="Arial" w:cs="Arial"/>
              </w:rPr>
              <w:t>% FL</w:t>
            </w:r>
          </w:p>
        </w:tc>
        <w:tc>
          <w:tcPr>
            <w:tcW w:w="1979" w:type="dxa"/>
            <w:tcBorders>
              <w:bottom w:val="single" w:sz="4" w:space="0" w:color="auto"/>
            </w:tcBorders>
            <w:shd w:val="clear" w:color="auto" w:fill="F2F2F2" w:themeFill="background1" w:themeFillShade="F2"/>
            <w:vAlign w:val="center"/>
          </w:tcPr>
          <w:p w14:paraId="7DDFA5C3" w14:textId="77777777" w:rsidR="00865B13" w:rsidRDefault="00865B13" w:rsidP="00AC4829">
            <w:pPr>
              <w:rPr>
                <w:rFonts w:ascii="Arial" w:hAnsi="Arial" w:cs="Arial"/>
              </w:rPr>
            </w:pPr>
            <w:r>
              <w:rPr>
                <w:rFonts w:ascii="Arial" w:hAnsi="Arial" w:cs="Arial"/>
              </w:rPr>
              <w:t>96%</w:t>
            </w:r>
          </w:p>
        </w:tc>
        <w:tc>
          <w:tcPr>
            <w:tcW w:w="2338" w:type="dxa"/>
            <w:tcBorders>
              <w:bottom w:val="single" w:sz="4" w:space="0" w:color="auto"/>
            </w:tcBorders>
            <w:shd w:val="clear" w:color="auto" w:fill="F2F2F2" w:themeFill="background1" w:themeFillShade="F2"/>
            <w:vAlign w:val="center"/>
          </w:tcPr>
          <w:p w14:paraId="07E71EF5" w14:textId="77777777" w:rsidR="00865B13" w:rsidRDefault="00865B13" w:rsidP="00AC4829">
            <w:pPr>
              <w:rPr>
                <w:rFonts w:ascii="Arial" w:hAnsi="Arial" w:cs="Arial"/>
              </w:rPr>
            </w:pPr>
            <w:r>
              <w:rPr>
                <w:rFonts w:ascii="Arial" w:hAnsi="Arial" w:cs="Arial"/>
              </w:rPr>
              <w:t>96%</w:t>
            </w:r>
          </w:p>
        </w:tc>
        <w:tc>
          <w:tcPr>
            <w:tcW w:w="2338" w:type="dxa"/>
            <w:vMerge/>
            <w:shd w:val="clear" w:color="auto" w:fill="FBE4D5" w:themeFill="accent2" w:themeFillTint="33"/>
            <w:vAlign w:val="center"/>
          </w:tcPr>
          <w:p w14:paraId="489B4CE2" w14:textId="47D90F96" w:rsidR="00865B13" w:rsidRDefault="00865B13" w:rsidP="00AC4829">
            <w:pPr>
              <w:rPr>
                <w:rFonts w:ascii="Arial" w:hAnsi="Arial" w:cs="Arial"/>
              </w:rPr>
            </w:pPr>
          </w:p>
        </w:tc>
      </w:tr>
      <w:tr w:rsidR="00865B13" w14:paraId="3464CCFF" w14:textId="77777777" w:rsidTr="00865B13">
        <w:tc>
          <w:tcPr>
            <w:tcW w:w="2695" w:type="dxa"/>
            <w:tcBorders>
              <w:top w:val="single" w:sz="4" w:space="0" w:color="auto"/>
            </w:tcBorders>
            <w:shd w:val="clear" w:color="auto" w:fill="FFFFFF" w:themeFill="background1"/>
          </w:tcPr>
          <w:p w14:paraId="47C2B1B2" w14:textId="77777777" w:rsidR="00865B13" w:rsidRDefault="00865B13" w:rsidP="00AC4829">
            <w:pPr>
              <w:rPr>
                <w:rFonts w:ascii="Arial" w:hAnsi="Arial" w:cs="Arial"/>
              </w:rPr>
            </w:pPr>
            <w:r>
              <w:rPr>
                <w:rFonts w:ascii="Arial" w:hAnsi="Arial" w:cs="Arial"/>
              </w:rPr>
              <w:t>Avg SL cost/year</w:t>
            </w:r>
          </w:p>
        </w:tc>
        <w:tc>
          <w:tcPr>
            <w:tcW w:w="1979" w:type="dxa"/>
            <w:tcBorders>
              <w:top w:val="single" w:sz="4" w:space="0" w:color="auto"/>
            </w:tcBorders>
            <w:shd w:val="clear" w:color="auto" w:fill="FFFFFF" w:themeFill="background1"/>
            <w:vAlign w:val="center"/>
          </w:tcPr>
          <w:p w14:paraId="1327DC46" w14:textId="4926C151" w:rsidR="00865B13" w:rsidRDefault="00586A7E" w:rsidP="00AC4829">
            <w:pPr>
              <w:rPr>
                <w:rFonts w:ascii="Arial" w:hAnsi="Arial" w:cs="Arial"/>
              </w:rPr>
            </w:pPr>
            <w:r>
              <w:rPr>
                <w:rFonts w:ascii="Arial" w:hAnsi="Arial" w:cs="Arial"/>
              </w:rPr>
              <w:t>$</w:t>
            </w:r>
            <w:r w:rsidR="00865B13">
              <w:rPr>
                <w:rFonts w:ascii="Arial" w:hAnsi="Arial" w:cs="Arial"/>
              </w:rPr>
              <w:t>354</w:t>
            </w:r>
          </w:p>
        </w:tc>
        <w:tc>
          <w:tcPr>
            <w:tcW w:w="2338" w:type="dxa"/>
            <w:tcBorders>
              <w:top w:val="single" w:sz="4" w:space="0" w:color="auto"/>
            </w:tcBorders>
            <w:shd w:val="clear" w:color="auto" w:fill="FFFFFF" w:themeFill="background1"/>
            <w:vAlign w:val="center"/>
          </w:tcPr>
          <w:p w14:paraId="7B3A1E67" w14:textId="5F75E6DE" w:rsidR="00865B13" w:rsidRDefault="00586A7E" w:rsidP="00AC4829">
            <w:pPr>
              <w:rPr>
                <w:rFonts w:ascii="Arial" w:hAnsi="Arial" w:cs="Arial"/>
              </w:rPr>
            </w:pPr>
            <w:r>
              <w:rPr>
                <w:rFonts w:ascii="Arial" w:hAnsi="Arial" w:cs="Arial"/>
              </w:rPr>
              <w:t>$</w:t>
            </w:r>
            <w:r w:rsidR="00865B13">
              <w:rPr>
                <w:rFonts w:ascii="Arial" w:hAnsi="Arial" w:cs="Arial"/>
              </w:rPr>
              <w:t>354</w:t>
            </w:r>
            <w:r w:rsidR="00865B13">
              <w:rPr>
                <w:rStyle w:val="FootnoteReference"/>
                <w:rFonts w:ascii="Arial" w:hAnsi="Arial" w:cs="Arial"/>
              </w:rPr>
              <w:footnoteReference w:id="6"/>
            </w:r>
          </w:p>
        </w:tc>
        <w:tc>
          <w:tcPr>
            <w:tcW w:w="2338" w:type="dxa"/>
            <w:vMerge/>
            <w:shd w:val="clear" w:color="auto" w:fill="FBE4D5" w:themeFill="accent2" w:themeFillTint="33"/>
            <w:vAlign w:val="center"/>
          </w:tcPr>
          <w:p w14:paraId="7FAD3F5D" w14:textId="7F5415E9" w:rsidR="00865B13" w:rsidRDefault="00865B13" w:rsidP="00AC4829">
            <w:pPr>
              <w:rPr>
                <w:rFonts w:ascii="Arial" w:hAnsi="Arial" w:cs="Arial"/>
              </w:rPr>
            </w:pPr>
          </w:p>
        </w:tc>
      </w:tr>
      <w:tr w:rsidR="00865B13" w14:paraId="75470414" w14:textId="77777777" w:rsidTr="00865B13">
        <w:tc>
          <w:tcPr>
            <w:tcW w:w="2695" w:type="dxa"/>
            <w:shd w:val="clear" w:color="auto" w:fill="FFFFFF" w:themeFill="background1"/>
          </w:tcPr>
          <w:p w14:paraId="1A191001" w14:textId="77777777" w:rsidR="00865B13" w:rsidRDefault="00865B13" w:rsidP="00AC4829">
            <w:pPr>
              <w:rPr>
                <w:rFonts w:ascii="Arial" w:hAnsi="Arial" w:cs="Arial"/>
              </w:rPr>
            </w:pPr>
            <w:r>
              <w:rPr>
                <w:rFonts w:ascii="Arial" w:hAnsi="Arial" w:cs="Arial"/>
              </w:rPr>
              <w:t>% SL</w:t>
            </w:r>
          </w:p>
        </w:tc>
        <w:tc>
          <w:tcPr>
            <w:tcW w:w="1979" w:type="dxa"/>
            <w:shd w:val="clear" w:color="auto" w:fill="FFFFFF" w:themeFill="background1"/>
            <w:vAlign w:val="center"/>
          </w:tcPr>
          <w:p w14:paraId="4E87C723" w14:textId="77777777" w:rsidR="00865B13" w:rsidRDefault="00865B13" w:rsidP="00AC4829">
            <w:pPr>
              <w:rPr>
                <w:rFonts w:ascii="Arial" w:hAnsi="Arial" w:cs="Arial"/>
              </w:rPr>
            </w:pPr>
            <w:r>
              <w:rPr>
                <w:rFonts w:ascii="Arial" w:hAnsi="Arial" w:cs="Arial"/>
              </w:rPr>
              <w:t>4%</w:t>
            </w:r>
          </w:p>
        </w:tc>
        <w:tc>
          <w:tcPr>
            <w:tcW w:w="2338" w:type="dxa"/>
            <w:shd w:val="clear" w:color="auto" w:fill="FFFFFF" w:themeFill="background1"/>
            <w:vAlign w:val="center"/>
          </w:tcPr>
          <w:p w14:paraId="49EF5C36" w14:textId="77777777" w:rsidR="00865B13" w:rsidRDefault="00865B13" w:rsidP="00AC4829">
            <w:pPr>
              <w:rPr>
                <w:rFonts w:ascii="Arial" w:hAnsi="Arial" w:cs="Arial"/>
              </w:rPr>
            </w:pPr>
            <w:r>
              <w:rPr>
                <w:rFonts w:ascii="Arial" w:hAnsi="Arial" w:cs="Arial"/>
              </w:rPr>
              <w:t>4%</w:t>
            </w:r>
          </w:p>
        </w:tc>
        <w:tc>
          <w:tcPr>
            <w:tcW w:w="2338" w:type="dxa"/>
            <w:vMerge/>
            <w:shd w:val="clear" w:color="auto" w:fill="FBE4D5" w:themeFill="accent2" w:themeFillTint="33"/>
            <w:vAlign w:val="center"/>
          </w:tcPr>
          <w:p w14:paraId="7EB15CEE" w14:textId="77777777" w:rsidR="00865B13" w:rsidRDefault="00865B13" w:rsidP="00AC4829">
            <w:pPr>
              <w:rPr>
                <w:rFonts w:ascii="Arial" w:hAnsi="Arial" w:cs="Arial"/>
              </w:rPr>
            </w:pPr>
          </w:p>
        </w:tc>
      </w:tr>
    </w:tbl>
    <w:p w14:paraId="6DC7E2FE" w14:textId="77777777" w:rsidR="00AC4829" w:rsidRDefault="00AC4829">
      <w:pPr>
        <w:rPr>
          <w:rFonts w:ascii="Arial" w:hAnsi="Arial" w:cs="Arial"/>
          <w:b/>
          <w:color w:val="4472C4" w:themeColor="accent1"/>
        </w:rPr>
      </w:pPr>
    </w:p>
    <w:p w14:paraId="34BCBE9C" w14:textId="654CD21C" w:rsidR="00185F66" w:rsidRDefault="00C86D0D" w:rsidP="00185F66">
      <w:pPr>
        <w:rPr>
          <w:rFonts w:ascii="Arial" w:hAnsi="Arial" w:cs="Arial"/>
        </w:rPr>
      </w:pPr>
      <w:r>
        <w:rPr>
          <w:rFonts w:ascii="Arial" w:hAnsi="Arial" w:cs="Arial"/>
          <w:bCs/>
          <w:i/>
          <w:sz w:val="18"/>
        </w:rPr>
        <w:t>Figure</w:t>
      </w:r>
      <w:r w:rsidR="00185F66" w:rsidRPr="003E62FC">
        <w:rPr>
          <w:rFonts w:ascii="Arial" w:hAnsi="Arial" w:cs="Arial"/>
          <w:bCs/>
          <w:i/>
          <w:sz w:val="18"/>
        </w:rPr>
        <w:t xml:space="preserve"> </w:t>
      </w:r>
      <w:r w:rsidR="00AC4829">
        <w:rPr>
          <w:rFonts w:ascii="Arial" w:hAnsi="Arial" w:cs="Arial"/>
          <w:bCs/>
          <w:i/>
          <w:sz w:val="18"/>
        </w:rPr>
        <w:t>7A-3</w:t>
      </w:r>
      <w:r w:rsidR="00185F66" w:rsidRPr="003E62FC">
        <w:rPr>
          <w:rFonts w:ascii="Arial" w:hAnsi="Arial" w:cs="Arial"/>
          <w:bCs/>
          <w:i/>
          <w:sz w:val="18"/>
        </w:rPr>
        <w:t xml:space="preserve">. Savings from community-based support services </w:t>
      </w:r>
    </w:p>
    <w:tbl>
      <w:tblPr>
        <w:tblW w:w="0" w:type="auto"/>
        <w:tblLook w:val="04A0" w:firstRow="1" w:lastRow="0" w:firstColumn="1" w:lastColumn="0" w:noHBand="0" w:noVBand="1"/>
      </w:tblPr>
      <w:tblGrid>
        <w:gridCol w:w="2695"/>
        <w:gridCol w:w="1979"/>
        <w:gridCol w:w="2338"/>
        <w:gridCol w:w="2338"/>
      </w:tblGrid>
      <w:tr w:rsidR="00185F66" w:rsidRPr="00650F2B" w14:paraId="6CAC7E48" w14:textId="77777777" w:rsidTr="00865B13">
        <w:tc>
          <w:tcPr>
            <w:tcW w:w="2695" w:type="dxa"/>
            <w:tcBorders>
              <w:bottom w:val="single" w:sz="4" w:space="0" w:color="auto"/>
            </w:tcBorders>
            <w:shd w:val="clear" w:color="auto" w:fill="C00000"/>
          </w:tcPr>
          <w:p w14:paraId="47E94827" w14:textId="77777777" w:rsidR="00185F66" w:rsidRPr="00650F2B" w:rsidRDefault="00185F66" w:rsidP="00185F66">
            <w:pPr>
              <w:rPr>
                <w:rFonts w:ascii="Arial" w:hAnsi="Arial" w:cs="Arial"/>
                <w:sz w:val="18"/>
              </w:rPr>
            </w:pPr>
          </w:p>
        </w:tc>
        <w:tc>
          <w:tcPr>
            <w:tcW w:w="1979" w:type="dxa"/>
            <w:tcBorders>
              <w:bottom w:val="single" w:sz="4" w:space="0" w:color="auto"/>
            </w:tcBorders>
            <w:shd w:val="clear" w:color="auto" w:fill="C00000"/>
          </w:tcPr>
          <w:p w14:paraId="5B81E612" w14:textId="77777777" w:rsidR="00185F66" w:rsidRPr="00650F2B" w:rsidRDefault="00185F66" w:rsidP="00185F66">
            <w:pPr>
              <w:rPr>
                <w:rFonts w:ascii="Arial" w:hAnsi="Arial" w:cs="Arial"/>
                <w:b/>
                <w:sz w:val="18"/>
              </w:rPr>
            </w:pPr>
            <w:r w:rsidRPr="00650F2B">
              <w:rPr>
                <w:rFonts w:ascii="Arial" w:hAnsi="Arial" w:cs="Arial"/>
                <w:b/>
                <w:sz w:val="18"/>
              </w:rPr>
              <w:t>Baseline</w:t>
            </w:r>
          </w:p>
        </w:tc>
        <w:tc>
          <w:tcPr>
            <w:tcW w:w="2338" w:type="dxa"/>
            <w:tcBorders>
              <w:bottom w:val="single" w:sz="4" w:space="0" w:color="auto"/>
            </w:tcBorders>
            <w:shd w:val="clear" w:color="auto" w:fill="C00000"/>
          </w:tcPr>
          <w:p w14:paraId="21641B94" w14:textId="77777777" w:rsidR="00185F66" w:rsidRPr="00650F2B" w:rsidRDefault="00185F66" w:rsidP="00185F66">
            <w:pPr>
              <w:rPr>
                <w:rFonts w:ascii="Arial" w:hAnsi="Arial" w:cs="Arial"/>
                <w:b/>
                <w:sz w:val="18"/>
              </w:rPr>
            </w:pPr>
            <w:r w:rsidRPr="00650F2B">
              <w:rPr>
                <w:rFonts w:ascii="Arial" w:hAnsi="Arial" w:cs="Arial"/>
                <w:b/>
                <w:sz w:val="18"/>
              </w:rPr>
              <w:t>Community-based</w:t>
            </w:r>
          </w:p>
        </w:tc>
        <w:tc>
          <w:tcPr>
            <w:tcW w:w="2338" w:type="dxa"/>
            <w:tcBorders>
              <w:bottom w:val="single" w:sz="4" w:space="0" w:color="auto"/>
            </w:tcBorders>
            <w:shd w:val="clear" w:color="auto" w:fill="C00000"/>
          </w:tcPr>
          <w:p w14:paraId="1882CAD8" w14:textId="77777777" w:rsidR="00185F66" w:rsidRPr="00650F2B" w:rsidRDefault="00185F66" w:rsidP="00185F66">
            <w:pPr>
              <w:rPr>
                <w:rFonts w:ascii="Arial" w:hAnsi="Arial" w:cs="Arial"/>
                <w:b/>
                <w:sz w:val="18"/>
              </w:rPr>
            </w:pPr>
            <w:r w:rsidRPr="00650F2B">
              <w:rPr>
                <w:rFonts w:ascii="Arial" w:hAnsi="Arial" w:cs="Arial"/>
                <w:b/>
                <w:sz w:val="18"/>
              </w:rPr>
              <w:t>Difference in costs</w:t>
            </w:r>
          </w:p>
        </w:tc>
      </w:tr>
      <w:tr w:rsidR="00185F66" w:rsidRPr="00650F2B" w14:paraId="65C51521"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0758ABD" w14:textId="77777777" w:rsidR="00185F66" w:rsidRPr="00650F2B" w:rsidRDefault="00185F66" w:rsidP="00185F66">
            <w:pPr>
              <w:rPr>
                <w:rFonts w:ascii="Arial" w:hAnsi="Arial" w:cs="Arial"/>
                <w:b/>
                <w:color w:val="FFFFFF" w:themeColor="background1"/>
                <w:sz w:val="18"/>
              </w:rPr>
            </w:pPr>
            <w:r w:rsidRPr="00650F2B">
              <w:rPr>
                <w:rFonts w:ascii="Arial" w:hAnsi="Arial" w:cs="Arial"/>
                <w:b/>
                <w:color w:val="FFFFFF" w:themeColor="background1"/>
                <w:sz w:val="18"/>
              </w:rPr>
              <w:t>Average unit cost (USD) for supporting services</w:t>
            </w:r>
          </w:p>
        </w:tc>
        <w:tc>
          <w:tcPr>
            <w:tcW w:w="19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5854CC" w14:textId="02FC2B72" w:rsidR="00185F66" w:rsidRPr="00650F2B" w:rsidRDefault="00586A7E" w:rsidP="00185F66">
            <w:pPr>
              <w:rPr>
                <w:rFonts w:ascii="Arial" w:hAnsi="Arial" w:cs="Arial"/>
                <w:b/>
                <w:color w:val="FFFFFF" w:themeColor="background1"/>
                <w:sz w:val="18"/>
              </w:rPr>
            </w:pPr>
            <w:r>
              <w:rPr>
                <w:rFonts w:ascii="Arial" w:hAnsi="Arial" w:cs="Arial"/>
                <w:b/>
                <w:color w:val="FFFFFF" w:themeColor="background1"/>
                <w:sz w:val="18"/>
              </w:rPr>
              <w:t>$</w:t>
            </w:r>
            <w:r w:rsidR="00185F66" w:rsidRPr="00650F2B">
              <w:rPr>
                <w:rFonts w:ascii="Arial" w:hAnsi="Arial" w:cs="Arial"/>
                <w:b/>
                <w:color w:val="FFFFFF" w:themeColor="background1"/>
                <w:sz w:val="18"/>
              </w:rPr>
              <w:t>57.4</w:t>
            </w:r>
          </w:p>
        </w:tc>
        <w:tc>
          <w:tcPr>
            <w:tcW w:w="23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FB9CB4F" w14:textId="56A7EB56" w:rsidR="00185F66" w:rsidRPr="00650F2B" w:rsidRDefault="00586A7E" w:rsidP="00185F66">
            <w:pPr>
              <w:rPr>
                <w:rFonts w:ascii="Arial" w:hAnsi="Arial" w:cs="Arial"/>
                <w:b/>
                <w:color w:val="FFFFFF" w:themeColor="background1"/>
                <w:sz w:val="18"/>
              </w:rPr>
            </w:pPr>
            <w:r>
              <w:rPr>
                <w:rFonts w:ascii="Arial" w:hAnsi="Arial" w:cs="Arial"/>
                <w:b/>
                <w:color w:val="FFFFFF" w:themeColor="background1"/>
                <w:sz w:val="18"/>
              </w:rPr>
              <w:t>$</w:t>
            </w:r>
            <w:r w:rsidR="00185F66" w:rsidRPr="00650F2B">
              <w:rPr>
                <w:rFonts w:ascii="Arial" w:hAnsi="Arial" w:cs="Arial"/>
                <w:b/>
                <w:color w:val="FFFFFF" w:themeColor="background1"/>
                <w:sz w:val="18"/>
              </w:rPr>
              <w:t>37.6</w:t>
            </w:r>
          </w:p>
        </w:tc>
        <w:tc>
          <w:tcPr>
            <w:tcW w:w="2338" w:type="dxa"/>
            <w:tcBorders>
              <w:left w:val="single" w:sz="4" w:space="0" w:color="auto"/>
              <w:bottom w:val="single" w:sz="4" w:space="0" w:color="auto"/>
            </w:tcBorders>
            <w:shd w:val="clear" w:color="auto" w:fill="ED7D31" w:themeFill="accent2"/>
            <w:vAlign w:val="center"/>
          </w:tcPr>
          <w:p w14:paraId="75B96E30" w14:textId="1892E6AB" w:rsidR="00185F66" w:rsidRPr="00650F2B" w:rsidRDefault="00185F66" w:rsidP="00185F66">
            <w:pPr>
              <w:rPr>
                <w:rFonts w:ascii="Arial" w:hAnsi="Arial" w:cs="Arial"/>
                <w:b/>
                <w:color w:val="FFFFFF" w:themeColor="background1"/>
                <w:sz w:val="18"/>
              </w:rPr>
            </w:pPr>
            <w:r w:rsidRPr="00650F2B">
              <w:rPr>
                <w:rFonts w:ascii="Arial" w:hAnsi="Arial" w:cs="Arial"/>
                <w:b/>
                <w:color w:val="FFFFFF" w:themeColor="background1"/>
                <w:sz w:val="18"/>
              </w:rPr>
              <w:t>-</w:t>
            </w:r>
            <w:r w:rsidR="00586A7E">
              <w:rPr>
                <w:rFonts w:ascii="Arial" w:hAnsi="Arial" w:cs="Arial"/>
                <w:b/>
                <w:color w:val="FFFFFF" w:themeColor="background1"/>
                <w:sz w:val="18"/>
              </w:rPr>
              <w:t>$</w:t>
            </w:r>
            <w:r w:rsidRPr="00650F2B">
              <w:rPr>
                <w:rFonts w:ascii="Arial" w:hAnsi="Arial" w:cs="Arial"/>
                <w:b/>
                <w:color w:val="FFFFFF" w:themeColor="background1"/>
                <w:sz w:val="18"/>
              </w:rPr>
              <w:t>19.8</w:t>
            </w:r>
          </w:p>
        </w:tc>
      </w:tr>
      <w:tr w:rsidR="00185F66" w:rsidRPr="00650F2B" w14:paraId="18CB89F2"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89031" w14:textId="77777777" w:rsidR="00185F66" w:rsidRPr="00865B13" w:rsidRDefault="00185F66" w:rsidP="00185F66">
            <w:pPr>
              <w:rPr>
                <w:rFonts w:ascii="Arial" w:hAnsi="Arial" w:cs="Arial"/>
                <w:b/>
                <w:color w:val="000000" w:themeColor="text1"/>
                <w:sz w:val="18"/>
              </w:rPr>
            </w:pPr>
            <w:r w:rsidRPr="00865B13">
              <w:rPr>
                <w:rFonts w:ascii="Arial" w:hAnsi="Arial" w:cs="Arial"/>
                <w:b/>
                <w:color w:val="000000" w:themeColor="text1"/>
                <w:sz w:val="18"/>
              </w:rPr>
              <w:t>Facility-level</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095A6" w14:textId="1F1B68CB" w:rsidR="00185F66" w:rsidRPr="00865B13" w:rsidRDefault="00586A7E" w:rsidP="00185F66">
            <w:pPr>
              <w:rPr>
                <w:rFonts w:ascii="Arial" w:hAnsi="Arial" w:cs="Arial"/>
                <w:color w:val="000000" w:themeColor="text1"/>
                <w:sz w:val="18"/>
              </w:rPr>
            </w:pPr>
            <w:r>
              <w:rPr>
                <w:rFonts w:ascii="Arial" w:hAnsi="Arial" w:cs="Arial"/>
                <w:color w:val="000000" w:themeColor="text1"/>
                <w:sz w:val="18"/>
              </w:rPr>
              <w:t>$</w:t>
            </w:r>
            <w:r w:rsidR="00185F66" w:rsidRPr="00865B13">
              <w:rPr>
                <w:rFonts w:ascii="Arial" w:hAnsi="Arial" w:cs="Arial"/>
                <w:color w:val="000000" w:themeColor="text1"/>
                <w:sz w:val="18"/>
              </w:rPr>
              <w:t>35.6</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89BFB9" w14:textId="20758095" w:rsidR="00185F66" w:rsidRPr="00865B13" w:rsidRDefault="00586A7E" w:rsidP="00185F66">
            <w:pPr>
              <w:rPr>
                <w:rFonts w:ascii="Arial" w:hAnsi="Arial" w:cs="Arial"/>
                <w:color w:val="000000" w:themeColor="text1"/>
                <w:sz w:val="18"/>
              </w:rPr>
            </w:pPr>
            <w:r>
              <w:rPr>
                <w:rFonts w:ascii="Arial" w:hAnsi="Arial" w:cs="Arial"/>
                <w:color w:val="000000" w:themeColor="text1"/>
                <w:sz w:val="18"/>
              </w:rPr>
              <w:t>$</w:t>
            </w:r>
            <w:r w:rsidR="00185F66" w:rsidRPr="00865B13">
              <w:rPr>
                <w:rFonts w:ascii="Arial" w:hAnsi="Arial" w:cs="Arial"/>
                <w:color w:val="000000" w:themeColor="text1"/>
                <w:sz w:val="18"/>
              </w:rPr>
              <w:t>17.3</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8CDB72" w14:textId="77777777" w:rsidR="00185F66" w:rsidRPr="00865B13" w:rsidRDefault="00185F66" w:rsidP="00185F66">
            <w:pPr>
              <w:rPr>
                <w:rFonts w:ascii="Arial" w:hAnsi="Arial" w:cs="Arial"/>
                <w:color w:val="000000" w:themeColor="text1"/>
                <w:sz w:val="18"/>
              </w:rPr>
            </w:pPr>
          </w:p>
        </w:tc>
      </w:tr>
      <w:tr w:rsidR="00185F66" w:rsidRPr="00650F2B" w14:paraId="31F658A9"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377C11C" w14:textId="77777777" w:rsidR="00185F66" w:rsidRPr="00650F2B" w:rsidRDefault="00185F66" w:rsidP="00185F66">
            <w:pPr>
              <w:rPr>
                <w:rFonts w:ascii="Arial" w:hAnsi="Arial" w:cs="Arial"/>
                <w:sz w:val="18"/>
              </w:rPr>
            </w:pPr>
            <w:r w:rsidRPr="00650F2B">
              <w:rPr>
                <w:rFonts w:ascii="Arial" w:hAnsi="Arial" w:cs="Arial"/>
                <w:sz w:val="18"/>
              </w:rPr>
              <w:t>Unit cost</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831DA" w14:textId="0A635E71" w:rsidR="00185F66" w:rsidRPr="00650F2B" w:rsidRDefault="00586A7E" w:rsidP="00185F66">
            <w:pPr>
              <w:rPr>
                <w:rFonts w:ascii="Arial" w:hAnsi="Arial" w:cs="Arial"/>
                <w:sz w:val="18"/>
              </w:rPr>
            </w:pPr>
            <w:r>
              <w:rPr>
                <w:rFonts w:ascii="Arial" w:hAnsi="Arial" w:cs="Arial"/>
                <w:sz w:val="18"/>
              </w:rPr>
              <w:t>$</w:t>
            </w:r>
            <w:r w:rsidR="00185F66" w:rsidRPr="00650F2B">
              <w:rPr>
                <w:rFonts w:ascii="Arial" w:hAnsi="Arial" w:cs="Arial"/>
                <w:sz w:val="18"/>
              </w:rPr>
              <w:t>108</w:t>
            </w:r>
            <w:r w:rsidR="00422204">
              <w:rPr>
                <w:rFonts w:ascii="Arial" w:hAnsi="Arial" w:cs="Arial"/>
                <w:sz w:val="18"/>
              </w:rPr>
              <w:t>.0</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D5A80" w14:textId="7F8CE988" w:rsidR="00185F66" w:rsidRPr="00650F2B" w:rsidRDefault="00586A7E" w:rsidP="00185F66">
            <w:pPr>
              <w:rPr>
                <w:rFonts w:ascii="Arial" w:hAnsi="Arial" w:cs="Arial"/>
                <w:sz w:val="18"/>
              </w:rPr>
            </w:pPr>
            <w:r>
              <w:rPr>
                <w:rFonts w:ascii="Arial" w:hAnsi="Arial" w:cs="Arial"/>
                <w:sz w:val="18"/>
              </w:rPr>
              <w:t>$</w:t>
            </w:r>
            <w:r w:rsidR="00185F66" w:rsidRPr="00650F2B">
              <w:rPr>
                <w:rFonts w:ascii="Arial" w:hAnsi="Arial" w:cs="Arial"/>
                <w:sz w:val="18"/>
              </w:rPr>
              <w:t>108</w:t>
            </w:r>
            <w:r w:rsidR="00422204">
              <w:rPr>
                <w:rFonts w:ascii="Arial" w:hAnsi="Arial" w:cs="Arial"/>
                <w:sz w:val="18"/>
              </w:rPr>
              <w:t>.0</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E5C654" w14:textId="5CF75C0A" w:rsidR="00185F66" w:rsidRPr="00650F2B" w:rsidRDefault="00185F66" w:rsidP="00185F66">
            <w:pPr>
              <w:rPr>
                <w:rFonts w:ascii="Arial" w:hAnsi="Arial" w:cs="Arial"/>
                <w:sz w:val="18"/>
              </w:rPr>
            </w:pPr>
            <w:r w:rsidRPr="00650F2B">
              <w:rPr>
                <w:rFonts w:ascii="Arial" w:hAnsi="Arial" w:cs="Arial"/>
                <w:sz w:val="18"/>
              </w:rPr>
              <w:t>-</w:t>
            </w:r>
            <w:r w:rsidR="00586A7E">
              <w:rPr>
                <w:rFonts w:ascii="Arial" w:hAnsi="Arial" w:cs="Arial"/>
                <w:sz w:val="18"/>
              </w:rPr>
              <w:t>$</w:t>
            </w:r>
            <w:r w:rsidRPr="00650F2B">
              <w:rPr>
                <w:rFonts w:ascii="Arial" w:hAnsi="Arial" w:cs="Arial"/>
                <w:sz w:val="18"/>
              </w:rPr>
              <w:t>19.4</w:t>
            </w:r>
          </w:p>
        </w:tc>
      </w:tr>
      <w:tr w:rsidR="00185F66" w:rsidRPr="00650F2B" w14:paraId="4A3A465C"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B4248F" w14:textId="77777777" w:rsidR="00185F66" w:rsidRPr="00650F2B" w:rsidRDefault="00185F66" w:rsidP="00185F66">
            <w:pPr>
              <w:rPr>
                <w:rFonts w:ascii="Arial" w:hAnsi="Arial" w:cs="Arial"/>
                <w:sz w:val="18"/>
              </w:rPr>
            </w:pPr>
            <w:r w:rsidRPr="00650F2B">
              <w:rPr>
                <w:rFonts w:ascii="Arial" w:hAnsi="Arial" w:cs="Arial"/>
                <w:sz w:val="18"/>
              </w:rPr>
              <w:t>Percentage</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B61A1" w14:textId="77777777" w:rsidR="00185F66" w:rsidRPr="00650F2B" w:rsidRDefault="00185F66" w:rsidP="00185F66">
            <w:pPr>
              <w:rPr>
                <w:rFonts w:ascii="Arial" w:hAnsi="Arial" w:cs="Arial"/>
                <w:sz w:val="18"/>
              </w:rPr>
            </w:pPr>
            <w:r w:rsidRPr="00650F2B">
              <w:rPr>
                <w:rFonts w:ascii="Arial" w:hAnsi="Arial" w:cs="Arial"/>
                <w:sz w:val="18"/>
              </w:rPr>
              <w:t>33%</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D5BF7" w14:textId="77777777" w:rsidR="00185F66" w:rsidRPr="00650F2B" w:rsidRDefault="00185F66" w:rsidP="00185F66">
            <w:pPr>
              <w:rPr>
                <w:rFonts w:ascii="Arial" w:hAnsi="Arial" w:cs="Arial"/>
                <w:sz w:val="18"/>
              </w:rPr>
            </w:pPr>
            <w:r w:rsidRPr="00650F2B">
              <w:rPr>
                <w:rFonts w:ascii="Arial" w:hAnsi="Arial" w:cs="Arial"/>
                <w:sz w:val="18"/>
              </w:rPr>
              <w:t>16%</w:t>
            </w:r>
          </w:p>
        </w:tc>
        <w:tc>
          <w:tcPr>
            <w:tcW w:w="233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8E03F3" w14:textId="77777777" w:rsidR="00185F66" w:rsidRPr="00650F2B" w:rsidRDefault="00185F66" w:rsidP="00185F66">
            <w:pPr>
              <w:rPr>
                <w:rFonts w:ascii="Arial" w:hAnsi="Arial" w:cs="Arial"/>
                <w:sz w:val="18"/>
              </w:rPr>
            </w:pPr>
          </w:p>
        </w:tc>
      </w:tr>
      <w:tr w:rsidR="00185F66" w:rsidRPr="00650F2B" w14:paraId="260CD291"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A2365" w14:textId="77777777" w:rsidR="00185F66" w:rsidRPr="00650F2B" w:rsidRDefault="00185F66" w:rsidP="00185F66">
            <w:pPr>
              <w:rPr>
                <w:rFonts w:ascii="Arial" w:hAnsi="Arial" w:cs="Arial"/>
                <w:sz w:val="18"/>
              </w:rPr>
            </w:pPr>
            <w:r w:rsidRPr="00650F2B">
              <w:rPr>
                <w:rFonts w:ascii="Arial" w:hAnsi="Arial" w:cs="Arial"/>
                <w:b/>
                <w:sz w:val="18"/>
              </w:rPr>
              <w:t>Mix of facility-community</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1CA9B6" w14:textId="6BEA8933" w:rsidR="00185F66" w:rsidRPr="00650F2B" w:rsidRDefault="00185F66" w:rsidP="00185F66">
            <w:pPr>
              <w:rPr>
                <w:rFonts w:ascii="Arial" w:hAnsi="Arial" w:cs="Arial"/>
                <w:sz w:val="18"/>
              </w:rPr>
            </w:pPr>
            <w:r w:rsidRPr="00650F2B">
              <w:rPr>
                <w:rFonts w:ascii="Arial" w:hAnsi="Arial" w:cs="Arial"/>
                <w:sz w:val="18"/>
              </w:rPr>
              <w:t>15.1</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7AB05" w14:textId="1F9E4E62" w:rsidR="00185F66" w:rsidRPr="00650F2B" w:rsidRDefault="00185F66" w:rsidP="00185F66">
            <w:pPr>
              <w:rPr>
                <w:rFonts w:ascii="Arial" w:hAnsi="Arial" w:cs="Arial"/>
                <w:sz w:val="18"/>
              </w:rPr>
            </w:pPr>
            <w:r w:rsidRPr="00650F2B">
              <w:rPr>
                <w:rFonts w:ascii="Arial" w:hAnsi="Arial" w:cs="Arial"/>
                <w:sz w:val="18"/>
              </w:rPr>
              <w:t>6.3</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58BB0E" w14:textId="77777777" w:rsidR="00185F66" w:rsidRPr="00650F2B" w:rsidRDefault="00185F66" w:rsidP="00185F66">
            <w:pPr>
              <w:rPr>
                <w:rFonts w:ascii="Arial" w:hAnsi="Arial" w:cs="Arial"/>
                <w:sz w:val="18"/>
              </w:rPr>
            </w:pPr>
          </w:p>
        </w:tc>
      </w:tr>
      <w:tr w:rsidR="00185F66" w:rsidRPr="00650F2B" w14:paraId="4F659598"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4F6CD48" w14:textId="77777777" w:rsidR="00185F66" w:rsidRPr="00650F2B" w:rsidRDefault="00185F66" w:rsidP="00185F66">
            <w:pPr>
              <w:rPr>
                <w:rFonts w:ascii="Arial" w:hAnsi="Arial" w:cs="Arial"/>
                <w:sz w:val="18"/>
              </w:rPr>
            </w:pPr>
            <w:r w:rsidRPr="00650F2B">
              <w:rPr>
                <w:rFonts w:ascii="Arial" w:hAnsi="Arial" w:cs="Arial"/>
                <w:sz w:val="18"/>
              </w:rPr>
              <w:t>Unit cost</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E1D5F" w14:textId="2F947831" w:rsidR="00185F66" w:rsidRPr="00650F2B" w:rsidRDefault="00586A7E" w:rsidP="00185F66">
            <w:pPr>
              <w:rPr>
                <w:rFonts w:ascii="Arial" w:hAnsi="Arial" w:cs="Arial"/>
                <w:sz w:val="18"/>
              </w:rPr>
            </w:pPr>
            <w:r>
              <w:rPr>
                <w:rFonts w:ascii="Arial" w:hAnsi="Arial" w:cs="Arial"/>
                <w:sz w:val="18"/>
              </w:rPr>
              <w:t>$</w:t>
            </w:r>
            <w:r w:rsidR="00185F66" w:rsidRPr="00650F2B">
              <w:rPr>
                <w:rFonts w:ascii="Arial" w:hAnsi="Arial" w:cs="Arial"/>
                <w:sz w:val="18"/>
              </w:rPr>
              <w:t>45</w:t>
            </w:r>
            <w:r w:rsidR="00422204">
              <w:rPr>
                <w:rFonts w:ascii="Arial" w:hAnsi="Arial" w:cs="Arial"/>
                <w:sz w:val="18"/>
              </w:rPr>
              <w:t>.</w:t>
            </w:r>
            <w:r w:rsidR="000807B2">
              <w:rPr>
                <w:rFonts w:ascii="Arial" w:hAnsi="Arial" w:cs="Arial"/>
                <w:sz w:val="18"/>
              </w:rPr>
              <w:t>0</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993A9" w14:textId="291FF7FC" w:rsidR="00185F66" w:rsidRPr="00650F2B" w:rsidRDefault="00586A7E" w:rsidP="00185F66">
            <w:pPr>
              <w:rPr>
                <w:rFonts w:ascii="Arial" w:hAnsi="Arial" w:cs="Arial"/>
                <w:sz w:val="18"/>
              </w:rPr>
            </w:pPr>
            <w:r>
              <w:rPr>
                <w:rFonts w:ascii="Arial" w:hAnsi="Arial" w:cs="Arial"/>
                <w:sz w:val="18"/>
              </w:rPr>
              <w:t>$</w:t>
            </w:r>
            <w:r w:rsidR="00185F66" w:rsidRPr="00650F2B">
              <w:rPr>
                <w:rFonts w:ascii="Arial" w:hAnsi="Arial" w:cs="Arial"/>
                <w:sz w:val="18"/>
              </w:rPr>
              <w:t>45</w:t>
            </w:r>
            <w:r w:rsidR="00422204">
              <w:rPr>
                <w:rFonts w:ascii="Arial" w:hAnsi="Arial" w:cs="Arial"/>
                <w:sz w:val="18"/>
              </w:rPr>
              <w:t>.0</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12A58A" w14:textId="6ED32520" w:rsidR="00185F66" w:rsidRPr="00650F2B" w:rsidRDefault="00185F66" w:rsidP="00185F66">
            <w:pPr>
              <w:rPr>
                <w:rFonts w:ascii="Arial" w:hAnsi="Arial" w:cs="Arial"/>
                <w:sz w:val="18"/>
              </w:rPr>
            </w:pPr>
            <w:r w:rsidRPr="00650F2B">
              <w:rPr>
                <w:rFonts w:ascii="Arial" w:hAnsi="Arial" w:cs="Arial"/>
                <w:sz w:val="18"/>
              </w:rPr>
              <w:t>-</w:t>
            </w:r>
            <w:r w:rsidR="00586A7E">
              <w:rPr>
                <w:rFonts w:ascii="Arial" w:hAnsi="Arial" w:cs="Arial"/>
                <w:sz w:val="18"/>
              </w:rPr>
              <w:t>$</w:t>
            </w:r>
            <w:r w:rsidRPr="00650F2B">
              <w:rPr>
                <w:rFonts w:ascii="Arial" w:hAnsi="Arial" w:cs="Arial"/>
                <w:sz w:val="18"/>
              </w:rPr>
              <w:t>9.0</w:t>
            </w:r>
          </w:p>
        </w:tc>
      </w:tr>
      <w:tr w:rsidR="00185F66" w:rsidRPr="00650F2B" w14:paraId="649A7D27"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728C8CE" w14:textId="77777777" w:rsidR="00185F66" w:rsidRPr="00650F2B" w:rsidRDefault="00185F66" w:rsidP="00185F66">
            <w:pPr>
              <w:rPr>
                <w:rFonts w:ascii="Arial" w:hAnsi="Arial" w:cs="Arial"/>
                <w:sz w:val="18"/>
              </w:rPr>
            </w:pPr>
            <w:r w:rsidRPr="00650F2B">
              <w:rPr>
                <w:rFonts w:ascii="Arial" w:hAnsi="Arial" w:cs="Arial"/>
                <w:sz w:val="18"/>
              </w:rPr>
              <w:t>Percentage</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C3F7B" w14:textId="77777777" w:rsidR="00185F66" w:rsidRPr="00650F2B" w:rsidRDefault="00185F66" w:rsidP="00185F66">
            <w:pPr>
              <w:rPr>
                <w:rFonts w:ascii="Arial" w:hAnsi="Arial" w:cs="Arial"/>
                <w:sz w:val="18"/>
              </w:rPr>
            </w:pPr>
            <w:r w:rsidRPr="00650F2B">
              <w:rPr>
                <w:rFonts w:ascii="Arial" w:hAnsi="Arial" w:cs="Arial"/>
                <w:sz w:val="18"/>
              </w:rPr>
              <w:t>34%</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C37CF" w14:textId="77777777" w:rsidR="00185F66" w:rsidRPr="00650F2B" w:rsidRDefault="00185F66" w:rsidP="00185F66">
            <w:pPr>
              <w:rPr>
                <w:rFonts w:ascii="Arial" w:hAnsi="Arial" w:cs="Arial"/>
                <w:sz w:val="18"/>
              </w:rPr>
            </w:pPr>
            <w:r w:rsidRPr="00650F2B">
              <w:rPr>
                <w:rFonts w:ascii="Arial" w:hAnsi="Arial" w:cs="Arial"/>
                <w:sz w:val="18"/>
              </w:rPr>
              <w:t>14%</w:t>
            </w:r>
          </w:p>
        </w:tc>
        <w:tc>
          <w:tcPr>
            <w:tcW w:w="233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C5F025" w14:textId="77777777" w:rsidR="00185F66" w:rsidRPr="00650F2B" w:rsidRDefault="00185F66" w:rsidP="00185F66">
            <w:pPr>
              <w:rPr>
                <w:rFonts w:ascii="Arial" w:hAnsi="Arial" w:cs="Arial"/>
                <w:sz w:val="18"/>
              </w:rPr>
            </w:pPr>
          </w:p>
        </w:tc>
      </w:tr>
      <w:tr w:rsidR="00185F66" w:rsidRPr="00650F2B" w14:paraId="3468E0CA"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C02679" w14:textId="77777777" w:rsidR="00185F66" w:rsidRPr="00650F2B" w:rsidRDefault="00185F66" w:rsidP="00185F66">
            <w:pPr>
              <w:rPr>
                <w:rFonts w:ascii="Arial" w:hAnsi="Arial" w:cs="Arial"/>
                <w:b/>
                <w:sz w:val="18"/>
              </w:rPr>
            </w:pPr>
            <w:r w:rsidRPr="00650F2B">
              <w:rPr>
                <w:rFonts w:ascii="Arial" w:hAnsi="Arial" w:cs="Arial"/>
                <w:b/>
                <w:sz w:val="18"/>
              </w:rPr>
              <w:t>Community-level</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90B99E" w14:textId="37B69D57" w:rsidR="00185F66" w:rsidRPr="00650F2B" w:rsidRDefault="00185F66" w:rsidP="00185F66">
            <w:pPr>
              <w:rPr>
                <w:rFonts w:ascii="Arial" w:hAnsi="Arial" w:cs="Arial"/>
                <w:sz w:val="18"/>
              </w:rPr>
            </w:pPr>
            <w:r w:rsidRPr="00650F2B">
              <w:rPr>
                <w:rFonts w:ascii="Arial" w:hAnsi="Arial" w:cs="Arial"/>
                <w:sz w:val="18"/>
              </w:rPr>
              <w:t>6.7</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D84B7" w14:textId="73BEE074" w:rsidR="00185F66" w:rsidRPr="00650F2B" w:rsidRDefault="00185F66" w:rsidP="00185F66">
            <w:pPr>
              <w:rPr>
                <w:rFonts w:ascii="Arial" w:hAnsi="Arial" w:cs="Arial"/>
                <w:sz w:val="18"/>
              </w:rPr>
            </w:pPr>
            <w:r w:rsidRPr="00650F2B">
              <w:rPr>
                <w:rFonts w:ascii="Arial" w:hAnsi="Arial" w:cs="Arial"/>
                <w:sz w:val="18"/>
              </w:rPr>
              <w:t>14.0</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4941AA" w14:textId="77777777" w:rsidR="00185F66" w:rsidRPr="00650F2B" w:rsidRDefault="00185F66" w:rsidP="00185F66">
            <w:pPr>
              <w:rPr>
                <w:rFonts w:ascii="Arial" w:hAnsi="Arial" w:cs="Arial"/>
                <w:sz w:val="18"/>
              </w:rPr>
            </w:pPr>
          </w:p>
        </w:tc>
      </w:tr>
      <w:tr w:rsidR="00185F66" w:rsidRPr="00650F2B" w14:paraId="27E7E964"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6846A8B" w14:textId="2820BA5F" w:rsidR="00185F66" w:rsidRPr="00650F2B" w:rsidRDefault="00185F66" w:rsidP="00185F66">
            <w:pPr>
              <w:rPr>
                <w:rFonts w:ascii="Arial" w:hAnsi="Arial" w:cs="Arial"/>
                <w:sz w:val="18"/>
              </w:rPr>
            </w:pPr>
            <w:r w:rsidRPr="00650F2B">
              <w:rPr>
                <w:rFonts w:ascii="Arial" w:hAnsi="Arial" w:cs="Arial"/>
                <w:sz w:val="18"/>
              </w:rPr>
              <w:t>Unit cost</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82313" w14:textId="05D6A8F1" w:rsidR="00185F66" w:rsidRPr="00650F2B" w:rsidRDefault="00422204" w:rsidP="00185F66">
            <w:pPr>
              <w:rPr>
                <w:rFonts w:ascii="Arial" w:hAnsi="Arial" w:cs="Arial"/>
                <w:sz w:val="18"/>
              </w:rPr>
            </w:pPr>
            <w:r>
              <w:rPr>
                <w:rFonts w:ascii="Arial" w:hAnsi="Arial" w:cs="Arial"/>
                <w:sz w:val="18"/>
              </w:rPr>
              <w:t>$</w:t>
            </w:r>
            <w:r w:rsidR="00185F66" w:rsidRPr="00650F2B">
              <w:rPr>
                <w:rFonts w:ascii="Arial" w:hAnsi="Arial" w:cs="Arial"/>
                <w:sz w:val="18"/>
              </w:rPr>
              <w:t>20</w:t>
            </w:r>
            <w:r>
              <w:rPr>
                <w:rFonts w:ascii="Arial" w:hAnsi="Arial" w:cs="Arial"/>
                <w:sz w:val="18"/>
              </w:rPr>
              <w:t>.0</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65BCF" w14:textId="201FED36" w:rsidR="00185F66" w:rsidRPr="00650F2B" w:rsidRDefault="00422204" w:rsidP="00185F66">
            <w:pPr>
              <w:rPr>
                <w:rFonts w:ascii="Arial" w:hAnsi="Arial" w:cs="Arial"/>
                <w:sz w:val="18"/>
              </w:rPr>
            </w:pPr>
            <w:r>
              <w:rPr>
                <w:rFonts w:ascii="Arial" w:hAnsi="Arial" w:cs="Arial"/>
                <w:sz w:val="18"/>
              </w:rPr>
              <w:t>$</w:t>
            </w:r>
            <w:r w:rsidR="00185F66" w:rsidRPr="00650F2B">
              <w:rPr>
                <w:rFonts w:ascii="Arial" w:hAnsi="Arial" w:cs="Arial"/>
                <w:sz w:val="18"/>
              </w:rPr>
              <w:t>20</w:t>
            </w:r>
            <w:r>
              <w:rPr>
                <w:rFonts w:ascii="Arial" w:hAnsi="Arial" w:cs="Arial"/>
                <w:sz w:val="18"/>
              </w:rPr>
              <w:t>.0</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DCC7BF" w14:textId="7E37E18D" w:rsidR="00185F66" w:rsidRPr="00650F2B" w:rsidRDefault="00185F66" w:rsidP="00185F66">
            <w:pPr>
              <w:rPr>
                <w:rFonts w:ascii="Arial" w:hAnsi="Arial" w:cs="Arial"/>
                <w:sz w:val="18"/>
              </w:rPr>
            </w:pPr>
            <w:r w:rsidRPr="00650F2B">
              <w:rPr>
                <w:rFonts w:ascii="Arial" w:hAnsi="Arial" w:cs="Arial"/>
                <w:sz w:val="18"/>
              </w:rPr>
              <w:t>+</w:t>
            </w:r>
            <w:r w:rsidR="00586A7E">
              <w:rPr>
                <w:rFonts w:ascii="Arial" w:hAnsi="Arial" w:cs="Arial"/>
                <w:sz w:val="18"/>
              </w:rPr>
              <w:t>$</w:t>
            </w:r>
            <w:r w:rsidRPr="00650F2B">
              <w:rPr>
                <w:rFonts w:ascii="Arial" w:hAnsi="Arial" w:cs="Arial"/>
                <w:sz w:val="18"/>
              </w:rPr>
              <w:t>7.4</w:t>
            </w:r>
          </w:p>
        </w:tc>
      </w:tr>
      <w:tr w:rsidR="00185F66" w:rsidRPr="00650F2B" w14:paraId="6294D84B" w14:textId="77777777" w:rsidTr="00865B13">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6F1769A" w14:textId="77777777" w:rsidR="00185F66" w:rsidRPr="00650F2B" w:rsidRDefault="00185F66" w:rsidP="00185F66">
            <w:pPr>
              <w:rPr>
                <w:rFonts w:ascii="Arial" w:hAnsi="Arial" w:cs="Arial"/>
                <w:sz w:val="18"/>
              </w:rPr>
            </w:pPr>
            <w:r w:rsidRPr="00650F2B">
              <w:rPr>
                <w:rFonts w:ascii="Arial" w:hAnsi="Arial" w:cs="Arial"/>
                <w:sz w:val="18"/>
              </w:rPr>
              <w:t>Percentage</w:t>
            </w:r>
          </w:p>
        </w:tc>
        <w:tc>
          <w:tcPr>
            <w:tcW w:w="19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F9A2E" w14:textId="77777777" w:rsidR="00185F66" w:rsidRPr="00650F2B" w:rsidRDefault="00185F66" w:rsidP="00185F66">
            <w:pPr>
              <w:rPr>
                <w:rFonts w:ascii="Arial" w:hAnsi="Arial" w:cs="Arial"/>
                <w:sz w:val="18"/>
              </w:rPr>
            </w:pPr>
            <w:r w:rsidRPr="00650F2B">
              <w:rPr>
                <w:rFonts w:ascii="Arial" w:hAnsi="Arial" w:cs="Arial"/>
                <w:sz w:val="18"/>
              </w:rPr>
              <w:t>34%</w:t>
            </w:r>
          </w:p>
        </w:tc>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AC54F" w14:textId="77777777" w:rsidR="00185F66" w:rsidRPr="00650F2B" w:rsidRDefault="00185F66" w:rsidP="00185F66">
            <w:pPr>
              <w:rPr>
                <w:rFonts w:ascii="Arial" w:hAnsi="Arial" w:cs="Arial"/>
                <w:sz w:val="18"/>
              </w:rPr>
            </w:pPr>
            <w:r w:rsidRPr="00650F2B">
              <w:rPr>
                <w:rFonts w:ascii="Arial" w:hAnsi="Arial" w:cs="Arial"/>
                <w:sz w:val="18"/>
              </w:rPr>
              <w:t>70%</w:t>
            </w:r>
          </w:p>
        </w:tc>
        <w:tc>
          <w:tcPr>
            <w:tcW w:w="233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601F12" w14:textId="77777777" w:rsidR="00185F66" w:rsidRPr="00650F2B" w:rsidRDefault="00185F66" w:rsidP="00185F66">
            <w:pPr>
              <w:rPr>
                <w:rFonts w:ascii="Arial" w:hAnsi="Arial" w:cs="Arial"/>
                <w:sz w:val="18"/>
              </w:rPr>
            </w:pPr>
          </w:p>
        </w:tc>
      </w:tr>
    </w:tbl>
    <w:p w14:paraId="598A9681" w14:textId="77777777" w:rsidR="00185F66" w:rsidRDefault="00185F66">
      <w:pPr>
        <w:rPr>
          <w:rFonts w:ascii="Arial" w:hAnsi="Arial" w:cs="Arial"/>
          <w:b/>
          <w:color w:val="4472C4" w:themeColor="accent1"/>
        </w:rPr>
      </w:pPr>
    </w:p>
    <w:p w14:paraId="4724CE9C" w14:textId="78C51586" w:rsidR="008544A5" w:rsidRPr="003E62FC" w:rsidRDefault="00C86D0D" w:rsidP="008544A5">
      <w:pPr>
        <w:spacing w:after="0"/>
        <w:rPr>
          <w:rFonts w:ascii="Arial" w:hAnsi="Arial" w:cs="Arial"/>
          <w:i/>
          <w:sz w:val="18"/>
        </w:rPr>
      </w:pPr>
      <w:r>
        <w:rPr>
          <w:rFonts w:ascii="Arial" w:hAnsi="Arial" w:cs="Arial"/>
          <w:i/>
          <w:sz w:val="18"/>
        </w:rPr>
        <w:t>Figure</w:t>
      </w:r>
      <w:r w:rsidR="008544A5" w:rsidRPr="003E62FC">
        <w:rPr>
          <w:rFonts w:ascii="Arial" w:hAnsi="Arial" w:cs="Arial"/>
          <w:i/>
          <w:sz w:val="18"/>
        </w:rPr>
        <w:t xml:space="preserve"> </w:t>
      </w:r>
      <w:r w:rsidR="00AC4829">
        <w:rPr>
          <w:rFonts w:ascii="Arial" w:hAnsi="Arial" w:cs="Arial"/>
          <w:i/>
          <w:sz w:val="18"/>
        </w:rPr>
        <w:t xml:space="preserve">7A-4. </w:t>
      </w:r>
      <w:r w:rsidR="008544A5" w:rsidRPr="003E62FC">
        <w:rPr>
          <w:rFonts w:ascii="Arial" w:hAnsi="Arial" w:cs="Arial"/>
          <w:i/>
          <w:sz w:val="18"/>
        </w:rPr>
        <w:t>Savings from full implementation of DSDM lab algorithms</w:t>
      </w:r>
    </w:p>
    <w:p w14:paraId="6A171441" w14:textId="77777777" w:rsidR="008544A5" w:rsidRDefault="008544A5" w:rsidP="008544A5">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979"/>
        <w:gridCol w:w="2338"/>
        <w:gridCol w:w="2338"/>
      </w:tblGrid>
      <w:tr w:rsidR="008544A5" w:rsidRPr="00650F2B" w14:paraId="24D9839B" w14:textId="77777777" w:rsidTr="00FE3437">
        <w:tc>
          <w:tcPr>
            <w:tcW w:w="2695" w:type="dxa"/>
            <w:shd w:val="clear" w:color="auto" w:fill="C00000"/>
          </w:tcPr>
          <w:p w14:paraId="1270FCCC" w14:textId="77777777" w:rsidR="008544A5" w:rsidRPr="00650F2B" w:rsidRDefault="008544A5" w:rsidP="00586A7E">
            <w:pPr>
              <w:spacing w:after="0"/>
              <w:rPr>
                <w:rFonts w:ascii="Arial" w:hAnsi="Arial" w:cs="Arial"/>
                <w:sz w:val="18"/>
              </w:rPr>
            </w:pPr>
          </w:p>
        </w:tc>
        <w:tc>
          <w:tcPr>
            <w:tcW w:w="1979" w:type="dxa"/>
            <w:shd w:val="clear" w:color="auto" w:fill="C00000"/>
          </w:tcPr>
          <w:p w14:paraId="139EE944" w14:textId="77777777" w:rsidR="008544A5" w:rsidRPr="00650F2B" w:rsidRDefault="008544A5" w:rsidP="00586A7E">
            <w:pPr>
              <w:spacing w:after="0"/>
              <w:rPr>
                <w:rFonts w:ascii="Arial" w:hAnsi="Arial" w:cs="Arial"/>
                <w:b/>
                <w:sz w:val="18"/>
              </w:rPr>
            </w:pPr>
            <w:r w:rsidRPr="00650F2B">
              <w:rPr>
                <w:rFonts w:ascii="Arial" w:hAnsi="Arial" w:cs="Arial"/>
                <w:b/>
                <w:sz w:val="18"/>
              </w:rPr>
              <w:t>Baseline</w:t>
            </w:r>
          </w:p>
        </w:tc>
        <w:tc>
          <w:tcPr>
            <w:tcW w:w="2338" w:type="dxa"/>
            <w:shd w:val="clear" w:color="auto" w:fill="C00000"/>
          </w:tcPr>
          <w:p w14:paraId="5267904C" w14:textId="77777777" w:rsidR="008544A5" w:rsidRPr="00650F2B" w:rsidRDefault="008544A5" w:rsidP="00586A7E">
            <w:pPr>
              <w:spacing w:after="0"/>
              <w:rPr>
                <w:rFonts w:ascii="Arial" w:hAnsi="Arial" w:cs="Arial"/>
                <w:b/>
                <w:sz w:val="18"/>
              </w:rPr>
            </w:pPr>
            <w:r w:rsidRPr="00650F2B">
              <w:rPr>
                <w:rFonts w:ascii="Arial" w:hAnsi="Arial" w:cs="Arial"/>
                <w:b/>
                <w:sz w:val="18"/>
              </w:rPr>
              <w:t>Full DSDM</w:t>
            </w:r>
          </w:p>
        </w:tc>
        <w:tc>
          <w:tcPr>
            <w:tcW w:w="2338" w:type="dxa"/>
            <w:shd w:val="clear" w:color="auto" w:fill="C00000"/>
          </w:tcPr>
          <w:p w14:paraId="6A178F18" w14:textId="77777777" w:rsidR="008544A5" w:rsidRPr="00650F2B" w:rsidRDefault="008544A5" w:rsidP="00586A7E">
            <w:pPr>
              <w:spacing w:after="0"/>
              <w:rPr>
                <w:rFonts w:ascii="Arial" w:hAnsi="Arial" w:cs="Arial"/>
                <w:b/>
                <w:sz w:val="18"/>
              </w:rPr>
            </w:pPr>
            <w:r w:rsidRPr="00650F2B">
              <w:rPr>
                <w:rFonts w:ascii="Arial" w:hAnsi="Arial" w:cs="Arial"/>
                <w:b/>
                <w:sz w:val="18"/>
              </w:rPr>
              <w:t>Difference in costs</w:t>
            </w:r>
          </w:p>
        </w:tc>
      </w:tr>
      <w:tr w:rsidR="008544A5" w:rsidRPr="00650F2B" w14:paraId="5F94CBDF" w14:textId="77777777" w:rsidTr="00FE3437">
        <w:tc>
          <w:tcPr>
            <w:tcW w:w="2695" w:type="dxa"/>
            <w:shd w:val="clear" w:color="auto" w:fill="ED7D31" w:themeFill="accent2"/>
          </w:tcPr>
          <w:p w14:paraId="479A9CC3" w14:textId="77777777" w:rsidR="008544A5" w:rsidRPr="00650F2B" w:rsidRDefault="008544A5" w:rsidP="00586A7E">
            <w:pPr>
              <w:spacing w:after="0"/>
              <w:rPr>
                <w:rFonts w:ascii="Arial" w:hAnsi="Arial" w:cs="Arial"/>
                <w:b/>
                <w:color w:val="FFFFFF" w:themeColor="background1"/>
                <w:sz w:val="18"/>
              </w:rPr>
            </w:pPr>
            <w:r w:rsidRPr="00650F2B">
              <w:rPr>
                <w:rFonts w:ascii="Arial" w:hAnsi="Arial" w:cs="Arial"/>
                <w:b/>
                <w:color w:val="FFFFFF" w:themeColor="background1"/>
                <w:sz w:val="18"/>
              </w:rPr>
              <w:t>Avg cost of lab tests (USD)</w:t>
            </w:r>
          </w:p>
        </w:tc>
        <w:tc>
          <w:tcPr>
            <w:tcW w:w="1979" w:type="dxa"/>
            <w:shd w:val="clear" w:color="auto" w:fill="ED7D31" w:themeFill="accent2"/>
            <w:vAlign w:val="center"/>
          </w:tcPr>
          <w:p w14:paraId="117CBB4F" w14:textId="1027FB40" w:rsidR="008544A5" w:rsidRPr="00650F2B" w:rsidRDefault="00586A7E" w:rsidP="00586A7E">
            <w:pPr>
              <w:spacing w:after="0"/>
              <w:rPr>
                <w:rFonts w:ascii="Arial" w:hAnsi="Arial" w:cs="Arial"/>
                <w:b/>
                <w:color w:val="FFFFFF" w:themeColor="background1"/>
                <w:sz w:val="18"/>
              </w:rPr>
            </w:pPr>
            <w:r>
              <w:rPr>
                <w:rFonts w:ascii="Arial" w:hAnsi="Arial" w:cs="Arial"/>
                <w:b/>
                <w:color w:val="FFFFFF" w:themeColor="background1"/>
                <w:sz w:val="18"/>
              </w:rPr>
              <w:t>$28.2</w:t>
            </w:r>
          </w:p>
        </w:tc>
        <w:tc>
          <w:tcPr>
            <w:tcW w:w="2338" w:type="dxa"/>
            <w:shd w:val="clear" w:color="auto" w:fill="ED7D31" w:themeFill="accent2"/>
            <w:vAlign w:val="center"/>
          </w:tcPr>
          <w:p w14:paraId="792A90B3" w14:textId="3596ACFF" w:rsidR="008544A5" w:rsidRPr="00650F2B" w:rsidRDefault="00586A7E" w:rsidP="00586A7E">
            <w:pPr>
              <w:spacing w:after="0"/>
              <w:rPr>
                <w:rFonts w:ascii="Arial" w:hAnsi="Arial" w:cs="Arial"/>
                <w:b/>
                <w:color w:val="FFFFFF" w:themeColor="background1"/>
                <w:sz w:val="18"/>
              </w:rPr>
            </w:pPr>
            <w:r>
              <w:rPr>
                <w:rFonts w:ascii="Arial" w:hAnsi="Arial" w:cs="Arial"/>
                <w:b/>
                <w:color w:val="FFFFFF" w:themeColor="background1"/>
                <w:sz w:val="18"/>
              </w:rPr>
              <w:t>$14.0</w:t>
            </w:r>
          </w:p>
        </w:tc>
        <w:tc>
          <w:tcPr>
            <w:tcW w:w="2338" w:type="dxa"/>
            <w:shd w:val="clear" w:color="auto" w:fill="ED7D31" w:themeFill="accent2"/>
            <w:vAlign w:val="center"/>
          </w:tcPr>
          <w:p w14:paraId="70FE1C69" w14:textId="32FF10E5" w:rsidR="008544A5" w:rsidRPr="00650F2B" w:rsidRDefault="008544A5" w:rsidP="00586A7E">
            <w:pPr>
              <w:spacing w:after="0"/>
              <w:rPr>
                <w:rFonts w:ascii="Arial" w:hAnsi="Arial" w:cs="Arial"/>
                <w:b/>
                <w:color w:val="FFFFFF" w:themeColor="background1"/>
                <w:sz w:val="18"/>
              </w:rPr>
            </w:pPr>
            <w:r w:rsidRPr="00650F2B">
              <w:rPr>
                <w:rFonts w:ascii="Arial" w:hAnsi="Arial" w:cs="Arial"/>
                <w:b/>
                <w:color w:val="FFFFFF" w:themeColor="background1"/>
                <w:sz w:val="18"/>
              </w:rPr>
              <w:t>-</w:t>
            </w:r>
            <w:r w:rsidR="00586A7E">
              <w:rPr>
                <w:rFonts w:ascii="Arial" w:hAnsi="Arial" w:cs="Arial"/>
                <w:b/>
                <w:color w:val="FFFFFF" w:themeColor="background1"/>
                <w:sz w:val="18"/>
              </w:rPr>
              <w:t>$</w:t>
            </w:r>
            <w:r w:rsidRPr="00650F2B">
              <w:rPr>
                <w:rFonts w:ascii="Arial" w:hAnsi="Arial" w:cs="Arial"/>
                <w:b/>
                <w:color w:val="FFFFFF" w:themeColor="background1"/>
                <w:sz w:val="18"/>
              </w:rPr>
              <w:t>1</w:t>
            </w:r>
            <w:r w:rsidR="00586A7E">
              <w:rPr>
                <w:rFonts w:ascii="Arial" w:hAnsi="Arial" w:cs="Arial"/>
                <w:b/>
                <w:color w:val="FFFFFF" w:themeColor="background1"/>
                <w:sz w:val="18"/>
              </w:rPr>
              <w:t>4.2</w:t>
            </w:r>
          </w:p>
        </w:tc>
      </w:tr>
      <w:tr w:rsidR="008544A5" w:rsidRPr="00650F2B" w14:paraId="492BF252" w14:textId="77777777" w:rsidTr="00586A7E">
        <w:tc>
          <w:tcPr>
            <w:tcW w:w="2695" w:type="dxa"/>
            <w:shd w:val="clear" w:color="auto" w:fill="BFBFBF" w:themeFill="background1" w:themeFillShade="BF"/>
          </w:tcPr>
          <w:p w14:paraId="6A5E2138" w14:textId="77777777" w:rsidR="008544A5" w:rsidRPr="00650F2B" w:rsidRDefault="008544A5" w:rsidP="00586A7E">
            <w:pPr>
              <w:spacing w:after="0"/>
              <w:rPr>
                <w:rFonts w:ascii="Arial" w:hAnsi="Arial" w:cs="Arial"/>
                <w:sz w:val="18"/>
              </w:rPr>
            </w:pPr>
            <w:r w:rsidRPr="00650F2B">
              <w:rPr>
                <w:rFonts w:ascii="Arial" w:hAnsi="Arial" w:cs="Arial"/>
                <w:sz w:val="18"/>
              </w:rPr>
              <w:t>CD4</w:t>
            </w:r>
          </w:p>
        </w:tc>
        <w:tc>
          <w:tcPr>
            <w:tcW w:w="1979" w:type="dxa"/>
            <w:shd w:val="clear" w:color="auto" w:fill="BFBFBF" w:themeFill="background1" w:themeFillShade="BF"/>
            <w:vAlign w:val="center"/>
          </w:tcPr>
          <w:p w14:paraId="382D612C" w14:textId="4F47999B" w:rsidR="008544A5" w:rsidRPr="00650F2B" w:rsidRDefault="00586A7E" w:rsidP="00586A7E">
            <w:pPr>
              <w:spacing w:after="0"/>
              <w:rPr>
                <w:rFonts w:ascii="Arial" w:hAnsi="Arial" w:cs="Arial"/>
                <w:sz w:val="18"/>
              </w:rPr>
            </w:pPr>
            <w:r>
              <w:rPr>
                <w:rFonts w:ascii="Arial" w:hAnsi="Arial" w:cs="Arial"/>
                <w:sz w:val="18"/>
              </w:rPr>
              <w:t>$</w:t>
            </w:r>
            <w:r w:rsidR="008544A5" w:rsidRPr="00650F2B">
              <w:rPr>
                <w:rFonts w:ascii="Arial" w:hAnsi="Arial" w:cs="Arial"/>
                <w:sz w:val="18"/>
              </w:rPr>
              <w:t>3.8</w:t>
            </w:r>
          </w:p>
        </w:tc>
        <w:tc>
          <w:tcPr>
            <w:tcW w:w="2338" w:type="dxa"/>
            <w:shd w:val="clear" w:color="auto" w:fill="BFBFBF" w:themeFill="background1" w:themeFillShade="BF"/>
            <w:vAlign w:val="center"/>
          </w:tcPr>
          <w:p w14:paraId="3FF5AA2E" w14:textId="28B67671" w:rsidR="008544A5" w:rsidRPr="00650F2B" w:rsidRDefault="00586A7E" w:rsidP="00586A7E">
            <w:pPr>
              <w:spacing w:after="0"/>
              <w:rPr>
                <w:rFonts w:ascii="Arial" w:hAnsi="Arial" w:cs="Arial"/>
                <w:sz w:val="18"/>
              </w:rPr>
            </w:pPr>
            <w:r>
              <w:rPr>
                <w:rFonts w:ascii="Arial" w:hAnsi="Arial" w:cs="Arial"/>
                <w:sz w:val="18"/>
              </w:rPr>
              <w:t>$2</w:t>
            </w:r>
            <w:r w:rsidR="008544A5" w:rsidRPr="00650F2B">
              <w:rPr>
                <w:rFonts w:ascii="Arial" w:hAnsi="Arial" w:cs="Arial"/>
                <w:sz w:val="18"/>
              </w:rPr>
              <w:t>.0</w:t>
            </w:r>
          </w:p>
        </w:tc>
        <w:tc>
          <w:tcPr>
            <w:tcW w:w="2338" w:type="dxa"/>
            <w:shd w:val="clear" w:color="auto" w:fill="BFBFBF" w:themeFill="background1" w:themeFillShade="BF"/>
            <w:vAlign w:val="center"/>
          </w:tcPr>
          <w:p w14:paraId="4E8E6E58" w14:textId="77777777" w:rsidR="008544A5" w:rsidRPr="00650F2B" w:rsidRDefault="008544A5" w:rsidP="00586A7E">
            <w:pPr>
              <w:spacing w:after="0"/>
              <w:rPr>
                <w:rFonts w:ascii="Arial" w:hAnsi="Arial" w:cs="Arial"/>
                <w:sz w:val="18"/>
              </w:rPr>
            </w:pPr>
          </w:p>
        </w:tc>
      </w:tr>
      <w:tr w:rsidR="00AC4829" w:rsidRPr="00650F2B" w14:paraId="70BEC07B" w14:textId="77777777" w:rsidTr="004066EA">
        <w:tc>
          <w:tcPr>
            <w:tcW w:w="2695" w:type="dxa"/>
            <w:shd w:val="clear" w:color="auto" w:fill="F2F2F2" w:themeFill="background1" w:themeFillShade="F2"/>
            <w:vAlign w:val="center"/>
          </w:tcPr>
          <w:p w14:paraId="35FC1127" w14:textId="77777777" w:rsidR="00AC4829" w:rsidRPr="00650F2B" w:rsidRDefault="00AC4829" w:rsidP="00586A7E">
            <w:pPr>
              <w:spacing w:after="0"/>
              <w:rPr>
                <w:rFonts w:ascii="Arial" w:hAnsi="Arial" w:cs="Arial"/>
                <w:sz w:val="18"/>
              </w:rPr>
            </w:pPr>
            <w:r w:rsidRPr="00650F2B">
              <w:rPr>
                <w:rFonts w:ascii="Arial" w:hAnsi="Arial" w:cs="Arial"/>
                <w:sz w:val="18"/>
              </w:rPr>
              <w:t>Unit cost</w:t>
            </w:r>
          </w:p>
        </w:tc>
        <w:tc>
          <w:tcPr>
            <w:tcW w:w="1979" w:type="dxa"/>
            <w:shd w:val="clear" w:color="auto" w:fill="F2F2F2" w:themeFill="background1" w:themeFillShade="F2"/>
            <w:vAlign w:val="center"/>
          </w:tcPr>
          <w:p w14:paraId="222AC515" w14:textId="16B90CCE" w:rsidR="00AC4829" w:rsidRPr="00650F2B" w:rsidRDefault="00586A7E" w:rsidP="00586A7E">
            <w:pPr>
              <w:spacing w:after="0"/>
              <w:rPr>
                <w:rFonts w:ascii="Arial" w:hAnsi="Arial" w:cs="Arial"/>
                <w:sz w:val="18"/>
              </w:rPr>
            </w:pPr>
            <w:r>
              <w:rPr>
                <w:rFonts w:ascii="Arial" w:hAnsi="Arial" w:cs="Arial"/>
                <w:sz w:val="18"/>
              </w:rPr>
              <w:t>$</w:t>
            </w:r>
            <w:r w:rsidR="00AC4829" w:rsidRPr="00650F2B">
              <w:rPr>
                <w:rFonts w:ascii="Arial" w:hAnsi="Arial" w:cs="Arial"/>
                <w:sz w:val="18"/>
              </w:rPr>
              <w:t>2.1</w:t>
            </w:r>
          </w:p>
        </w:tc>
        <w:tc>
          <w:tcPr>
            <w:tcW w:w="2338" w:type="dxa"/>
            <w:shd w:val="clear" w:color="auto" w:fill="F2F2F2" w:themeFill="background1" w:themeFillShade="F2"/>
            <w:vAlign w:val="center"/>
          </w:tcPr>
          <w:p w14:paraId="5DD78E25" w14:textId="542CEE50" w:rsidR="00AC4829" w:rsidRPr="00650F2B" w:rsidRDefault="00586A7E" w:rsidP="00586A7E">
            <w:pPr>
              <w:spacing w:after="0"/>
              <w:rPr>
                <w:rFonts w:ascii="Arial" w:hAnsi="Arial" w:cs="Arial"/>
                <w:sz w:val="18"/>
              </w:rPr>
            </w:pPr>
            <w:r>
              <w:rPr>
                <w:rFonts w:ascii="Arial" w:hAnsi="Arial" w:cs="Arial"/>
                <w:sz w:val="18"/>
              </w:rPr>
              <w:t>$</w:t>
            </w:r>
            <w:r w:rsidR="00AC4829" w:rsidRPr="00650F2B">
              <w:rPr>
                <w:rFonts w:ascii="Arial" w:hAnsi="Arial" w:cs="Arial"/>
                <w:sz w:val="18"/>
              </w:rPr>
              <w:t>2.1</w:t>
            </w:r>
          </w:p>
        </w:tc>
        <w:tc>
          <w:tcPr>
            <w:tcW w:w="2338" w:type="dxa"/>
            <w:vMerge w:val="restart"/>
            <w:shd w:val="clear" w:color="auto" w:fill="FBE4D5" w:themeFill="accent2" w:themeFillTint="33"/>
            <w:vAlign w:val="center"/>
          </w:tcPr>
          <w:p w14:paraId="31750147" w14:textId="1270FFC9" w:rsidR="00AC4829" w:rsidRPr="00650F2B" w:rsidRDefault="00AC4829" w:rsidP="00586A7E">
            <w:pPr>
              <w:spacing w:after="0"/>
              <w:rPr>
                <w:rFonts w:ascii="Arial" w:hAnsi="Arial" w:cs="Arial"/>
                <w:sz w:val="18"/>
              </w:rPr>
            </w:pPr>
            <w:r w:rsidRPr="00650F2B">
              <w:rPr>
                <w:rFonts w:ascii="Arial" w:hAnsi="Arial" w:cs="Arial"/>
                <w:sz w:val="18"/>
              </w:rPr>
              <w:t>-</w:t>
            </w:r>
            <w:r w:rsidR="00586A7E">
              <w:rPr>
                <w:rFonts w:ascii="Arial" w:hAnsi="Arial" w:cs="Arial"/>
                <w:sz w:val="18"/>
              </w:rPr>
              <w:t>$1</w:t>
            </w:r>
            <w:r w:rsidRPr="00650F2B">
              <w:rPr>
                <w:rFonts w:ascii="Arial" w:hAnsi="Arial" w:cs="Arial"/>
                <w:sz w:val="18"/>
              </w:rPr>
              <w:t>.8</w:t>
            </w:r>
          </w:p>
        </w:tc>
      </w:tr>
      <w:tr w:rsidR="00AC4829" w:rsidRPr="00650F2B" w14:paraId="4AEF38C9" w14:textId="77777777" w:rsidTr="00586A7E">
        <w:tc>
          <w:tcPr>
            <w:tcW w:w="2695" w:type="dxa"/>
            <w:shd w:val="clear" w:color="auto" w:fill="F2F2F2" w:themeFill="background1" w:themeFillShade="F2"/>
            <w:vAlign w:val="center"/>
          </w:tcPr>
          <w:p w14:paraId="6FB4C0F3" w14:textId="1A68CC28" w:rsidR="00AC4829" w:rsidRPr="00650F2B" w:rsidRDefault="00AC4829" w:rsidP="00586A7E">
            <w:pPr>
              <w:spacing w:after="0"/>
              <w:rPr>
                <w:rFonts w:ascii="Arial" w:hAnsi="Arial" w:cs="Arial"/>
                <w:sz w:val="18"/>
              </w:rPr>
            </w:pPr>
            <w:r>
              <w:rPr>
                <w:rFonts w:ascii="Arial" w:hAnsi="Arial" w:cs="Arial"/>
                <w:sz w:val="18"/>
              </w:rPr>
              <w:t>Stable patients</w:t>
            </w:r>
            <w:r w:rsidRPr="00650F2B">
              <w:rPr>
                <w:rStyle w:val="FootnoteReference"/>
                <w:rFonts w:ascii="Arial" w:hAnsi="Arial" w:cs="Arial"/>
                <w:sz w:val="18"/>
              </w:rPr>
              <w:footnoteReference w:id="7"/>
            </w:r>
            <w:r w:rsidR="00586A7E">
              <w:rPr>
                <w:rFonts w:ascii="Arial" w:hAnsi="Arial" w:cs="Arial"/>
                <w:sz w:val="18"/>
              </w:rPr>
              <w:t xml:space="preserve"> (70%)</w:t>
            </w:r>
          </w:p>
        </w:tc>
        <w:tc>
          <w:tcPr>
            <w:tcW w:w="1979" w:type="dxa"/>
            <w:shd w:val="clear" w:color="auto" w:fill="F2F2F2" w:themeFill="background1" w:themeFillShade="F2"/>
            <w:vAlign w:val="center"/>
          </w:tcPr>
          <w:p w14:paraId="045B2D08" w14:textId="77777777" w:rsidR="00AC4829" w:rsidRPr="00650F2B" w:rsidRDefault="00AC4829" w:rsidP="00586A7E">
            <w:pPr>
              <w:spacing w:after="0"/>
              <w:rPr>
                <w:rFonts w:ascii="Arial" w:hAnsi="Arial" w:cs="Arial"/>
                <w:sz w:val="18"/>
              </w:rPr>
            </w:pPr>
          </w:p>
        </w:tc>
        <w:tc>
          <w:tcPr>
            <w:tcW w:w="2338" w:type="dxa"/>
            <w:shd w:val="clear" w:color="auto" w:fill="F2F2F2" w:themeFill="background1" w:themeFillShade="F2"/>
            <w:vAlign w:val="center"/>
          </w:tcPr>
          <w:p w14:paraId="38DB3E09" w14:textId="77777777" w:rsidR="00AC4829" w:rsidRPr="00650F2B" w:rsidRDefault="00AC4829" w:rsidP="00586A7E">
            <w:pPr>
              <w:spacing w:after="0"/>
              <w:rPr>
                <w:rFonts w:ascii="Arial" w:hAnsi="Arial" w:cs="Arial"/>
                <w:sz w:val="18"/>
              </w:rPr>
            </w:pPr>
          </w:p>
        </w:tc>
        <w:tc>
          <w:tcPr>
            <w:tcW w:w="2338" w:type="dxa"/>
            <w:vMerge/>
            <w:shd w:val="clear" w:color="auto" w:fill="FBE4D5" w:themeFill="accent2" w:themeFillTint="33"/>
            <w:vAlign w:val="center"/>
          </w:tcPr>
          <w:p w14:paraId="4DE7A69A" w14:textId="77777777" w:rsidR="00AC4829" w:rsidRPr="00650F2B" w:rsidRDefault="00AC4829" w:rsidP="00586A7E">
            <w:pPr>
              <w:spacing w:after="0"/>
              <w:rPr>
                <w:rFonts w:ascii="Arial" w:hAnsi="Arial" w:cs="Arial"/>
                <w:sz w:val="18"/>
              </w:rPr>
            </w:pPr>
          </w:p>
        </w:tc>
      </w:tr>
      <w:tr w:rsidR="00AC4829" w:rsidRPr="00650F2B" w14:paraId="729A6EE9" w14:textId="77777777" w:rsidTr="00586A7E">
        <w:tc>
          <w:tcPr>
            <w:tcW w:w="2695" w:type="dxa"/>
            <w:shd w:val="clear" w:color="auto" w:fill="FFFFFF" w:themeFill="background1"/>
            <w:vAlign w:val="center"/>
          </w:tcPr>
          <w:p w14:paraId="60EB17A8" w14:textId="1A155767" w:rsidR="00AC4829" w:rsidRPr="00650F2B" w:rsidRDefault="00AC4829" w:rsidP="00586A7E">
            <w:pPr>
              <w:spacing w:after="0"/>
              <w:rPr>
                <w:rFonts w:ascii="Arial" w:hAnsi="Arial" w:cs="Arial"/>
                <w:sz w:val="18"/>
              </w:rPr>
            </w:pPr>
            <w:r w:rsidRPr="00650F2B">
              <w:rPr>
                <w:rFonts w:ascii="Arial" w:hAnsi="Arial" w:cs="Arial"/>
                <w:sz w:val="18"/>
              </w:rPr>
              <w:t># of tests</w:t>
            </w:r>
          </w:p>
        </w:tc>
        <w:tc>
          <w:tcPr>
            <w:tcW w:w="1979" w:type="dxa"/>
            <w:shd w:val="clear" w:color="auto" w:fill="FFFFFF" w:themeFill="background1"/>
            <w:vAlign w:val="center"/>
          </w:tcPr>
          <w:p w14:paraId="35F7744E" w14:textId="77777777" w:rsidR="00AC4829" w:rsidRPr="00650F2B" w:rsidRDefault="00AC4829" w:rsidP="00586A7E">
            <w:pPr>
              <w:spacing w:after="0"/>
              <w:rPr>
                <w:rFonts w:ascii="Arial" w:hAnsi="Arial" w:cs="Arial"/>
                <w:sz w:val="18"/>
              </w:rPr>
            </w:pPr>
            <w:r w:rsidRPr="00650F2B">
              <w:rPr>
                <w:rFonts w:ascii="Arial" w:hAnsi="Arial" w:cs="Arial"/>
                <w:sz w:val="18"/>
              </w:rPr>
              <w:t>2</w:t>
            </w:r>
          </w:p>
        </w:tc>
        <w:tc>
          <w:tcPr>
            <w:tcW w:w="2338" w:type="dxa"/>
            <w:shd w:val="clear" w:color="auto" w:fill="FFFFFF" w:themeFill="background1"/>
            <w:vAlign w:val="center"/>
          </w:tcPr>
          <w:p w14:paraId="713599DE" w14:textId="77777777" w:rsidR="00AC4829" w:rsidRPr="00650F2B" w:rsidRDefault="00AC4829" w:rsidP="00586A7E">
            <w:pPr>
              <w:spacing w:after="0"/>
              <w:rPr>
                <w:rFonts w:ascii="Arial" w:hAnsi="Arial" w:cs="Arial"/>
                <w:sz w:val="18"/>
              </w:rPr>
            </w:pPr>
            <w:r w:rsidRPr="00650F2B">
              <w:rPr>
                <w:rFonts w:ascii="Arial" w:hAnsi="Arial" w:cs="Arial"/>
                <w:sz w:val="18"/>
              </w:rPr>
              <w:t>--</w:t>
            </w:r>
          </w:p>
        </w:tc>
        <w:tc>
          <w:tcPr>
            <w:tcW w:w="2338" w:type="dxa"/>
            <w:vMerge/>
            <w:shd w:val="clear" w:color="auto" w:fill="FBE4D5" w:themeFill="accent2" w:themeFillTint="33"/>
            <w:vAlign w:val="center"/>
          </w:tcPr>
          <w:p w14:paraId="305CC911" w14:textId="77777777" w:rsidR="00AC4829" w:rsidRPr="00650F2B" w:rsidRDefault="00AC4829" w:rsidP="00586A7E">
            <w:pPr>
              <w:spacing w:after="0"/>
              <w:rPr>
                <w:rFonts w:ascii="Arial" w:hAnsi="Arial" w:cs="Arial"/>
                <w:sz w:val="18"/>
              </w:rPr>
            </w:pPr>
          </w:p>
        </w:tc>
      </w:tr>
      <w:tr w:rsidR="00AC4829" w:rsidRPr="00650F2B" w14:paraId="58FE2F3F" w14:textId="77777777" w:rsidTr="00586A7E">
        <w:tc>
          <w:tcPr>
            <w:tcW w:w="2695" w:type="dxa"/>
            <w:shd w:val="clear" w:color="auto" w:fill="FFFFFF" w:themeFill="background1"/>
            <w:vAlign w:val="center"/>
          </w:tcPr>
          <w:p w14:paraId="299DC367" w14:textId="36CD1557" w:rsidR="00AC4829" w:rsidRPr="00650F2B" w:rsidRDefault="00AC4829"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245E097B" w14:textId="77777777" w:rsidR="00AC4829" w:rsidRPr="00650F2B" w:rsidRDefault="00AC4829" w:rsidP="00586A7E">
            <w:pPr>
              <w:spacing w:after="0"/>
              <w:rPr>
                <w:rFonts w:ascii="Arial" w:hAnsi="Arial" w:cs="Arial"/>
                <w:sz w:val="18"/>
              </w:rPr>
            </w:pPr>
            <w:r w:rsidRPr="00650F2B">
              <w:rPr>
                <w:rFonts w:ascii="Arial" w:hAnsi="Arial" w:cs="Arial"/>
                <w:sz w:val="18"/>
              </w:rPr>
              <w:t>93%</w:t>
            </w:r>
          </w:p>
        </w:tc>
        <w:tc>
          <w:tcPr>
            <w:tcW w:w="2338" w:type="dxa"/>
            <w:shd w:val="clear" w:color="auto" w:fill="FFFFFF" w:themeFill="background1"/>
            <w:vAlign w:val="center"/>
          </w:tcPr>
          <w:p w14:paraId="469E7CF7" w14:textId="77777777" w:rsidR="00AC4829" w:rsidRPr="00650F2B" w:rsidRDefault="00AC4829" w:rsidP="00586A7E">
            <w:pPr>
              <w:spacing w:after="0"/>
              <w:rPr>
                <w:rFonts w:ascii="Arial" w:hAnsi="Arial" w:cs="Arial"/>
                <w:sz w:val="18"/>
              </w:rPr>
            </w:pPr>
            <w:r w:rsidRPr="00650F2B">
              <w:rPr>
                <w:rFonts w:ascii="Arial" w:hAnsi="Arial" w:cs="Arial"/>
                <w:sz w:val="18"/>
              </w:rPr>
              <w:t>93%</w:t>
            </w:r>
          </w:p>
        </w:tc>
        <w:tc>
          <w:tcPr>
            <w:tcW w:w="2338" w:type="dxa"/>
            <w:vMerge/>
            <w:shd w:val="clear" w:color="auto" w:fill="FBE4D5" w:themeFill="accent2" w:themeFillTint="33"/>
            <w:vAlign w:val="center"/>
          </w:tcPr>
          <w:p w14:paraId="492CDBEF" w14:textId="77777777" w:rsidR="00AC4829" w:rsidRPr="00650F2B" w:rsidRDefault="00AC4829" w:rsidP="00586A7E">
            <w:pPr>
              <w:spacing w:after="0"/>
              <w:rPr>
                <w:rFonts w:ascii="Arial" w:hAnsi="Arial" w:cs="Arial"/>
                <w:sz w:val="18"/>
              </w:rPr>
            </w:pPr>
          </w:p>
        </w:tc>
      </w:tr>
      <w:tr w:rsidR="00AC4829" w:rsidRPr="00650F2B" w14:paraId="6D84DD55" w14:textId="77777777" w:rsidTr="00586A7E">
        <w:tc>
          <w:tcPr>
            <w:tcW w:w="2695" w:type="dxa"/>
            <w:shd w:val="clear" w:color="auto" w:fill="F2F2F2" w:themeFill="background1" w:themeFillShade="F2"/>
            <w:vAlign w:val="center"/>
          </w:tcPr>
          <w:p w14:paraId="73216529" w14:textId="3B65A246" w:rsidR="00AC4829" w:rsidRPr="00650F2B" w:rsidRDefault="00AC4829" w:rsidP="00586A7E">
            <w:pPr>
              <w:spacing w:after="0"/>
              <w:rPr>
                <w:rFonts w:ascii="Arial" w:hAnsi="Arial" w:cs="Arial"/>
                <w:sz w:val="18"/>
              </w:rPr>
            </w:pPr>
            <w:r>
              <w:rPr>
                <w:rFonts w:ascii="Arial" w:hAnsi="Arial" w:cs="Arial"/>
                <w:sz w:val="18"/>
              </w:rPr>
              <w:t>Unstable patients</w:t>
            </w:r>
            <w:r w:rsidR="00586A7E">
              <w:rPr>
                <w:rFonts w:ascii="Arial" w:hAnsi="Arial" w:cs="Arial"/>
                <w:sz w:val="18"/>
              </w:rPr>
              <w:t xml:space="preserve"> (15%)</w:t>
            </w:r>
          </w:p>
        </w:tc>
        <w:tc>
          <w:tcPr>
            <w:tcW w:w="1979" w:type="dxa"/>
            <w:shd w:val="clear" w:color="auto" w:fill="F2F2F2" w:themeFill="background1" w:themeFillShade="F2"/>
            <w:vAlign w:val="center"/>
          </w:tcPr>
          <w:p w14:paraId="6332CD07" w14:textId="77777777" w:rsidR="00AC4829" w:rsidRPr="00650F2B" w:rsidRDefault="00AC4829" w:rsidP="00586A7E">
            <w:pPr>
              <w:spacing w:after="0"/>
              <w:rPr>
                <w:rFonts w:ascii="Arial" w:hAnsi="Arial" w:cs="Arial"/>
                <w:sz w:val="18"/>
              </w:rPr>
            </w:pPr>
          </w:p>
        </w:tc>
        <w:tc>
          <w:tcPr>
            <w:tcW w:w="2338" w:type="dxa"/>
            <w:shd w:val="clear" w:color="auto" w:fill="F2F2F2" w:themeFill="background1" w:themeFillShade="F2"/>
            <w:vAlign w:val="center"/>
          </w:tcPr>
          <w:p w14:paraId="2EF07E8E" w14:textId="77777777" w:rsidR="00AC4829" w:rsidRPr="00650F2B" w:rsidRDefault="00AC4829" w:rsidP="00586A7E">
            <w:pPr>
              <w:spacing w:after="0"/>
              <w:rPr>
                <w:rFonts w:ascii="Arial" w:hAnsi="Arial" w:cs="Arial"/>
                <w:sz w:val="18"/>
              </w:rPr>
            </w:pPr>
          </w:p>
        </w:tc>
        <w:tc>
          <w:tcPr>
            <w:tcW w:w="2338" w:type="dxa"/>
            <w:vMerge/>
            <w:shd w:val="clear" w:color="auto" w:fill="FBE4D5" w:themeFill="accent2" w:themeFillTint="33"/>
            <w:vAlign w:val="center"/>
          </w:tcPr>
          <w:p w14:paraId="5B33CE79" w14:textId="77777777" w:rsidR="00AC4829" w:rsidRPr="00650F2B" w:rsidRDefault="00AC4829" w:rsidP="00586A7E">
            <w:pPr>
              <w:spacing w:after="0"/>
              <w:rPr>
                <w:rFonts w:ascii="Arial" w:hAnsi="Arial" w:cs="Arial"/>
                <w:sz w:val="18"/>
              </w:rPr>
            </w:pPr>
          </w:p>
        </w:tc>
      </w:tr>
      <w:tr w:rsidR="00AC4829" w:rsidRPr="00650F2B" w14:paraId="7F15DB63" w14:textId="77777777" w:rsidTr="00586A7E">
        <w:tc>
          <w:tcPr>
            <w:tcW w:w="2695" w:type="dxa"/>
            <w:shd w:val="clear" w:color="auto" w:fill="FFFFFF" w:themeFill="background1"/>
            <w:vAlign w:val="center"/>
          </w:tcPr>
          <w:p w14:paraId="2A677268" w14:textId="715A9ADB" w:rsidR="00AC4829" w:rsidRPr="00650F2B" w:rsidRDefault="00AC4829" w:rsidP="00586A7E">
            <w:pPr>
              <w:spacing w:after="0"/>
              <w:rPr>
                <w:rFonts w:ascii="Arial" w:hAnsi="Arial" w:cs="Arial"/>
                <w:sz w:val="18"/>
              </w:rPr>
            </w:pPr>
            <w:r w:rsidRPr="00650F2B">
              <w:rPr>
                <w:rFonts w:ascii="Arial" w:hAnsi="Arial" w:cs="Arial"/>
                <w:sz w:val="18"/>
              </w:rPr>
              <w:t># tests</w:t>
            </w:r>
          </w:p>
        </w:tc>
        <w:tc>
          <w:tcPr>
            <w:tcW w:w="1979" w:type="dxa"/>
            <w:shd w:val="clear" w:color="auto" w:fill="FFFFFF" w:themeFill="background1"/>
            <w:vAlign w:val="center"/>
          </w:tcPr>
          <w:p w14:paraId="5D9CD68C" w14:textId="77777777" w:rsidR="00AC4829" w:rsidRPr="00650F2B" w:rsidRDefault="00AC4829" w:rsidP="00586A7E">
            <w:pPr>
              <w:spacing w:after="0"/>
              <w:rPr>
                <w:rFonts w:ascii="Arial" w:hAnsi="Arial" w:cs="Arial"/>
                <w:sz w:val="18"/>
              </w:rPr>
            </w:pPr>
            <w:r w:rsidRPr="00650F2B">
              <w:rPr>
                <w:rFonts w:ascii="Arial" w:hAnsi="Arial" w:cs="Arial"/>
                <w:sz w:val="18"/>
              </w:rPr>
              <w:t>2</w:t>
            </w:r>
          </w:p>
        </w:tc>
        <w:tc>
          <w:tcPr>
            <w:tcW w:w="2338" w:type="dxa"/>
            <w:shd w:val="clear" w:color="auto" w:fill="FFFFFF" w:themeFill="background1"/>
            <w:vAlign w:val="center"/>
          </w:tcPr>
          <w:p w14:paraId="64DF9FBC" w14:textId="77777777" w:rsidR="00AC4829" w:rsidRPr="00650F2B" w:rsidRDefault="00AC4829" w:rsidP="00586A7E">
            <w:pPr>
              <w:spacing w:after="0"/>
              <w:rPr>
                <w:rFonts w:ascii="Arial" w:hAnsi="Arial" w:cs="Arial"/>
                <w:sz w:val="18"/>
              </w:rPr>
            </w:pPr>
            <w:r w:rsidRPr="00650F2B">
              <w:rPr>
                <w:rFonts w:ascii="Arial" w:hAnsi="Arial" w:cs="Arial"/>
                <w:sz w:val="18"/>
              </w:rPr>
              <w:t>2</w:t>
            </w:r>
          </w:p>
        </w:tc>
        <w:tc>
          <w:tcPr>
            <w:tcW w:w="2338" w:type="dxa"/>
            <w:vMerge/>
            <w:shd w:val="clear" w:color="auto" w:fill="FBE4D5" w:themeFill="accent2" w:themeFillTint="33"/>
            <w:vAlign w:val="center"/>
          </w:tcPr>
          <w:p w14:paraId="71FFD832" w14:textId="77777777" w:rsidR="00AC4829" w:rsidRPr="00650F2B" w:rsidRDefault="00AC4829" w:rsidP="00586A7E">
            <w:pPr>
              <w:spacing w:after="0"/>
              <w:rPr>
                <w:rFonts w:ascii="Arial" w:hAnsi="Arial" w:cs="Arial"/>
                <w:sz w:val="18"/>
              </w:rPr>
            </w:pPr>
          </w:p>
        </w:tc>
      </w:tr>
      <w:tr w:rsidR="00AC4829" w:rsidRPr="00650F2B" w14:paraId="31A12348" w14:textId="77777777" w:rsidTr="00586A7E">
        <w:tc>
          <w:tcPr>
            <w:tcW w:w="2695" w:type="dxa"/>
            <w:shd w:val="clear" w:color="auto" w:fill="FFFFFF" w:themeFill="background1"/>
            <w:vAlign w:val="center"/>
          </w:tcPr>
          <w:p w14:paraId="048E7475" w14:textId="5544BAA6" w:rsidR="00AC4829" w:rsidRPr="00650F2B" w:rsidRDefault="00AC4829"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681659FC" w14:textId="77777777" w:rsidR="00AC4829" w:rsidRPr="00650F2B" w:rsidRDefault="00AC4829" w:rsidP="00586A7E">
            <w:pPr>
              <w:spacing w:after="0"/>
              <w:rPr>
                <w:rFonts w:ascii="Arial" w:hAnsi="Arial" w:cs="Arial"/>
                <w:sz w:val="18"/>
              </w:rPr>
            </w:pPr>
            <w:r w:rsidRPr="00650F2B">
              <w:rPr>
                <w:rFonts w:ascii="Arial" w:hAnsi="Arial" w:cs="Arial"/>
                <w:sz w:val="18"/>
              </w:rPr>
              <w:t>80%</w:t>
            </w:r>
          </w:p>
        </w:tc>
        <w:tc>
          <w:tcPr>
            <w:tcW w:w="2338" w:type="dxa"/>
            <w:shd w:val="clear" w:color="auto" w:fill="FFFFFF" w:themeFill="background1"/>
            <w:vAlign w:val="center"/>
          </w:tcPr>
          <w:p w14:paraId="3C86FC34" w14:textId="77777777" w:rsidR="00AC4829" w:rsidRPr="00650F2B" w:rsidDel="00A10D18" w:rsidRDefault="00AC4829" w:rsidP="00586A7E">
            <w:pPr>
              <w:spacing w:after="0"/>
              <w:rPr>
                <w:rFonts w:ascii="Arial" w:hAnsi="Arial" w:cs="Arial"/>
                <w:sz w:val="18"/>
              </w:rPr>
            </w:pPr>
            <w:r w:rsidRPr="00650F2B">
              <w:rPr>
                <w:rFonts w:ascii="Arial" w:hAnsi="Arial" w:cs="Arial"/>
                <w:sz w:val="18"/>
              </w:rPr>
              <w:t>80%</w:t>
            </w:r>
          </w:p>
        </w:tc>
        <w:tc>
          <w:tcPr>
            <w:tcW w:w="2338" w:type="dxa"/>
            <w:vMerge/>
            <w:shd w:val="clear" w:color="auto" w:fill="F2F2F2" w:themeFill="background1" w:themeFillShade="F2"/>
            <w:vAlign w:val="center"/>
          </w:tcPr>
          <w:p w14:paraId="218620B2" w14:textId="77777777" w:rsidR="00AC4829" w:rsidRPr="00650F2B" w:rsidRDefault="00AC4829" w:rsidP="00586A7E">
            <w:pPr>
              <w:spacing w:after="0"/>
              <w:rPr>
                <w:rFonts w:ascii="Arial" w:hAnsi="Arial" w:cs="Arial"/>
                <w:sz w:val="18"/>
              </w:rPr>
            </w:pPr>
          </w:p>
        </w:tc>
      </w:tr>
      <w:tr w:rsidR="00AC4829" w:rsidRPr="00650F2B" w14:paraId="562813FA" w14:textId="77777777" w:rsidTr="00586A7E">
        <w:tc>
          <w:tcPr>
            <w:tcW w:w="2695" w:type="dxa"/>
            <w:shd w:val="clear" w:color="auto" w:fill="F2F2F2" w:themeFill="background1" w:themeFillShade="F2"/>
            <w:vAlign w:val="center"/>
          </w:tcPr>
          <w:p w14:paraId="130C3825" w14:textId="634FE29A" w:rsidR="00AC4829" w:rsidRPr="00650F2B" w:rsidRDefault="00AC4829" w:rsidP="00586A7E">
            <w:pPr>
              <w:spacing w:after="0"/>
              <w:rPr>
                <w:rFonts w:ascii="Arial" w:hAnsi="Arial" w:cs="Arial"/>
                <w:sz w:val="18"/>
              </w:rPr>
            </w:pPr>
            <w:r>
              <w:rPr>
                <w:rFonts w:ascii="Arial" w:hAnsi="Arial" w:cs="Arial"/>
                <w:sz w:val="18"/>
              </w:rPr>
              <w:t>New patients</w:t>
            </w:r>
            <w:r w:rsidR="00586A7E">
              <w:rPr>
                <w:rFonts w:ascii="Arial" w:hAnsi="Arial" w:cs="Arial"/>
                <w:sz w:val="18"/>
              </w:rPr>
              <w:t xml:space="preserve"> (15%)</w:t>
            </w:r>
          </w:p>
        </w:tc>
        <w:tc>
          <w:tcPr>
            <w:tcW w:w="1979" w:type="dxa"/>
            <w:shd w:val="clear" w:color="auto" w:fill="F2F2F2" w:themeFill="background1" w:themeFillShade="F2"/>
            <w:vAlign w:val="center"/>
          </w:tcPr>
          <w:p w14:paraId="56D29C03" w14:textId="77777777" w:rsidR="00AC4829" w:rsidRPr="00650F2B" w:rsidRDefault="00AC4829" w:rsidP="00586A7E">
            <w:pPr>
              <w:spacing w:after="0"/>
              <w:rPr>
                <w:rFonts w:ascii="Arial" w:hAnsi="Arial" w:cs="Arial"/>
                <w:sz w:val="18"/>
              </w:rPr>
            </w:pPr>
          </w:p>
        </w:tc>
        <w:tc>
          <w:tcPr>
            <w:tcW w:w="2338" w:type="dxa"/>
            <w:shd w:val="clear" w:color="auto" w:fill="F2F2F2" w:themeFill="background1" w:themeFillShade="F2"/>
            <w:vAlign w:val="center"/>
          </w:tcPr>
          <w:p w14:paraId="68B7FE3F" w14:textId="77777777" w:rsidR="00AC4829" w:rsidRPr="00650F2B" w:rsidRDefault="00AC4829" w:rsidP="00586A7E">
            <w:pPr>
              <w:spacing w:after="0"/>
              <w:rPr>
                <w:rFonts w:ascii="Arial" w:hAnsi="Arial" w:cs="Arial"/>
                <w:sz w:val="18"/>
              </w:rPr>
            </w:pPr>
          </w:p>
        </w:tc>
        <w:tc>
          <w:tcPr>
            <w:tcW w:w="2338" w:type="dxa"/>
            <w:vMerge/>
            <w:shd w:val="clear" w:color="auto" w:fill="F2F2F2" w:themeFill="background1" w:themeFillShade="F2"/>
            <w:vAlign w:val="center"/>
          </w:tcPr>
          <w:p w14:paraId="75A1AAF3" w14:textId="77777777" w:rsidR="00AC4829" w:rsidRPr="00650F2B" w:rsidRDefault="00AC4829" w:rsidP="00586A7E">
            <w:pPr>
              <w:spacing w:after="0"/>
              <w:rPr>
                <w:rFonts w:ascii="Arial" w:hAnsi="Arial" w:cs="Arial"/>
                <w:sz w:val="18"/>
              </w:rPr>
            </w:pPr>
          </w:p>
        </w:tc>
      </w:tr>
      <w:tr w:rsidR="00AC4829" w:rsidRPr="00650F2B" w14:paraId="7838357A" w14:textId="77777777" w:rsidTr="00586A7E">
        <w:tc>
          <w:tcPr>
            <w:tcW w:w="2695" w:type="dxa"/>
            <w:shd w:val="clear" w:color="auto" w:fill="FFFFFF" w:themeFill="background1"/>
            <w:vAlign w:val="center"/>
          </w:tcPr>
          <w:p w14:paraId="1D320079" w14:textId="3CDF192B" w:rsidR="00AC4829" w:rsidRPr="00650F2B" w:rsidRDefault="00AC4829" w:rsidP="00586A7E">
            <w:pPr>
              <w:spacing w:after="0"/>
              <w:rPr>
                <w:rFonts w:ascii="Arial" w:hAnsi="Arial" w:cs="Arial"/>
                <w:sz w:val="18"/>
              </w:rPr>
            </w:pPr>
            <w:r>
              <w:rPr>
                <w:rFonts w:ascii="Arial" w:hAnsi="Arial" w:cs="Arial"/>
                <w:sz w:val="18"/>
              </w:rPr>
              <w:t># tests</w:t>
            </w:r>
          </w:p>
        </w:tc>
        <w:tc>
          <w:tcPr>
            <w:tcW w:w="1979" w:type="dxa"/>
            <w:shd w:val="clear" w:color="auto" w:fill="FFFFFF" w:themeFill="background1"/>
            <w:vAlign w:val="center"/>
          </w:tcPr>
          <w:p w14:paraId="2248DDD4" w14:textId="49ECE7CC" w:rsidR="00AC4829" w:rsidRPr="00650F2B" w:rsidRDefault="00FE3437" w:rsidP="00586A7E">
            <w:pPr>
              <w:spacing w:after="0"/>
              <w:rPr>
                <w:rFonts w:ascii="Arial" w:hAnsi="Arial" w:cs="Arial"/>
                <w:sz w:val="18"/>
              </w:rPr>
            </w:pPr>
            <w:r>
              <w:rPr>
                <w:rFonts w:ascii="Arial" w:hAnsi="Arial" w:cs="Arial"/>
                <w:sz w:val="18"/>
              </w:rPr>
              <w:t>2</w:t>
            </w:r>
          </w:p>
        </w:tc>
        <w:tc>
          <w:tcPr>
            <w:tcW w:w="2338" w:type="dxa"/>
            <w:shd w:val="clear" w:color="auto" w:fill="FFFFFF" w:themeFill="background1"/>
            <w:vAlign w:val="center"/>
          </w:tcPr>
          <w:p w14:paraId="6072C683" w14:textId="20855155" w:rsidR="00AC4829" w:rsidRPr="00650F2B" w:rsidRDefault="00FE3437" w:rsidP="00586A7E">
            <w:pPr>
              <w:spacing w:after="0"/>
              <w:rPr>
                <w:rFonts w:ascii="Arial" w:hAnsi="Arial" w:cs="Arial"/>
                <w:sz w:val="18"/>
              </w:rPr>
            </w:pPr>
            <w:r>
              <w:rPr>
                <w:rFonts w:ascii="Arial" w:hAnsi="Arial" w:cs="Arial"/>
                <w:sz w:val="18"/>
              </w:rPr>
              <w:t>2</w:t>
            </w:r>
          </w:p>
        </w:tc>
        <w:tc>
          <w:tcPr>
            <w:tcW w:w="2338" w:type="dxa"/>
            <w:vMerge/>
            <w:shd w:val="clear" w:color="auto" w:fill="F2F2F2" w:themeFill="background1" w:themeFillShade="F2"/>
            <w:vAlign w:val="center"/>
          </w:tcPr>
          <w:p w14:paraId="2E3667C8" w14:textId="77777777" w:rsidR="00AC4829" w:rsidRPr="00650F2B" w:rsidRDefault="00AC4829" w:rsidP="00586A7E">
            <w:pPr>
              <w:spacing w:after="0"/>
              <w:rPr>
                <w:rFonts w:ascii="Arial" w:hAnsi="Arial" w:cs="Arial"/>
                <w:sz w:val="18"/>
              </w:rPr>
            </w:pPr>
          </w:p>
        </w:tc>
      </w:tr>
      <w:tr w:rsidR="00AC4829" w:rsidRPr="00650F2B" w14:paraId="1EFDF9BE" w14:textId="77777777" w:rsidTr="00586A7E">
        <w:tc>
          <w:tcPr>
            <w:tcW w:w="2695" w:type="dxa"/>
            <w:shd w:val="clear" w:color="auto" w:fill="FFFFFF" w:themeFill="background1"/>
            <w:vAlign w:val="center"/>
          </w:tcPr>
          <w:p w14:paraId="427680CB" w14:textId="46CDAF64" w:rsidR="00AC4829" w:rsidRPr="00650F2B" w:rsidRDefault="00AC4829" w:rsidP="00586A7E">
            <w:pPr>
              <w:spacing w:after="0"/>
              <w:rPr>
                <w:rFonts w:ascii="Arial" w:hAnsi="Arial" w:cs="Arial"/>
                <w:sz w:val="18"/>
              </w:rPr>
            </w:pPr>
            <w:r>
              <w:rPr>
                <w:rFonts w:ascii="Arial" w:hAnsi="Arial" w:cs="Arial"/>
                <w:sz w:val="18"/>
              </w:rPr>
              <w:t>Utilization</w:t>
            </w:r>
          </w:p>
        </w:tc>
        <w:tc>
          <w:tcPr>
            <w:tcW w:w="1979" w:type="dxa"/>
            <w:shd w:val="clear" w:color="auto" w:fill="FFFFFF" w:themeFill="background1"/>
            <w:vAlign w:val="center"/>
          </w:tcPr>
          <w:p w14:paraId="5737C07D" w14:textId="3BA34724" w:rsidR="00AC4829" w:rsidRPr="00650F2B" w:rsidRDefault="00FE3437" w:rsidP="00586A7E">
            <w:pPr>
              <w:spacing w:after="0"/>
              <w:rPr>
                <w:rFonts w:ascii="Arial" w:hAnsi="Arial" w:cs="Arial"/>
                <w:sz w:val="18"/>
              </w:rPr>
            </w:pPr>
            <w:r>
              <w:rPr>
                <w:rFonts w:ascii="Arial" w:hAnsi="Arial" w:cs="Arial"/>
                <w:sz w:val="18"/>
              </w:rPr>
              <w:t>80%</w:t>
            </w:r>
          </w:p>
        </w:tc>
        <w:tc>
          <w:tcPr>
            <w:tcW w:w="2338" w:type="dxa"/>
            <w:shd w:val="clear" w:color="auto" w:fill="FFFFFF" w:themeFill="background1"/>
            <w:vAlign w:val="center"/>
          </w:tcPr>
          <w:p w14:paraId="10E065F6" w14:textId="70A8AA64" w:rsidR="00AC4829" w:rsidRPr="00650F2B" w:rsidRDefault="00FE3437" w:rsidP="00586A7E">
            <w:pPr>
              <w:spacing w:after="0"/>
              <w:rPr>
                <w:rFonts w:ascii="Arial" w:hAnsi="Arial" w:cs="Arial"/>
                <w:sz w:val="18"/>
              </w:rPr>
            </w:pPr>
            <w:r>
              <w:rPr>
                <w:rFonts w:ascii="Arial" w:hAnsi="Arial" w:cs="Arial"/>
                <w:sz w:val="18"/>
              </w:rPr>
              <w:t>80%</w:t>
            </w:r>
          </w:p>
        </w:tc>
        <w:tc>
          <w:tcPr>
            <w:tcW w:w="2338" w:type="dxa"/>
            <w:vMerge/>
            <w:shd w:val="clear" w:color="auto" w:fill="F2F2F2" w:themeFill="background1" w:themeFillShade="F2"/>
            <w:vAlign w:val="center"/>
          </w:tcPr>
          <w:p w14:paraId="0BB44D16" w14:textId="77777777" w:rsidR="00AC4829" w:rsidRPr="00650F2B" w:rsidRDefault="00AC4829" w:rsidP="00586A7E">
            <w:pPr>
              <w:spacing w:after="0"/>
              <w:rPr>
                <w:rFonts w:ascii="Arial" w:hAnsi="Arial" w:cs="Arial"/>
                <w:sz w:val="18"/>
              </w:rPr>
            </w:pPr>
          </w:p>
        </w:tc>
      </w:tr>
      <w:tr w:rsidR="008544A5" w:rsidRPr="00650F2B" w14:paraId="6B5427D6" w14:textId="77777777" w:rsidTr="00FE3437">
        <w:tc>
          <w:tcPr>
            <w:tcW w:w="2695" w:type="dxa"/>
            <w:shd w:val="clear" w:color="auto" w:fill="BFBFBF" w:themeFill="background1" w:themeFillShade="BF"/>
          </w:tcPr>
          <w:p w14:paraId="0DD35A19" w14:textId="77777777" w:rsidR="008544A5" w:rsidRPr="00650F2B" w:rsidRDefault="008544A5" w:rsidP="00586A7E">
            <w:pPr>
              <w:spacing w:after="0"/>
              <w:rPr>
                <w:rFonts w:ascii="Arial" w:hAnsi="Arial" w:cs="Arial"/>
                <w:sz w:val="18"/>
              </w:rPr>
            </w:pPr>
            <w:r w:rsidRPr="00650F2B">
              <w:rPr>
                <w:rFonts w:ascii="Arial" w:hAnsi="Arial" w:cs="Arial"/>
                <w:sz w:val="18"/>
              </w:rPr>
              <w:t>Hematology</w:t>
            </w:r>
          </w:p>
        </w:tc>
        <w:tc>
          <w:tcPr>
            <w:tcW w:w="1979" w:type="dxa"/>
            <w:shd w:val="clear" w:color="auto" w:fill="BFBFBF" w:themeFill="background1" w:themeFillShade="BF"/>
            <w:vAlign w:val="center"/>
          </w:tcPr>
          <w:p w14:paraId="00343BDD" w14:textId="354441A0" w:rsidR="008544A5" w:rsidRPr="00650F2B" w:rsidRDefault="00586A7E" w:rsidP="00586A7E">
            <w:pPr>
              <w:spacing w:after="0"/>
              <w:rPr>
                <w:rFonts w:ascii="Arial" w:hAnsi="Arial" w:cs="Arial"/>
                <w:sz w:val="18"/>
              </w:rPr>
            </w:pPr>
            <w:r>
              <w:rPr>
                <w:rFonts w:ascii="Arial" w:hAnsi="Arial" w:cs="Arial"/>
                <w:sz w:val="18"/>
              </w:rPr>
              <w:t>$</w:t>
            </w:r>
            <w:r w:rsidR="008544A5" w:rsidRPr="00650F2B">
              <w:rPr>
                <w:rFonts w:ascii="Arial" w:hAnsi="Arial" w:cs="Arial"/>
                <w:sz w:val="18"/>
              </w:rPr>
              <w:t>1</w:t>
            </w:r>
            <w:r>
              <w:rPr>
                <w:rFonts w:ascii="Arial" w:hAnsi="Arial" w:cs="Arial"/>
                <w:sz w:val="18"/>
              </w:rPr>
              <w:t>2</w:t>
            </w:r>
            <w:r w:rsidR="008544A5" w:rsidRPr="00650F2B">
              <w:rPr>
                <w:rFonts w:ascii="Arial" w:hAnsi="Arial" w:cs="Arial"/>
                <w:sz w:val="18"/>
              </w:rPr>
              <w:t>.1</w:t>
            </w:r>
          </w:p>
        </w:tc>
        <w:tc>
          <w:tcPr>
            <w:tcW w:w="2338" w:type="dxa"/>
            <w:shd w:val="clear" w:color="auto" w:fill="BFBFBF" w:themeFill="background1" w:themeFillShade="BF"/>
            <w:vAlign w:val="center"/>
          </w:tcPr>
          <w:p w14:paraId="6EE94B66" w14:textId="354505BD" w:rsidR="008544A5" w:rsidRPr="00650F2B" w:rsidRDefault="00586A7E" w:rsidP="00586A7E">
            <w:pPr>
              <w:spacing w:after="0"/>
              <w:rPr>
                <w:rFonts w:ascii="Arial" w:hAnsi="Arial" w:cs="Arial"/>
                <w:sz w:val="18"/>
              </w:rPr>
            </w:pPr>
            <w:r>
              <w:rPr>
                <w:rFonts w:ascii="Arial" w:hAnsi="Arial" w:cs="Arial"/>
                <w:sz w:val="18"/>
              </w:rPr>
              <w:t>$</w:t>
            </w:r>
            <w:r w:rsidR="008544A5" w:rsidRPr="00650F2B">
              <w:rPr>
                <w:rFonts w:ascii="Arial" w:hAnsi="Arial" w:cs="Arial"/>
                <w:sz w:val="18"/>
              </w:rPr>
              <w:t>2.</w:t>
            </w:r>
            <w:r>
              <w:rPr>
                <w:rFonts w:ascii="Arial" w:hAnsi="Arial" w:cs="Arial"/>
                <w:sz w:val="18"/>
              </w:rPr>
              <w:t>1</w:t>
            </w:r>
          </w:p>
        </w:tc>
        <w:tc>
          <w:tcPr>
            <w:tcW w:w="2338" w:type="dxa"/>
            <w:shd w:val="clear" w:color="auto" w:fill="BFBFBF" w:themeFill="background1" w:themeFillShade="BF"/>
            <w:vAlign w:val="center"/>
          </w:tcPr>
          <w:p w14:paraId="06FE7827" w14:textId="77777777" w:rsidR="008544A5" w:rsidRPr="00650F2B" w:rsidRDefault="008544A5" w:rsidP="00586A7E">
            <w:pPr>
              <w:spacing w:after="0"/>
              <w:rPr>
                <w:rFonts w:ascii="Arial" w:hAnsi="Arial" w:cs="Arial"/>
                <w:sz w:val="18"/>
              </w:rPr>
            </w:pPr>
          </w:p>
        </w:tc>
      </w:tr>
      <w:tr w:rsidR="00FE3437" w:rsidRPr="00650F2B" w14:paraId="008B63EE" w14:textId="77777777" w:rsidTr="00FE3437">
        <w:tc>
          <w:tcPr>
            <w:tcW w:w="2695" w:type="dxa"/>
            <w:shd w:val="clear" w:color="auto" w:fill="F2F2F2" w:themeFill="background1" w:themeFillShade="F2"/>
          </w:tcPr>
          <w:p w14:paraId="16893B60" w14:textId="75C7C3BA" w:rsidR="00FE3437" w:rsidRPr="00650F2B" w:rsidRDefault="00FE3437" w:rsidP="00586A7E">
            <w:pPr>
              <w:spacing w:after="0"/>
              <w:rPr>
                <w:rFonts w:ascii="Arial" w:hAnsi="Arial" w:cs="Arial"/>
                <w:sz w:val="18"/>
              </w:rPr>
            </w:pPr>
            <w:r w:rsidRPr="00650F2B">
              <w:rPr>
                <w:rFonts w:ascii="Arial" w:hAnsi="Arial" w:cs="Arial"/>
                <w:sz w:val="18"/>
              </w:rPr>
              <w:t>Unit cost</w:t>
            </w:r>
          </w:p>
        </w:tc>
        <w:tc>
          <w:tcPr>
            <w:tcW w:w="1979" w:type="dxa"/>
            <w:shd w:val="clear" w:color="auto" w:fill="F2F2F2" w:themeFill="background1" w:themeFillShade="F2"/>
            <w:vAlign w:val="center"/>
          </w:tcPr>
          <w:p w14:paraId="29B78474" w14:textId="041E829D" w:rsidR="00FE3437" w:rsidRPr="00650F2B" w:rsidRDefault="00586A7E" w:rsidP="00586A7E">
            <w:pPr>
              <w:spacing w:after="0"/>
              <w:rPr>
                <w:rFonts w:ascii="Arial" w:hAnsi="Arial" w:cs="Arial"/>
                <w:sz w:val="18"/>
              </w:rPr>
            </w:pPr>
            <w:r>
              <w:rPr>
                <w:rFonts w:ascii="Arial" w:hAnsi="Arial" w:cs="Arial"/>
                <w:sz w:val="18"/>
              </w:rPr>
              <w:t>$</w:t>
            </w:r>
            <w:r w:rsidR="00FE3437" w:rsidRPr="00650F2B">
              <w:rPr>
                <w:rFonts w:ascii="Arial" w:hAnsi="Arial" w:cs="Arial"/>
                <w:sz w:val="18"/>
              </w:rPr>
              <w:t>10.9</w:t>
            </w:r>
          </w:p>
        </w:tc>
        <w:tc>
          <w:tcPr>
            <w:tcW w:w="2338" w:type="dxa"/>
            <w:shd w:val="clear" w:color="auto" w:fill="F2F2F2" w:themeFill="background1" w:themeFillShade="F2"/>
            <w:vAlign w:val="center"/>
          </w:tcPr>
          <w:p w14:paraId="006120EC" w14:textId="68A385BD" w:rsidR="00FE3437" w:rsidRPr="00650F2B" w:rsidRDefault="00586A7E" w:rsidP="00586A7E">
            <w:pPr>
              <w:spacing w:after="0"/>
              <w:rPr>
                <w:rFonts w:ascii="Arial" w:hAnsi="Arial" w:cs="Arial"/>
                <w:sz w:val="18"/>
              </w:rPr>
            </w:pPr>
            <w:r>
              <w:rPr>
                <w:rFonts w:ascii="Arial" w:hAnsi="Arial" w:cs="Arial"/>
                <w:sz w:val="18"/>
              </w:rPr>
              <w:t>$</w:t>
            </w:r>
            <w:r w:rsidR="00FE3437" w:rsidRPr="00650F2B">
              <w:rPr>
                <w:rFonts w:ascii="Arial" w:hAnsi="Arial" w:cs="Arial"/>
                <w:sz w:val="18"/>
              </w:rPr>
              <w:t>10.9</w:t>
            </w:r>
          </w:p>
        </w:tc>
        <w:tc>
          <w:tcPr>
            <w:tcW w:w="2338" w:type="dxa"/>
            <w:vMerge w:val="restart"/>
            <w:shd w:val="clear" w:color="auto" w:fill="FBE4D5" w:themeFill="accent2" w:themeFillTint="33"/>
            <w:vAlign w:val="center"/>
          </w:tcPr>
          <w:p w14:paraId="2938BBDA" w14:textId="63E20DD6" w:rsidR="00FE3437" w:rsidRPr="00650F2B" w:rsidRDefault="00FE3437" w:rsidP="00586A7E">
            <w:pPr>
              <w:spacing w:after="0"/>
              <w:rPr>
                <w:rFonts w:ascii="Arial" w:hAnsi="Arial" w:cs="Arial"/>
                <w:sz w:val="18"/>
              </w:rPr>
            </w:pPr>
            <w:r w:rsidRPr="00650F2B">
              <w:rPr>
                <w:rFonts w:ascii="Arial" w:hAnsi="Arial" w:cs="Arial"/>
                <w:sz w:val="18"/>
              </w:rPr>
              <w:t>-</w:t>
            </w:r>
            <w:r w:rsidR="00586A7E">
              <w:rPr>
                <w:rFonts w:ascii="Arial" w:hAnsi="Arial" w:cs="Arial"/>
                <w:sz w:val="18"/>
              </w:rPr>
              <w:t>$</w:t>
            </w:r>
            <w:r w:rsidRPr="00650F2B">
              <w:rPr>
                <w:rFonts w:ascii="Arial" w:hAnsi="Arial" w:cs="Arial"/>
                <w:sz w:val="18"/>
              </w:rPr>
              <w:t>1</w:t>
            </w:r>
            <w:r w:rsidR="00586A7E">
              <w:rPr>
                <w:rFonts w:ascii="Arial" w:hAnsi="Arial" w:cs="Arial"/>
                <w:sz w:val="18"/>
              </w:rPr>
              <w:t>0.0</w:t>
            </w:r>
          </w:p>
        </w:tc>
      </w:tr>
      <w:tr w:rsidR="00FE3437" w:rsidRPr="00650F2B" w14:paraId="6874375A" w14:textId="77777777" w:rsidTr="00FE3437">
        <w:tc>
          <w:tcPr>
            <w:tcW w:w="2695" w:type="dxa"/>
            <w:shd w:val="clear" w:color="auto" w:fill="F2F2F2" w:themeFill="background1" w:themeFillShade="F2"/>
          </w:tcPr>
          <w:p w14:paraId="0EE76349" w14:textId="2C0200ED" w:rsidR="00FE3437" w:rsidRPr="00650F2B" w:rsidRDefault="00FE3437" w:rsidP="00586A7E">
            <w:pPr>
              <w:spacing w:after="0"/>
              <w:rPr>
                <w:rFonts w:ascii="Arial" w:hAnsi="Arial" w:cs="Arial"/>
                <w:sz w:val="18"/>
              </w:rPr>
            </w:pPr>
            <w:r>
              <w:rPr>
                <w:rFonts w:ascii="Arial" w:hAnsi="Arial" w:cs="Arial"/>
                <w:sz w:val="18"/>
              </w:rPr>
              <w:t>Stable patients</w:t>
            </w:r>
            <w:r w:rsidR="00586A7E">
              <w:rPr>
                <w:rFonts w:ascii="Arial" w:hAnsi="Arial" w:cs="Arial"/>
                <w:sz w:val="18"/>
              </w:rPr>
              <w:t xml:space="preserve"> (70%)</w:t>
            </w:r>
          </w:p>
        </w:tc>
        <w:tc>
          <w:tcPr>
            <w:tcW w:w="1979" w:type="dxa"/>
            <w:shd w:val="clear" w:color="auto" w:fill="F2F2F2" w:themeFill="background1" w:themeFillShade="F2"/>
            <w:vAlign w:val="center"/>
          </w:tcPr>
          <w:p w14:paraId="5DD89FB7"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5A741229"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31E99134" w14:textId="77777777" w:rsidR="00FE3437" w:rsidRPr="00650F2B" w:rsidRDefault="00FE3437" w:rsidP="00586A7E">
            <w:pPr>
              <w:spacing w:after="0"/>
              <w:rPr>
                <w:rFonts w:ascii="Arial" w:hAnsi="Arial" w:cs="Arial"/>
                <w:sz w:val="18"/>
              </w:rPr>
            </w:pPr>
          </w:p>
        </w:tc>
      </w:tr>
      <w:tr w:rsidR="00FE3437" w:rsidRPr="00650F2B" w14:paraId="6FE60675" w14:textId="77777777" w:rsidTr="00FE3437">
        <w:tc>
          <w:tcPr>
            <w:tcW w:w="2695" w:type="dxa"/>
            <w:shd w:val="clear" w:color="auto" w:fill="FFFFFF" w:themeFill="background1"/>
          </w:tcPr>
          <w:p w14:paraId="7E855921" w14:textId="2B9297CF" w:rsidR="00FE3437" w:rsidRPr="00650F2B" w:rsidRDefault="00FE3437" w:rsidP="00586A7E">
            <w:pPr>
              <w:spacing w:after="0"/>
              <w:rPr>
                <w:rFonts w:ascii="Arial" w:hAnsi="Arial" w:cs="Arial"/>
                <w:sz w:val="18"/>
              </w:rPr>
            </w:pPr>
            <w:r w:rsidRPr="00650F2B">
              <w:rPr>
                <w:rFonts w:ascii="Arial" w:hAnsi="Arial" w:cs="Arial"/>
                <w:sz w:val="18"/>
              </w:rPr>
              <w:t># of tests</w:t>
            </w:r>
          </w:p>
        </w:tc>
        <w:tc>
          <w:tcPr>
            <w:tcW w:w="1979" w:type="dxa"/>
            <w:shd w:val="clear" w:color="auto" w:fill="FFFFFF" w:themeFill="background1"/>
            <w:vAlign w:val="center"/>
          </w:tcPr>
          <w:p w14:paraId="5CB9459E" w14:textId="77777777" w:rsidR="00FE3437" w:rsidRPr="00650F2B" w:rsidRDefault="00FE3437" w:rsidP="00586A7E">
            <w:pPr>
              <w:spacing w:after="0"/>
              <w:rPr>
                <w:rFonts w:ascii="Arial" w:hAnsi="Arial" w:cs="Arial"/>
                <w:sz w:val="18"/>
              </w:rPr>
            </w:pPr>
            <w:r w:rsidRPr="00650F2B">
              <w:rPr>
                <w:rFonts w:ascii="Arial" w:hAnsi="Arial" w:cs="Arial"/>
                <w:sz w:val="18"/>
              </w:rPr>
              <w:t>2</w:t>
            </w:r>
          </w:p>
        </w:tc>
        <w:tc>
          <w:tcPr>
            <w:tcW w:w="2338" w:type="dxa"/>
            <w:shd w:val="clear" w:color="auto" w:fill="FFFFFF" w:themeFill="background1"/>
            <w:vAlign w:val="center"/>
          </w:tcPr>
          <w:p w14:paraId="4AB0A2BA" w14:textId="77777777" w:rsidR="00FE3437" w:rsidRPr="00650F2B" w:rsidRDefault="00FE3437" w:rsidP="00586A7E">
            <w:pPr>
              <w:spacing w:after="0"/>
              <w:rPr>
                <w:rFonts w:ascii="Arial" w:hAnsi="Arial" w:cs="Arial"/>
                <w:sz w:val="18"/>
              </w:rPr>
            </w:pPr>
            <w:r w:rsidRPr="00650F2B">
              <w:rPr>
                <w:rFonts w:ascii="Arial" w:hAnsi="Arial" w:cs="Arial"/>
                <w:sz w:val="18"/>
              </w:rPr>
              <w:t>--</w:t>
            </w:r>
          </w:p>
        </w:tc>
        <w:tc>
          <w:tcPr>
            <w:tcW w:w="2338" w:type="dxa"/>
            <w:vMerge/>
            <w:shd w:val="clear" w:color="auto" w:fill="FBE4D5" w:themeFill="accent2" w:themeFillTint="33"/>
            <w:vAlign w:val="center"/>
          </w:tcPr>
          <w:p w14:paraId="755F9BB9" w14:textId="77777777" w:rsidR="00FE3437" w:rsidRPr="00650F2B" w:rsidRDefault="00FE3437" w:rsidP="00586A7E">
            <w:pPr>
              <w:spacing w:after="0"/>
              <w:rPr>
                <w:rFonts w:ascii="Arial" w:hAnsi="Arial" w:cs="Arial"/>
                <w:sz w:val="18"/>
              </w:rPr>
            </w:pPr>
          </w:p>
        </w:tc>
      </w:tr>
      <w:tr w:rsidR="00FE3437" w:rsidRPr="00650F2B" w14:paraId="73673637" w14:textId="77777777" w:rsidTr="00FE3437">
        <w:tc>
          <w:tcPr>
            <w:tcW w:w="2695" w:type="dxa"/>
            <w:shd w:val="clear" w:color="auto" w:fill="FFFFFF" w:themeFill="background1"/>
          </w:tcPr>
          <w:p w14:paraId="6692B940" w14:textId="14785125" w:rsidR="00FE3437" w:rsidRPr="00650F2B"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25D9CB1B" w14:textId="77777777" w:rsidR="00FE3437" w:rsidRPr="00650F2B" w:rsidRDefault="00FE3437" w:rsidP="00586A7E">
            <w:pPr>
              <w:spacing w:after="0"/>
              <w:rPr>
                <w:rFonts w:ascii="Arial" w:hAnsi="Arial" w:cs="Arial"/>
                <w:sz w:val="18"/>
              </w:rPr>
            </w:pPr>
            <w:r w:rsidRPr="00650F2B">
              <w:rPr>
                <w:rFonts w:ascii="Arial" w:hAnsi="Arial" w:cs="Arial"/>
                <w:sz w:val="18"/>
              </w:rPr>
              <w:t>60%</w:t>
            </w:r>
          </w:p>
        </w:tc>
        <w:tc>
          <w:tcPr>
            <w:tcW w:w="2338" w:type="dxa"/>
            <w:shd w:val="clear" w:color="auto" w:fill="FFFFFF" w:themeFill="background1"/>
            <w:vAlign w:val="center"/>
          </w:tcPr>
          <w:p w14:paraId="2F519224" w14:textId="77777777" w:rsidR="00FE3437" w:rsidRPr="00650F2B" w:rsidRDefault="00FE3437" w:rsidP="00586A7E">
            <w:pPr>
              <w:spacing w:after="0"/>
              <w:rPr>
                <w:rFonts w:ascii="Arial" w:hAnsi="Arial" w:cs="Arial"/>
                <w:sz w:val="18"/>
              </w:rPr>
            </w:pPr>
            <w:r w:rsidRPr="00650F2B">
              <w:rPr>
                <w:rFonts w:ascii="Arial" w:hAnsi="Arial" w:cs="Arial"/>
                <w:sz w:val="18"/>
              </w:rPr>
              <w:t>60%</w:t>
            </w:r>
          </w:p>
        </w:tc>
        <w:tc>
          <w:tcPr>
            <w:tcW w:w="2338" w:type="dxa"/>
            <w:vMerge/>
            <w:shd w:val="clear" w:color="auto" w:fill="FBE4D5" w:themeFill="accent2" w:themeFillTint="33"/>
            <w:vAlign w:val="center"/>
          </w:tcPr>
          <w:p w14:paraId="676045EB" w14:textId="77777777" w:rsidR="00FE3437" w:rsidRPr="00650F2B" w:rsidRDefault="00FE3437" w:rsidP="00586A7E">
            <w:pPr>
              <w:spacing w:after="0"/>
              <w:rPr>
                <w:rFonts w:ascii="Arial" w:hAnsi="Arial" w:cs="Arial"/>
                <w:sz w:val="18"/>
              </w:rPr>
            </w:pPr>
          </w:p>
        </w:tc>
      </w:tr>
      <w:tr w:rsidR="00FE3437" w:rsidRPr="00650F2B" w14:paraId="51C78788" w14:textId="77777777" w:rsidTr="00FE3437">
        <w:tc>
          <w:tcPr>
            <w:tcW w:w="2695" w:type="dxa"/>
            <w:shd w:val="clear" w:color="auto" w:fill="F2F2F2" w:themeFill="background1" w:themeFillShade="F2"/>
          </w:tcPr>
          <w:p w14:paraId="788EF40E" w14:textId="0A427AC6" w:rsidR="00FE3437" w:rsidRPr="00650F2B" w:rsidRDefault="00FE3437" w:rsidP="00586A7E">
            <w:pPr>
              <w:spacing w:after="0"/>
              <w:rPr>
                <w:rFonts w:ascii="Arial" w:hAnsi="Arial" w:cs="Arial"/>
                <w:sz w:val="18"/>
              </w:rPr>
            </w:pPr>
            <w:r>
              <w:rPr>
                <w:rFonts w:ascii="Arial" w:hAnsi="Arial" w:cs="Arial"/>
                <w:sz w:val="18"/>
              </w:rPr>
              <w:t>Unstable patients</w:t>
            </w:r>
            <w:r w:rsidR="00586A7E">
              <w:rPr>
                <w:rFonts w:ascii="Arial" w:hAnsi="Arial" w:cs="Arial"/>
                <w:sz w:val="18"/>
              </w:rPr>
              <w:t xml:space="preserve"> (15%)</w:t>
            </w:r>
          </w:p>
        </w:tc>
        <w:tc>
          <w:tcPr>
            <w:tcW w:w="1979" w:type="dxa"/>
            <w:shd w:val="clear" w:color="auto" w:fill="F2F2F2" w:themeFill="background1" w:themeFillShade="F2"/>
            <w:vAlign w:val="center"/>
          </w:tcPr>
          <w:p w14:paraId="1F35BD24"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6BA5D1E3"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5371DA10" w14:textId="77777777" w:rsidR="00FE3437" w:rsidRPr="00650F2B" w:rsidRDefault="00FE3437" w:rsidP="00586A7E">
            <w:pPr>
              <w:spacing w:after="0"/>
              <w:rPr>
                <w:rFonts w:ascii="Arial" w:hAnsi="Arial" w:cs="Arial"/>
                <w:sz w:val="18"/>
              </w:rPr>
            </w:pPr>
          </w:p>
        </w:tc>
      </w:tr>
      <w:tr w:rsidR="00FE3437" w:rsidRPr="00650F2B" w14:paraId="6D9E6138" w14:textId="77777777" w:rsidTr="00FE3437">
        <w:tc>
          <w:tcPr>
            <w:tcW w:w="2695" w:type="dxa"/>
            <w:shd w:val="clear" w:color="auto" w:fill="FFFFFF" w:themeFill="background1"/>
          </w:tcPr>
          <w:p w14:paraId="5997C0C2" w14:textId="26823262" w:rsidR="00FE3437" w:rsidRPr="00650F2B" w:rsidRDefault="00FE3437" w:rsidP="00586A7E">
            <w:pPr>
              <w:spacing w:after="0"/>
              <w:rPr>
                <w:rFonts w:ascii="Arial" w:hAnsi="Arial" w:cs="Arial"/>
                <w:sz w:val="18"/>
              </w:rPr>
            </w:pPr>
            <w:r w:rsidRPr="00650F2B">
              <w:rPr>
                <w:rFonts w:ascii="Arial" w:hAnsi="Arial" w:cs="Arial"/>
                <w:sz w:val="18"/>
              </w:rPr>
              <w:t># tests</w:t>
            </w:r>
          </w:p>
        </w:tc>
        <w:tc>
          <w:tcPr>
            <w:tcW w:w="1979" w:type="dxa"/>
            <w:shd w:val="clear" w:color="auto" w:fill="FFFFFF" w:themeFill="background1"/>
            <w:vAlign w:val="center"/>
          </w:tcPr>
          <w:p w14:paraId="2DCAB828" w14:textId="77777777" w:rsidR="00FE3437" w:rsidRPr="00650F2B" w:rsidRDefault="00FE3437" w:rsidP="00586A7E">
            <w:pPr>
              <w:spacing w:after="0"/>
              <w:rPr>
                <w:rFonts w:ascii="Arial" w:hAnsi="Arial" w:cs="Arial"/>
                <w:sz w:val="18"/>
              </w:rPr>
            </w:pPr>
            <w:r w:rsidRPr="00650F2B">
              <w:rPr>
                <w:rFonts w:ascii="Arial" w:hAnsi="Arial" w:cs="Arial"/>
                <w:sz w:val="18"/>
              </w:rPr>
              <w:t>2</w:t>
            </w:r>
          </w:p>
        </w:tc>
        <w:tc>
          <w:tcPr>
            <w:tcW w:w="2338" w:type="dxa"/>
            <w:shd w:val="clear" w:color="auto" w:fill="FFFFFF" w:themeFill="background1"/>
            <w:vAlign w:val="center"/>
          </w:tcPr>
          <w:p w14:paraId="55079CAA" w14:textId="77777777" w:rsidR="00FE3437" w:rsidRPr="00650F2B" w:rsidRDefault="00FE3437" w:rsidP="00586A7E">
            <w:pPr>
              <w:spacing w:after="0"/>
              <w:rPr>
                <w:rFonts w:ascii="Arial" w:hAnsi="Arial" w:cs="Arial"/>
                <w:sz w:val="18"/>
              </w:rPr>
            </w:pPr>
            <w:r w:rsidRPr="00650F2B">
              <w:rPr>
                <w:rFonts w:ascii="Arial" w:hAnsi="Arial" w:cs="Arial"/>
                <w:sz w:val="18"/>
              </w:rPr>
              <w:t>1</w:t>
            </w:r>
          </w:p>
        </w:tc>
        <w:tc>
          <w:tcPr>
            <w:tcW w:w="2338" w:type="dxa"/>
            <w:vMerge/>
            <w:shd w:val="clear" w:color="auto" w:fill="FBE4D5" w:themeFill="accent2" w:themeFillTint="33"/>
            <w:vAlign w:val="center"/>
          </w:tcPr>
          <w:p w14:paraId="20120033" w14:textId="77777777" w:rsidR="00FE3437" w:rsidRPr="00650F2B" w:rsidRDefault="00FE3437" w:rsidP="00586A7E">
            <w:pPr>
              <w:spacing w:after="0"/>
              <w:rPr>
                <w:rFonts w:ascii="Arial" w:hAnsi="Arial" w:cs="Arial"/>
                <w:sz w:val="18"/>
              </w:rPr>
            </w:pPr>
          </w:p>
        </w:tc>
      </w:tr>
      <w:tr w:rsidR="00FE3437" w:rsidRPr="00650F2B" w14:paraId="6DF9E962" w14:textId="77777777" w:rsidTr="00FE3437">
        <w:tc>
          <w:tcPr>
            <w:tcW w:w="2695" w:type="dxa"/>
            <w:shd w:val="clear" w:color="auto" w:fill="FFFFFF" w:themeFill="background1"/>
          </w:tcPr>
          <w:p w14:paraId="70048020" w14:textId="48B95309" w:rsidR="00FE3437" w:rsidRPr="00650F2B"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77B44348" w14:textId="26487930" w:rsidR="00FE3437" w:rsidRPr="00650F2B" w:rsidRDefault="00586A7E" w:rsidP="00586A7E">
            <w:pPr>
              <w:spacing w:after="0"/>
              <w:rPr>
                <w:rFonts w:ascii="Arial" w:hAnsi="Arial" w:cs="Arial"/>
                <w:sz w:val="18"/>
              </w:rPr>
            </w:pPr>
            <w:r>
              <w:rPr>
                <w:rFonts w:ascii="Arial" w:hAnsi="Arial" w:cs="Arial"/>
                <w:sz w:val="18"/>
              </w:rPr>
              <w:t>53</w:t>
            </w:r>
            <w:r w:rsidR="00FE3437" w:rsidRPr="00650F2B">
              <w:rPr>
                <w:rFonts w:ascii="Arial" w:hAnsi="Arial" w:cs="Arial"/>
                <w:sz w:val="18"/>
              </w:rPr>
              <w:t>%</w:t>
            </w:r>
          </w:p>
        </w:tc>
        <w:tc>
          <w:tcPr>
            <w:tcW w:w="2338" w:type="dxa"/>
            <w:shd w:val="clear" w:color="auto" w:fill="FFFFFF" w:themeFill="background1"/>
            <w:vAlign w:val="center"/>
          </w:tcPr>
          <w:p w14:paraId="59862481" w14:textId="6D5471AF" w:rsidR="00FE3437" w:rsidRPr="00650F2B" w:rsidRDefault="00586A7E" w:rsidP="00586A7E">
            <w:pPr>
              <w:spacing w:after="0"/>
              <w:rPr>
                <w:rFonts w:ascii="Arial" w:hAnsi="Arial" w:cs="Arial"/>
                <w:sz w:val="18"/>
              </w:rPr>
            </w:pPr>
            <w:r>
              <w:rPr>
                <w:rFonts w:ascii="Arial" w:hAnsi="Arial" w:cs="Arial"/>
                <w:sz w:val="18"/>
              </w:rPr>
              <w:t>53</w:t>
            </w:r>
            <w:r w:rsidR="00FE3437" w:rsidRPr="00650F2B">
              <w:rPr>
                <w:rFonts w:ascii="Arial" w:hAnsi="Arial" w:cs="Arial"/>
                <w:sz w:val="18"/>
              </w:rPr>
              <w:t>%</w:t>
            </w:r>
          </w:p>
        </w:tc>
        <w:tc>
          <w:tcPr>
            <w:tcW w:w="2338" w:type="dxa"/>
            <w:vMerge/>
            <w:shd w:val="clear" w:color="auto" w:fill="FBE4D5" w:themeFill="accent2" w:themeFillTint="33"/>
            <w:vAlign w:val="center"/>
          </w:tcPr>
          <w:p w14:paraId="0A3352BE" w14:textId="77777777" w:rsidR="00FE3437" w:rsidRPr="00650F2B" w:rsidRDefault="00FE3437" w:rsidP="00586A7E">
            <w:pPr>
              <w:spacing w:after="0"/>
              <w:rPr>
                <w:rFonts w:ascii="Arial" w:hAnsi="Arial" w:cs="Arial"/>
                <w:sz w:val="18"/>
              </w:rPr>
            </w:pPr>
          </w:p>
        </w:tc>
      </w:tr>
      <w:tr w:rsidR="00FE3437" w:rsidRPr="00650F2B" w14:paraId="3832F632" w14:textId="77777777" w:rsidTr="00FE3437">
        <w:tc>
          <w:tcPr>
            <w:tcW w:w="2695" w:type="dxa"/>
            <w:shd w:val="clear" w:color="auto" w:fill="F2F2F2" w:themeFill="background1" w:themeFillShade="F2"/>
          </w:tcPr>
          <w:p w14:paraId="33E38B2F" w14:textId="24435A4B" w:rsidR="00FE3437" w:rsidRPr="00650F2B" w:rsidRDefault="00FE3437" w:rsidP="00586A7E">
            <w:pPr>
              <w:spacing w:after="0"/>
              <w:rPr>
                <w:rFonts w:ascii="Arial" w:hAnsi="Arial" w:cs="Arial"/>
                <w:sz w:val="18"/>
              </w:rPr>
            </w:pPr>
            <w:r>
              <w:rPr>
                <w:rFonts w:ascii="Arial" w:hAnsi="Arial" w:cs="Arial"/>
                <w:sz w:val="18"/>
              </w:rPr>
              <w:t>New patients</w:t>
            </w:r>
            <w:r w:rsidR="00586A7E">
              <w:rPr>
                <w:rFonts w:ascii="Arial" w:hAnsi="Arial" w:cs="Arial"/>
                <w:sz w:val="18"/>
              </w:rPr>
              <w:t xml:space="preserve"> (15%)</w:t>
            </w:r>
          </w:p>
        </w:tc>
        <w:tc>
          <w:tcPr>
            <w:tcW w:w="1979" w:type="dxa"/>
            <w:shd w:val="clear" w:color="auto" w:fill="F2F2F2" w:themeFill="background1" w:themeFillShade="F2"/>
            <w:vAlign w:val="center"/>
          </w:tcPr>
          <w:p w14:paraId="3B5F4EDC"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52611E05"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72C98652" w14:textId="77777777" w:rsidR="00FE3437" w:rsidRPr="00650F2B" w:rsidRDefault="00FE3437" w:rsidP="00586A7E">
            <w:pPr>
              <w:spacing w:after="0"/>
              <w:rPr>
                <w:rFonts w:ascii="Arial" w:hAnsi="Arial" w:cs="Arial"/>
                <w:sz w:val="18"/>
              </w:rPr>
            </w:pPr>
          </w:p>
        </w:tc>
      </w:tr>
      <w:tr w:rsidR="00FE3437" w:rsidRPr="00650F2B" w14:paraId="42D2B782" w14:textId="77777777" w:rsidTr="00FE3437">
        <w:tc>
          <w:tcPr>
            <w:tcW w:w="2695" w:type="dxa"/>
            <w:shd w:val="clear" w:color="auto" w:fill="FFFFFF" w:themeFill="background1"/>
          </w:tcPr>
          <w:p w14:paraId="72632136" w14:textId="2209789F" w:rsidR="00FE3437" w:rsidRPr="00650F2B" w:rsidRDefault="00FE3437" w:rsidP="00586A7E">
            <w:pPr>
              <w:spacing w:after="0"/>
              <w:rPr>
                <w:rFonts w:ascii="Arial" w:hAnsi="Arial" w:cs="Arial"/>
                <w:sz w:val="18"/>
              </w:rPr>
            </w:pPr>
            <w:r>
              <w:rPr>
                <w:rFonts w:ascii="Arial" w:hAnsi="Arial" w:cs="Arial"/>
                <w:sz w:val="18"/>
              </w:rPr>
              <w:t># tests</w:t>
            </w:r>
          </w:p>
        </w:tc>
        <w:tc>
          <w:tcPr>
            <w:tcW w:w="1979" w:type="dxa"/>
            <w:shd w:val="clear" w:color="auto" w:fill="FFFFFF" w:themeFill="background1"/>
            <w:vAlign w:val="center"/>
          </w:tcPr>
          <w:p w14:paraId="5FFE1292" w14:textId="3D4B0A77" w:rsidR="00FE3437" w:rsidRPr="00650F2B" w:rsidRDefault="00586A7E" w:rsidP="00586A7E">
            <w:pPr>
              <w:spacing w:after="0"/>
              <w:rPr>
                <w:rFonts w:ascii="Arial" w:hAnsi="Arial" w:cs="Arial"/>
                <w:sz w:val="18"/>
              </w:rPr>
            </w:pPr>
            <w:r>
              <w:rPr>
                <w:rFonts w:ascii="Arial" w:hAnsi="Arial" w:cs="Arial"/>
                <w:sz w:val="18"/>
              </w:rPr>
              <w:t>1</w:t>
            </w:r>
          </w:p>
        </w:tc>
        <w:tc>
          <w:tcPr>
            <w:tcW w:w="2338" w:type="dxa"/>
            <w:shd w:val="clear" w:color="auto" w:fill="FFFFFF" w:themeFill="background1"/>
            <w:vAlign w:val="center"/>
          </w:tcPr>
          <w:p w14:paraId="311B51EB" w14:textId="649BBB0E" w:rsidR="00FE3437" w:rsidRPr="00650F2B" w:rsidRDefault="00FE3437" w:rsidP="00586A7E">
            <w:pPr>
              <w:spacing w:after="0"/>
              <w:rPr>
                <w:rFonts w:ascii="Arial" w:hAnsi="Arial" w:cs="Arial"/>
                <w:sz w:val="18"/>
              </w:rPr>
            </w:pPr>
            <w:r>
              <w:rPr>
                <w:rFonts w:ascii="Arial" w:hAnsi="Arial" w:cs="Arial"/>
                <w:sz w:val="18"/>
              </w:rPr>
              <w:t>1</w:t>
            </w:r>
          </w:p>
        </w:tc>
        <w:tc>
          <w:tcPr>
            <w:tcW w:w="2338" w:type="dxa"/>
            <w:vMerge/>
            <w:shd w:val="clear" w:color="auto" w:fill="FBE4D5" w:themeFill="accent2" w:themeFillTint="33"/>
            <w:vAlign w:val="center"/>
          </w:tcPr>
          <w:p w14:paraId="002266E9" w14:textId="77777777" w:rsidR="00FE3437" w:rsidRPr="00650F2B" w:rsidRDefault="00FE3437" w:rsidP="00586A7E">
            <w:pPr>
              <w:spacing w:after="0"/>
              <w:rPr>
                <w:rFonts w:ascii="Arial" w:hAnsi="Arial" w:cs="Arial"/>
                <w:sz w:val="18"/>
              </w:rPr>
            </w:pPr>
          </w:p>
        </w:tc>
      </w:tr>
      <w:tr w:rsidR="00FE3437" w:rsidRPr="00650F2B" w14:paraId="526BF616" w14:textId="77777777" w:rsidTr="00FE3437">
        <w:tc>
          <w:tcPr>
            <w:tcW w:w="2695" w:type="dxa"/>
            <w:shd w:val="clear" w:color="auto" w:fill="FFFFFF" w:themeFill="background1"/>
          </w:tcPr>
          <w:p w14:paraId="1C58A4C5" w14:textId="6065436D" w:rsidR="00FE3437" w:rsidRPr="00650F2B" w:rsidRDefault="00FE3437" w:rsidP="00586A7E">
            <w:pPr>
              <w:spacing w:after="0"/>
              <w:rPr>
                <w:rFonts w:ascii="Arial" w:hAnsi="Arial" w:cs="Arial"/>
                <w:sz w:val="18"/>
              </w:rPr>
            </w:pPr>
            <w:r>
              <w:rPr>
                <w:rFonts w:ascii="Arial" w:hAnsi="Arial" w:cs="Arial"/>
                <w:sz w:val="18"/>
              </w:rPr>
              <w:t>Utilization</w:t>
            </w:r>
          </w:p>
        </w:tc>
        <w:tc>
          <w:tcPr>
            <w:tcW w:w="1979" w:type="dxa"/>
            <w:shd w:val="clear" w:color="auto" w:fill="FFFFFF" w:themeFill="background1"/>
            <w:vAlign w:val="center"/>
          </w:tcPr>
          <w:p w14:paraId="0FB5DF41" w14:textId="4E5BE99D" w:rsidR="00FE3437" w:rsidRPr="00650F2B" w:rsidRDefault="00FE3437" w:rsidP="00586A7E">
            <w:pPr>
              <w:spacing w:after="0"/>
              <w:rPr>
                <w:rFonts w:ascii="Arial" w:hAnsi="Arial" w:cs="Arial"/>
                <w:sz w:val="18"/>
              </w:rPr>
            </w:pPr>
            <w:r>
              <w:rPr>
                <w:rFonts w:ascii="Arial" w:hAnsi="Arial" w:cs="Arial"/>
                <w:sz w:val="18"/>
              </w:rPr>
              <w:t>72%</w:t>
            </w:r>
          </w:p>
        </w:tc>
        <w:tc>
          <w:tcPr>
            <w:tcW w:w="2338" w:type="dxa"/>
            <w:shd w:val="clear" w:color="auto" w:fill="FFFFFF" w:themeFill="background1"/>
            <w:vAlign w:val="center"/>
          </w:tcPr>
          <w:p w14:paraId="4F42713E" w14:textId="6ECDB4BD" w:rsidR="00FE3437" w:rsidRPr="00650F2B" w:rsidRDefault="00FE3437" w:rsidP="00586A7E">
            <w:pPr>
              <w:spacing w:after="0"/>
              <w:rPr>
                <w:rFonts w:ascii="Arial" w:hAnsi="Arial" w:cs="Arial"/>
                <w:sz w:val="18"/>
              </w:rPr>
            </w:pPr>
            <w:r>
              <w:rPr>
                <w:rFonts w:ascii="Arial" w:hAnsi="Arial" w:cs="Arial"/>
                <w:sz w:val="18"/>
              </w:rPr>
              <w:t>72%</w:t>
            </w:r>
          </w:p>
        </w:tc>
        <w:tc>
          <w:tcPr>
            <w:tcW w:w="2338" w:type="dxa"/>
            <w:vMerge/>
            <w:shd w:val="clear" w:color="auto" w:fill="FBE4D5" w:themeFill="accent2" w:themeFillTint="33"/>
            <w:vAlign w:val="center"/>
          </w:tcPr>
          <w:p w14:paraId="42FF2CF1" w14:textId="77777777" w:rsidR="00FE3437" w:rsidRPr="00650F2B" w:rsidRDefault="00FE3437" w:rsidP="00586A7E">
            <w:pPr>
              <w:spacing w:after="0"/>
              <w:rPr>
                <w:rFonts w:ascii="Arial" w:hAnsi="Arial" w:cs="Arial"/>
                <w:sz w:val="18"/>
              </w:rPr>
            </w:pPr>
          </w:p>
        </w:tc>
      </w:tr>
      <w:tr w:rsidR="008544A5" w:rsidRPr="00650F2B" w14:paraId="4F2FBD14" w14:textId="77777777" w:rsidTr="00FE3437">
        <w:tc>
          <w:tcPr>
            <w:tcW w:w="2695" w:type="dxa"/>
            <w:shd w:val="clear" w:color="auto" w:fill="BFBFBF" w:themeFill="background1" w:themeFillShade="BF"/>
          </w:tcPr>
          <w:p w14:paraId="277B54CE" w14:textId="77777777" w:rsidR="008544A5" w:rsidRPr="00650F2B" w:rsidRDefault="008544A5" w:rsidP="00586A7E">
            <w:pPr>
              <w:spacing w:after="0"/>
              <w:rPr>
                <w:rFonts w:ascii="Arial" w:hAnsi="Arial" w:cs="Arial"/>
                <w:sz w:val="18"/>
              </w:rPr>
            </w:pPr>
            <w:r w:rsidRPr="00650F2B">
              <w:rPr>
                <w:rFonts w:ascii="Arial" w:hAnsi="Arial" w:cs="Arial"/>
                <w:sz w:val="18"/>
              </w:rPr>
              <w:t>Clinical chemistry</w:t>
            </w:r>
          </w:p>
        </w:tc>
        <w:tc>
          <w:tcPr>
            <w:tcW w:w="1979" w:type="dxa"/>
            <w:shd w:val="clear" w:color="auto" w:fill="BFBFBF" w:themeFill="background1" w:themeFillShade="BF"/>
            <w:vAlign w:val="center"/>
          </w:tcPr>
          <w:p w14:paraId="41713495" w14:textId="14117F17" w:rsidR="008544A5" w:rsidRPr="00650F2B" w:rsidRDefault="00586A7E" w:rsidP="00586A7E">
            <w:pPr>
              <w:spacing w:after="0"/>
              <w:rPr>
                <w:rFonts w:ascii="Arial" w:hAnsi="Arial" w:cs="Arial"/>
                <w:sz w:val="18"/>
              </w:rPr>
            </w:pPr>
            <w:r>
              <w:rPr>
                <w:rFonts w:ascii="Arial" w:hAnsi="Arial" w:cs="Arial"/>
                <w:sz w:val="18"/>
              </w:rPr>
              <w:t>$2.6</w:t>
            </w:r>
          </w:p>
        </w:tc>
        <w:tc>
          <w:tcPr>
            <w:tcW w:w="2338" w:type="dxa"/>
            <w:shd w:val="clear" w:color="auto" w:fill="BFBFBF" w:themeFill="background1" w:themeFillShade="BF"/>
            <w:vAlign w:val="center"/>
          </w:tcPr>
          <w:p w14:paraId="2EFB187D" w14:textId="7E454A40" w:rsidR="008544A5" w:rsidRPr="00650F2B" w:rsidRDefault="00586A7E" w:rsidP="00586A7E">
            <w:pPr>
              <w:spacing w:after="0"/>
              <w:rPr>
                <w:rFonts w:ascii="Arial" w:hAnsi="Arial" w:cs="Arial"/>
                <w:sz w:val="18"/>
              </w:rPr>
            </w:pPr>
            <w:r>
              <w:rPr>
                <w:rFonts w:ascii="Arial" w:hAnsi="Arial" w:cs="Arial"/>
                <w:sz w:val="18"/>
              </w:rPr>
              <w:t>$0.3</w:t>
            </w:r>
          </w:p>
        </w:tc>
        <w:tc>
          <w:tcPr>
            <w:tcW w:w="2338" w:type="dxa"/>
            <w:shd w:val="clear" w:color="auto" w:fill="BFBFBF" w:themeFill="background1" w:themeFillShade="BF"/>
            <w:vAlign w:val="center"/>
          </w:tcPr>
          <w:p w14:paraId="71E73D83" w14:textId="77777777" w:rsidR="008544A5" w:rsidRPr="00650F2B" w:rsidRDefault="008544A5" w:rsidP="00586A7E">
            <w:pPr>
              <w:spacing w:after="0"/>
              <w:rPr>
                <w:rFonts w:ascii="Arial" w:hAnsi="Arial" w:cs="Arial"/>
                <w:sz w:val="18"/>
              </w:rPr>
            </w:pPr>
          </w:p>
        </w:tc>
      </w:tr>
      <w:tr w:rsidR="00FE3437" w:rsidRPr="00650F2B" w14:paraId="41F4C6D7" w14:textId="77777777" w:rsidTr="00FE3437">
        <w:tc>
          <w:tcPr>
            <w:tcW w:w="2695" w:type="dxa"/>
            <w:shd w:val="clear" w:color="auto" w:fill="F2F2F2" w:themeFill="background1" w:themeFillShade="F2"/>
          </w:tcPr>
          <w:p w14:paraId="75759715" w14:textId="4DEC2FCE" w:rsidR="00FE3437" w:rsidRPr="00650F2B" w:rsidRDefault="00FE3437" w:rsidP="00586A7E">
            <w:pPr>
              <w:spacing w:after="0"/>
              <w:rPr>
                <w:rFonts w:ascii="Arial" w:hAnsi="Arial" w:cs="Arial"/>
                <w:sz w:val="18"/>
              </w:rPr>
            </w:pPr>
            <w:r w:rsidRPr="00650F2B">
              <w:rPr>
                <w:rFonts w:ascii="Arial" w:hAnsi="Arial" w:cs="Arial"/>
                <w:sz w:val="18"/>
              </w:rPr>
              <w:t>Unit cost</w:t>
            </w:r>
          </w:p>
        </w:tc>
        <w:tc>
          <w:tcPr>
            <w:tcW w:w="1979" w:type="dxa"/>
            <w:shd w:val="clear" w:color="auto" w:fill="F2F2F2" w:themeFill="background1" w:themeFillShade="F2"/>
            <w:vAlign w:val="center"/>
          </w:tcPr>
          <w:p w14:paraId="3B31F345" w14:textId="281B410C" w:rsidR="00FE3437" w:rsidRPr="00650F2B" w:rsidRDefault="00586A7E" w:rsidP="00586A7E">
            <w:pPr>
              <w:spacing w:after="0"/>
              <w:rPr>
                <w:rFonts w:ascii="Arial" w:hAnsi="Arial" w:cs="Arial"/>
                <w:sz w:val="18"/>
              </w:rPr>
            </w:pPr>
            <w:r>
              <w:rPr>
                <w:rFonts w:ascii="Arial" w:hAnsi="Arial" w:cs="Arial"/>
                <w:sz w:val="18"/>
              </w:rPr>
              <w:t>$</w:t>
            </w:r>
            <w:r w:rsidR="00FE3437" w:rsidRPr="00650F2B">
              <w:rPr>
                <w:rFonts w:ascii="Arial" w:hAnsi="Arial" w:cs="Arial"/>
                <w:sz w:val="18"/>
              </w:rPr>
              <w:t>3.</w:t>
            </w:r>
            <w:r>
              <w:rPr>
                <w:rFonts w:ascii="Arial" w:hAnsi="Arial" w:cs="Arial"/>
                <w:sz w:val="18"/>
              </w:rPr>
              <w:t>2</w:t>
            </w:r>
          </w:p>
        </w:tc>
        <w:tc>
          <w:tcPr>
            <w:tcW w:w="2338" w:type="dxa"/>
            <w:shd w:val="clear" w:color="auto" w:fill="F2F2F2" w:themeFill="background1" w:themeFillShade="F2"/>
            <w:vAlign w:val="center"/>
          </w:tcPr>
          <w:p w14:paraId="064E749D" w14:textId="0088DD80" w:rsidR="00FE3437" w:rsidRPr="00650F2B" w:rsidRDefault="00586A7E" w:rsidP="00586A7E">
            <w:pPr>
              <w:spacing w:after="0"/>
              <w:rPr>
                <w:rFonts w:ascii="Arial" w:hAnsi="Arial" w:cs="Arial"/>
                <w:sz w:val="18"/>
              </w:rPr>
            </w:pPr>
            <w:r>
              <w:rPr>
                <w:rFonts w:ascii="Arial" w:hAnsi="Arial" w:cs="Arial"/>
                <w:sz w:val="18"/>
              </w:rPr>
              <w:t>$</w:t>
            </w:r>
            <w:r w:rsidR="00FE3437" w:rsidRPr="00650F2B">
              <w:rPr>
                <w:rFonts w:ascii="Arial" w:hAnsi="Arial" w:cs="Arial"/>
                <w:sz w:val="18"/>
              </w:rPr>
              <w:t>3.</w:t>
            </w:r>
            <w:r>
              <w:rPr>
                <w:rFonts w:ascii="Arial" w:hAnsi="Arial" w:cs="Arial"/>
                <w:sz w:val="18"/>
              </w:rPr>
              <w:t>2</w:t>
            </w:r>
          </w:p>
        </w:tc>
        <w:tc>
          <w:tcPr>
            <w:tcW w:w="2338" w:type="dxa"/>
            <w:vMerge w:val="restart"/>
            <w:shd w:val="clear" w:color="auto" w:fill="FBE4D5" w:themeFill="accent2" w:themeFillTint="33"/>
            <w:vAlign w:val="center"/>
          </w:tcPr>
          <w:p w14:paraId="0ADC56A6" w14:textId="2B2F0CD3" w:rsidR="00FE3437" w:rsidRPr="00650F2B" w:rsidRDefault="00FE3437" w:rsidP="00586A7E">
            <w:pPr>
              <w:spacing w:after="0"/>
              <w:rPr>
                <w:rFonts w:ascii="Arial" w:hAnsi="Arial" w:cs="Arial"/>
                <w:sz w:val="18"/>
              </w:rPr>
            </w:pPr>
            <w:r w:rsidRPr="00650F2B">
              <w:rPr>
                <w:rFonts w:ascii="Arial" w:hAnsi="Arial" w:cs="Arial"/>
                <w:sz w:val="18"/>
              </w:rPr>
              <w:t>-</w:t>
            </w:r>
            <w:r w:rsidR="00586A7E">
              <w:rPr>
                <w:rFonts w:ascii="Arial" w:hAnsi="Arial" w:cs="Arial"/>
                <w:sz w:val="18"/>
              </w:rPr>
              <w:t>$</w:t>
            </w:r>
            <w:r w:rsidRPr="00650F2B">
              <w:rPr>
                <w:rFonts w:ascii="Arial" w:hAnsi="Arial" w:cs="Arial"/>
                <w:sz w:val="18"/>
              </w:rPr>
              <w:t>2.</w:t>
            </w:r>
            <w:r w:rsidR="00586A7E">
              <w:rPr>
                <w:rFonts w:ascii="Arial" w:hAnsi="Arial" w:cs="Arial"/>
                <w:sz w:val="18"/>
              </w:rPr>
              <w:t>4</w:t>
            </w:r>
          </w:p>
        </w:tc>
      </w:tr>
      <w:tr w:rsidR="00FE3437" w:rsidRPr="00650F2B" w14:paraId="27C102E7" w14:textId="77777777" w:rsidTr="00FE3437">
        <w:tc>
          <w:tcPr>
            <w:tcW w:w="2695" w:type="dxa"/>
            <w:shd w:val="clear" w:color="auto" w:fill="F2F2F2" w:themeFill="background1" w:themeFillShade="F2"/>
          </w:tcPr>
          <w:p w14:paraId="65861AA0" w14:textId="14A228C0" w:rsidR="00FE3437" w:rsidRPr="00650F2B" w:rsidRDefault="00FE3437" w:rsidP="00586A7E">
            <w:pPr>
              <w:spacing w:after="0"/>
              <w:rPr>
                <w:rFonts w:ascii="Arial" w:hAnsi="Arial" w:cs="Arial"/>
                <w:sz w:val="18"/>
              </w:rPr>
            </w:pPr>
            <w:r>
              <w:rPr>
                <w:rFonts w:ascii="Arial" w:hAnsi="Arial" w:cs="Arial"/>
                <w:sz w:val="18"/>
              </w:rPr>
              <w:t>Stable patients</w:t>
            </w:r>
            <w:r w:rsidR="004066EA">
              <w:rPr>
                <w:rFonts w:ascii="Arial" w:hAnsi="Arial" w:cs="Arial"/>
                <w:sz w:val="18"/>
              </w:rPr>
              <w:t xml:space="preserve"> </w:t>
            </w:r>
            <w:r w:rsidR="00586A7E">
              <w:rPr>
                <w:rFonts w:ascii="Arial" w:hAnsi="Arial" w:cs="Arial"/>
                <w:sz w:val="18"/>
              </w:rPr>
              <w:t>(70%)</w:t>
            </w:r>
          </w:p>
        </w:tc>
        <w:tc>
          <w:tcPr>
            <w:tcW w:w="1979" w:type="dxa"/>
            <w:shd w:val="clear" w:color="auto" w:fill="F2F2F2" w:themeFill="background1" w:themeFillShade="F2"/>
            <w:vAlign w:val="center"/>
          </w:tcPr>
          <w:p w14:paraId="64B8583F"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0F1E46DA"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1790C422" w14:textId="77777777" w:rsidR="00FE3437" w:rsidRPr="00650F2B" w:rsidRDefault="00FE3437" w:rsidP="00586A7E">
            <w:pPr>
              <w:spacing w:after="0"/>
              <w:rPr>
                <w:rFonts w:ascii="Arial" w:hAnsi="Arial" w:cs="Arial"/>
                <w:sz w:val="18"/>
              </w:rPr>
            </w:pPr>
          </w:p>
        </w:tc>
      </w:tr>
      <w:tr w:rsidR="00FE3437" w:rsidRPr="00650F2B" w14:paraId="4AAEE2D2" w14:textId="77777777" w:rsidTr="00FE3437">
        <w:tc>
          <w:tcPr>
            <w:tcW w:w="2695" w:type="dxa"/>
            <w:shd w:val="clear" w:color="auto" w:fill="FFFFFF" w:themeFill="background1"/>
          </w:tcPr>
          <w:p w14:paraId="667D0A35" w14:textId="6ABFFD6A" w:rsidR="00FE3437" w:rsidRPr="00650F2B" w:rsidRDefault="00FE3437" w:rsidP="00586A7E">
            <w:pPr>
              <w:spacing w:after="0"/>
              <w:rPr>
                <w:rFonts w:ascii="Arial" w:hAnsi="Arial" w:cs="Arial"/>
                <w:sz w:val="18"/>
              </w:rPr>
            </w:pPr>
            <w:r w:rsidRPr="00650F2B">
              <w:rPr>
                <w:rFonts w:ascii="Arial" w:hAnsi="Arial" w:cs="Arial"/>
                <w:sz w:val="18"/>
              </w:rPr>
              <w:t># of tests</w:t>
            </w:r>
          </w:p>
        </w:tc>
        <w:tc>
          <w:tcPr>
            <w:tcW w:w="1979" w:type="dxa"/>
            <w:shd w:val="clear" w:color="auto" w:fill="FFFFFF" w:themeFill="background1"/>
            <w:vAlign w:val="center"/>
          </w:tcPr>
          <w:p w14:paraId="65FD86DE" w14:textId="77777777" w:rsidR="00FE3437" w:rsidRPr="00650F2B" w:rsidRDefault="00FE3437" w:rsidP="00586A7E">
            <w:pPr>
              <w:spacing w:after="0"/>
              <w:rPr>
                <w:rFonts w:ascii="Arial" w:hAnsi="Arial" w:cs="Arial"/>
                <w:sz w:val="18"/>
              </w:rPr>
            </w:pPr>
            <w:r w:rsidRPr="00650F2B">
              <w:rPr>
                <w:rFonts w:ascii="Arial" w:hAnsi="Arial" w:cs="Arial"/>
                <w:sz w:val="18"/>
              </w:rPr>
              <w:t>2</w:t>
            </w:r>
          </w:p>
        </w:tc>
        <w:tc>
          <w:tcPr>
            <w:tcW w:w="2338" w:type="dxa"/>
            <w:shd w:val="clear" w:color="auto" w:fill="FFFFFF" w:themeFill="background1"/>
            <w:vAlign w:val="center"/>
          </w:tcPr>
          <w:p w14:paraId="4A2BD6E7" w14:textId="77777777" w:rsidR="00FE3437" w:rsidRPr="00650F2B" w:rsidRDefault="00FE3437" w:rsidP="00586A7E">
            <w:pPr>
              <w:spacing w:after="0"/>
              <w:rPr>
                <w:rFonts w:ascii="Arial" w:hAnsi="Arial" w:cs="Arial"/>
                <w:sz w:val="18"/>
              </w:rPr>
            </w:pPr>
            <w:r w:rsidRPr="00650F2B">
              <w:rPr>
                <w:rFonts w:ascii="Arial" w:hAnsi="Arial" w:cs="Arial"/>
                <w:sz w:val="18"/>
              </w:rPr>
              <w:t>--</w:t>
            </w:r>
          </w:p>
        </w:tc>
        <w:tc>
          <w:tcPr>
            <w:tcW w:w="2338" w:type="dxa"/>
            <w:vMerge/>
            <w:shd w:val="clear" w:color="auto" w:fill="FBE4D5" w:themeFill="accent2" w:themeFillTint="33"/>
            <w:vAlign w:val="center"/>
          </w:tcPr>
          <w:p w14:paraId="0EE0371C" w14:textId="77777777" w:rsidR="00FE3437" w:rsidRPr="00650F2B" w:rsidRDefault="00FE3437" w:rsidP="00586A7E">
            <w:pPr>
              <w:spacing w:after="0"/>
              <w:rPr>
                <w:rFonts w:ascii="Arial" w:hAnsi="Arial" w:cs="Arial"/>
                <w:sz w:val="18"/>
              </w:rPr>
            </w:pPr>
          </w:p>
        </w:tc>
      </w:tr>
      <w:tr w:rsidR="00FE3437" w:rsidRPr="00650F2B" w14:paraId="78A84AD7" w14:textId="77777777" w:rsidTr="00FE3437">
        <w:tc>
          <w:tcPr>
            <w:tcW w:w="2695" w:type="dxa"/>
            <w:shd w:val="clear" w:color="auto" w:fill="FFFFFF" w:themeFill="background1"/>
          </w:tcPr>
          <w:p w14:paraId="32406E3A" w14:textId="0A945206" w:rsidR="00FE3437" w:rsidRPr="00650F2B"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6CD17C09" w14:textId="276D5C36" w:rsidR="00FE3437" w:rsidRPr="00650F2B" w:rsidRDefault="00586A7E" w:rsidP="00586A7E">
            <w:pPr>
              <w:spacing w:after="0"/>
              <w:rPr>
                <w:rFonts w:ascii="Arial" w:hAnsi="Arial" w:cs="Arial"/>
                <w:sz w:val="18"/>
              </w:rPr>
            </w:pPr>
            <w:r>
              <w:rPr>
                <w:rFonts w:ascii="Arial" w:hAnsi="Arial" w:cs="Arial"/>
                <w:sz w:val="18"/>
              </w:rPr>
              <w:t>47%</w:t>
            </w:r>
          </w:p>
        </w:tc>
        <w:tc>
          <w:tcPr>
            <w:tcW w:w="2338" w:type="dxa"/>
            <w:shd w:val="clear" w:color="auto" w:fill="FFFFFF" w:themeFill="background1"/>
            <w:vAlign w:val="center"/>
          </w:tcPr>
          <w:p w14:paraId="3B9064B9" w14:textId="3B67EA26" w:rsidR="00FE3437" w:rsidRPr="00650F2B" w:rsidRDefault="00586A7E" w:rsidP="00586A7E">
            <w:pPr>
              <w:spacing w:after="0"/>
              <w:rPr>
                <w:rFonts w:ascii="Arial" w:hAnsi="Arial" w:cs="Arial"/>
                <w:sz w:val="18"/>
              </w:rPr>
            </w:pPr>
            <w:r>
              <w:rPr>
                <w:rFonts w:ascii="Arial" w:hAnsi="Arial" w:cs="Arial"/>
                <w:sz w:val="18"/>
              </w:rPr>
              <w:t>47%</w:t>
            </w:r>
          </w:p>
        </w:tc>
        <w:tc>
          <w:tcPr>
            <w:tcW w:w="2338" w:type="dxa"/>
            <w:vMerge/>
            <w:shd w:val="clear" w:color="auto" w:fill="FBE4D5" w:themeFill="accent2" w:themeFillTint="33"/>
            <w:vAlign w:val="center"/>
          </w:tcPr>
          <w:p w14:paraId="2D74E600" w14:textId="77777777" w:rsidR="00FE3437" w:rsidRPr="00650F2B" w:rsidRDefault="00FE3437" w:rsidP="00586A7E">
            <w:pPr>
              <w:spacing w:after="0"/>
              <w:rPr>
                <w:rFonts w:ascii="Arial" w:hAnsi="Arial" w:cs="Arial"/>
                <w:sz w:val="18"/>
              </w:rPr>
            </w:pPr>
          </w:p>
        </w:tc>
      </w:tr>
      <w:tr w:rsidR="00FE3437" w:rsidRPr="00650F2B" w14:paraId="67A3907F" w14:textId="77777777" w:rsidTr="00FE3437">
        <w:trPr>
          <w:trHeight w:val="152"/>
        </w:trPr>
        <w:tc>
          <w:tcPr>
            <w:tcW w:w="2695" w:type="dxa"/>
            <w:shd w:val="clear" w:color="auto" w:fill="F2F2F2" w:themeFill="background1" w:themeFillShade="F2"/>
          </w:tcPr>
          <w:p w14:paraId="6B4C06D3" w14:textId="6EE83534" w:rsidR="00FE3437" w:rsidRPr="00650F2B" w:rsidRDefault="00FE3437" w:rsidP="00586A7E">
            <w:pPr>
              <w:spacing w:after="0"/>
              <w:rPr>
                <w:rFonts w:ascii="Arial" w:hAnsi="Arial" w:cs="Arial"/>
                <w:sz w:val="18"/>
              </w:rPr>
            </w:pPr>
            <w:r>
              <w:rPr>
                <w:rFonts w:ascii="Arial" w:hAnsi="Arial" w:cs="Arial"/>
                <w:sz w:val="18"/>
              </w:rPr>
              <w:t>Unstable patients</w:t>
            </w:r>
            <w:r w:rsidR="00586A7E">
              <w:rPr>
                <w:rFonts w:ascii="Arial" w:hAnsi="Arial" w:cs="Arial"/>
                <w:sz w:val="18"/>
              </w:rPr>
              <w:t xml:space="preserve"> (15%)</w:t>
            </w:r>
          </w:p>
        </w:tc>
        <w:tc>
          <w:tcPr>
            <w:tcW w:w="1979" w:type="dxa"/>
            <w:shd w:val="clear" w:color="auto" w:fill="F2F2F2" w:themeFill="background1" w:themeFillShade="F2"/>
            <w:vAlign w:val="center"/>
          </w:tcPr>
          <w:p w14:paraId="5EAEBC12" w14:textId="57522049"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7071DC46" w14:textId="4B65FDFA"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5B1C4C2F" w14:textId="77777777" w:rsidR="00FE3437" w:rsidRPr="00650F2B" w:rsidRDefault="00FE3437" w:rsidP="00586A7E">
            <w:pPr>
              <w:spacing w:after="0"/>
              <w:rPr>
                <w:rFonts w:ascii="Arial" w:hAnsi="Arial" w:cs="Arial"/>
                <w:sz w:val="18"/>
              </w:rPr>
            </w:pPr>
          </w:p>
        </w:tc>
      </w:tr>
      <w:tr w:rsidR="00FE3437" w:rsidRPr="00650F2B" w14:paraId="3C87887A" w14:textId="77777777" w:rsidTr="00FE3437">
        <w:trPr>
          <w:trHeight w:val="152"/>
        </w:trPr>
        <w:tc>
          <w:tcPr>
            <w:tcW w:w="2695" w:type="dxa"/>
            <w:shd w:val="clear" w:color="auto" w:fill="FFFFFF" w:themeFill="background1"/>
          </w:tcPr>
          <w:p w14:paraId="5F06E14F" w14:textId="4D1B873A" w:rsidR="00FE3437" w:rsidRPr="00650F2B" w:rsidRDefault="00FE3437" w:rsidP="00586A7E">
            <w:pPr>
              <w:spacing w:after="0"/>
              <w:rPr>
                <w:rFonts w:ascii="Arial" w:hAnsi="Arial" w:cs="Arial"/>
                <w:sz w:val="18"/>
              </w:rPr>
            </w:pPr>
            <w:r w:rsidRPr="00650F2B">
              <w:rPr>
                <w:rFonts w:ascii="Arial" w:hAnsi="Arial" w:cs="Arial"/>
                <w:sz w:val="18"/>
              </w:rPr>
              <w:t># tests</w:t>
            </w:r>
          </w:p>
        </w:tc>
        <w:tc>
          <w:tcPr>
            <w:tcW w:w="1979" w:type="dxa"/>
            <w:shd w:val="clear" w:color="auto" w:fill="FFFFFF" w:themeFill="background1"/>
            <w:vAlign w:val="center"/>
          </w:tcPr>
          <w:p w14:paraId="25FE82AC" w14:textId="1013F238" w:rsidR="00FE3437" w:rsidRPr="00650F2B" w:rsidRDefault="00FE3437" w:rsidP="00586A7E">
            <w:pPr>
              <w:spacing w:after="0"/>
              <w:rPr>
                <w:rFonts w:ascii="Arial" w:hAnsi="Arial" w:cs="Arial"/>
                <w:sz w:val="18"/>
              </w:rPr>
            </w:pPr>
            <w:r>
              <w:rPr>
                <w:rFonts w:ascii="Arial" w:hAnsi="Arial" w:cs="Arial"/>
                <w:sz w:val="18"/>
              </w:rPr>
              <w:t>2</w:t>
            </w:r>
          </w:p>
        </w:tc>
        <w:tc>
          <w:tcPr>
            <w:tcW w:w="2338" w:type="dxa"/>
            <w:shd w:val="clear" w:color="auto" w:fill="FFFFFF" w:themeFill="background1"/>
            <w:vAlign w:val="center"/>
          </w:tcPr>
          <w:p w14:paraId="2FE7B456" w14:textId="1CEECBFA" w:rsidR="00FE3437" w:rsidRPr="00650F2B" w:rsidRDefault="00FE3437" w:rsidP="00586A7E">
            <w:pPr>
              <w:spacing w:after="0"/>
              <w:rPr>
                <w:rFonts w:ascii="Arial" w:hAnsi="Arial" w:cs="Arial"/>
                <w:sz w:val="18"/>
              </w:rPr>
            </w:pPr>
            <w:r>
              <w:rPr>
                <w:rFonts w:ascii="Arial" w:hAnsi="Arial" w:cs="Arial"/>
                <w:sz w:val="18"/>
              </w:rPr>
              <w:t>1</w:t>
            </w:r>
          </w:p>
        </w:tc>
        <w:tc>
          <w:tcPr>
            <w:tcW w:w="2338" w:type="dxa"/>
            <w:vMerge/>
            <w:shd w:val="clear" w:color="auto" w:fill="FBE4D5" w:themeFill="accent2" w:themeFillTint="33"/>
            <w:vAlign w:val="center"/>
          </w:tcPr>
          <w:p w14:paraId="66FE1564" w14:textId="77777777" w:rsidR="00FE3437" w:rsidRPr="00650F2B" w:rsidRDefault="00FE3437" w:rsidP="00586A7E">
            <w:pPr>
              <w:spacing w:after="0"/>
              <w:rPr>
                <w:rFonts w:ascii="Arial" w:hAnsi="Arial" w:cs="Arial"/>
                <w:sz w:val="18"/>
              </w:rPr>
            </w:pPr>
          </w:p>
        </w:tc>
      </w:tr>
      <w:tr w:rsidR="00FE3437" w:rsidRPr="00650F2B" w14:paraId="18738E7F" w14:textId="77777777" w:rsidTr="00FE3437">
        <w:trPr>
          <w:trHeight w:val="152"/>
        </w:trPr>
        <w:tc>
          <w:tcPr>
            <w:tcW w:w="2695" w:type="dxa"/>
            <w:shd w:val="clear" w:color="auto" w:fill="FFFFFF" w:themeFill="background1"/>
          </w:tcPr>
          <w:p w14:paraId="20C93B34" w14:textId="08B36D38" w:rsidR="00FE3437" w:rsidRPr="00650F2B"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62F0FF1F" w14:textId="15A2F31C" w:rsidR="00FE3437" w:rsidRPr="00650F2B" w:rsidRDefault="00FE3437" w:rsidP="00586A7E">
            <w:pPr>
              <w:spacing w:after="0"/>
              <w:rPr>
                <w:rFonts w:ascii="Arial" w:hAnsi="Arial" w:cs="Arial"/>
                <w:sz w:val="18"/>
              </w:rPr>
            </w:pPr>
            <w:r>
              <w:rPr>
                <w:rFonts w:ascii="Arial" w:hAnsi="Arial" w:cs="Arial"/>
                <w:sz w:val="18"/>
              </w:rPr>
              <w:t>7%</w:t>
            </w:r>
          </w:p>
        </w:tc>
        <w:tc>
          <w:tcPr>
            <w:tcW w:w="2338" w:type="dxa"/>
            <w:shd w:val="clear" w:color="auto" w:fill="FFFFFF" w:themeFill="background1"/>
            <w:vAlign w:val="center"/>
          </w:tcPr>
          <w:p w14:paraId="5278422B" w14:textId="0B117D4C" w:rsidR="00FE3437" w:rsidRPr="00650F2B" w:rsidRDefault="00FE3437" w:rsidP="00586A7E">
            <w:pPr>
              <w:spacing w:after="0"/>
              <w:rPr>
                <w:rFonts w:ascii="Arial" w:hAnsi="Arial" w:cs="Arial"/>
                <w:sz w:val="18"/>
              </w:rPr>
            </w:pPr>
            <w:r>
              <w:rPr>
                <w:rFonts w:ascii="Arial" w:hAnsi="Arial" w:cs="Arial"/>
                <w:sz w:val="18"/>
              </w:rPr>
              <w:t>7%</w:t>
            </w:r>
          </w:p>
        </w:tc>
        <w:tc>
          <w:tcPr>
            <w:tcW w:w="2338" w:type="dxa"/>
            <w:vMerge/>
            <w:shd w:val="clear" w:color="auto" w:fill="FBE4D5" w:themeFill="accent2" w:themeFillTint="33"/>
            <w:vAlign w:val="center"/>
          </w:tcPr>
          <w:p w14:paraId="6A8F59C3" w14:textId="77777777" w:rsidR="00FE3437" w:rsidRPr="00650F2B" w:rsidRDefault="00FE3437" w:rsidP="00586A7E">
            <w:pPr>
              <w:spacing w:after="0"/>
              <w:rPr>
                <w:rFonts w:ascii="Arial" w:hAnsi="Arial" w:cs="Arial"/>
                <w:sz w:val="18"/>
              </w:rPr>
            </w:pPr>
          </w:p>
        </w:tc>
      </w:tr>
      <w:tr w:rsidR="00FE3437" w:rsidRPr="00650F2B" w14:paraId="7E93BE8D" w14:textId="77777777" w:rsidTr="00FE3437">
        <w:trPr>
          <w:trHeight w:val="152"/>
        </w:trPr>
        <w:tc>
          <w:tcPr>
            <w:tcW w:w="2695" w:type="dxa"/>
            <w:shd w:val="clear" w:color="auto" w:fill="F2F2F2" w:themeFill="background1" w:themeFillShade="F2"/>
          </w:tcPr>
          <w:p w14:paraId="3561336F" w14:textId="6C5E32F3" w:rsidR="00FE3437" w:rsidRPr="00650F2B" w:rsidRDefault="00FE3437" w:rsidP="00586A7E">
            <w:pPr>
              <w:spacing w:after="0"/>
              <w:rPr>
                <w:rFonts w:ascii="Arial" w:hAnsi="Arial" w:cs="Arial"/>
                <w:sz w:val="18"/>
              </w:rPr>
            </w:pPr>
            <w:r>
              <w:rPr>
                <w:rFonts w:ascii="Arial" w:hAnsi="Arial" w:cs="Arial"/>
                <w:sz w:val="18"/>
              </w:rPr>
              <w:t>New patients</w:t>
            </w:r>
            <w:r w:rsidR="00586A7E">
              <w:rPr>
                <w:rFonts w:ascii="Arial" w:hAnsi="Arial" w:cs="Arial"/>
                <w:sz w:val="18"/>
              </w:rPr>
              <w:t xml:space="preserve"> (15%)</w:t>
            </w:r>
          </w:p>
        </w:tc>
        <w:tc>
          <w:tcPr>
            <w:tcW w:w="1979" w:type="dxa"/>
            <w:shd w:val="clear" w:color="auto" w:fill="F2F2F2" w:themeFill="background1" w:themeFillShade="F2"/>
            <w:vAlign w:val="center"/>
          </w:tcPr>
          <w:p w14:paraId="6CFF0A47"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0F3A47A6"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49DB568A" w14:textId="77777777" w:rsidR="00FE3437" w:rsidRPr="00650F2B" w:rsidRDefault="00FE3437" w:rsidP="00586A7E">
            <w:pPr>
              <w:spacing w:after="0"/>
              <w:rPr>
                <w:rFonts w:ascii="Arial" w:hAnsi="Arial" w:cs="Arial"/>
                <w:sz w:val="18"/>
              </w:rPr>
            </w:pPr>
          </w:p>
        </w:tc>
      </w:tr>
      <w:tr w:rsidR="00FE3437" w:rsidRPr="00650F2B" w14:paraId="14547131" w14:textId="77777777" w:rsidTr="00FE3437">
        <w:trPr>
          <w:trHeight w:val="152"/>
        </w:trPr>
        <w:tc>
          <w:tcPr>
            <w:tcW w:w="2695" w:type="dxa"/>
            <w:shd w:val="clear" w:color="auto" w:fill="FFFFFF" w:themeFill="background1"/>
          </w:tcPr>
          <w:p w14:paraId="5D8B88FD" w14:textId="12510D67" w:rsidR="00FE3437" w:rsidRPr="00650F2B" w:rsidRDefault="00FE3437" w:rsidP="00586A7E">
            <w:pPr>
              <w:spacing w:after="0"/>
              <w:rPr>
                <w:rFonts w:ascii="Arial" w:hAnsi="Arial" w:cs="Arial"/>
                <w:sz w:val="18"/>
              </w:rPr>
            </w:pPr>
            <w:r>
              <w:rPr>
                <w:rFonts w:ascii="Arial" w:hAnsi="Arial" w:cs="Arial"/>
                <w:sz w:val="18"/>
              </w:rPr>
              <w:t># tests</w:t>
            </w:r>
          </w:p>
        </w:tc>
        <w:tc>
          <w:tcPr>
            <w:tcW w:w="1979" w:type="dxa"/>
            <w:shd w:val="clear" w:color="auto" w:fill="FFFFFF" w:themeFill="background1"/>
            <w:vAlign w:val="center"/>
          </w:tcPr>
          <w:p w14:paraId="4D1335A4" w14:textId="119DBA30" w:rsidR="00FE3437" w:rsidRPr="00650F2B" w:rsidRDefault="00FE3437" w:rsidP="00586A7E">
            <w:pPr>
              <w:spacing w:after="0"/>
              <w:rPr>
                <w:rFonts w:ascii="Arial" w:hAnsi="Arial" w:cs="Arial"/>
                <w:sz w:val="18"/>
              </w:rPr>
            </w:pPr>
            <w:r>
              <w:rPr>
                <w:rFonts w:ascii="Arial" w:hAnsi="Arial" w:cs="Arial"/>
                <w:sz w:val="18"/>
              </w:rPr>
              <w:t>2</w:t>
            </w:r>
          </w:p>
        </w:tc>
        <w:tc>
          <w:tcPr>
            <w:tcW w:w="2338" w:type="dxa"/>
            <w:shd w:val="clear" w:color="auto" w:fill="FFFFFF" w:themeFill="background1"/>
            <w:vAlign w:val="center"/>
          </w:tcPr>
          <w:p w14:paraId="74FDA559" w14:textId="51A1189B" w:rsidR="00FE3437" w:rsidRPr="00650F2B" w:rsidRDefault="00FE3437" w:rsidP="00586A7E">
            <w:pPr>
              <w:spacing w:after="0"/>
              <w:rPr>
                <w:rFonts w:ascii="Arial" w:hAnsi="Arial" w:cs="Arial"/>
                <w:sz w:val="18"/>
              </w:rPr>
            </w:pPr>
            <w:r>
              <w:rPr>
                <w:rFonts w:ascii="Arial" w:hAnsi="Arial" w:cs="Arial"/>
                <w:sz w:val="18"/>
              </w:rPr>
              <w:t>1</w:t>
            </w:r>
          </w:p>
        </w:tc>
        <w:tc>
          <w:tcPr>
            <w:tcW w:w="2338" w:type="dxa"/>
            <w:vMerge/>
            <w:shd w:val="clear" w:color="auto" w:fill="FBE4D5" w:themeFill="accent2" w:themeFillTint="33"/>
            <w:vAlign w:val="center"/>
          </w:tcPr>
          <w:p w14:paraId="41BD4031" w14:textId="77777777" w:rsidR="00FE3437" w:rsidRPr="00650F2B" w:rsidRDefault="00FE3437" w:rsidP="00586A7E">
            <w:pPr>
              <w:spacing w:after="0"/>
              <w:rPr>
                <w:rFonts w:ascii="Arial" w:hAnsi="Arial" w:cs="Arial"/>
                <w:sz w:val="18"/>
              </w:rPr>
            </w:pPr>
          </w:p>
        </w:tc>
      </w:tr>
      <w:tr w:rsidR="00FE3437" w:rsidRPr="00650F2B" w14:paraId="12A58E7A" w14:textId="77777777" w:rsidTr="00FE3437">
        <w:trPr>
          <w:trHeight w:val="152"/>
        </w:trPr>
        <w:tc>
          <w:tcPr>
            <w:tcW w:w="2695" w:type="dxa"/>
            <w:shd w:val="clear" w:color="auto" w:fill="FFFFFF" w:themeFill="background1"/>
          </w:tcPr>
          <w:p w14:paraId="62100878" w14:textId="4A7BD79F" w:rsidR="00FE3437" w:rsidRPr="00650F2B" w:rsidRDefault="00FE3437" w:rsidP="00586A7E">
            <w:pPr>
              <w:spacing w:after="0"/>
              <w:rPr>
                <w:rFonts w:ascii="Arial" w:hAnsi="Arial" w:cs="Arial"/>
                <w:sz w:val="18"/>
              </w:rPr>
            </w:pPr>
            <w:r>
              <w:rPr>
                <w:rFonts w:ascii="Arial" w:hAnsi="Arial" w:cs="Arial"/>
                <w:sz w:val="18"/>
              </w:rPr>
              <w:t>Utilization</w:t>
            </w:r>
          </w:p>
        </w:tc>
        <w:tc>
          <w:tcPr>
            <w:tcW w:w="1979" w:type="dxa"/>
            <w:shd w:val="clear" w:color="auto" w:fill="FFFFFF" w:themeFill="background1"/>
            <w:vAlign w:val="center"/>
          </w:tcPr>
          <w:p w14:paraId="1C21C048" w14:textId="04307264" w:rsidR="00FE3437" w:rsidRPr="00650F2B" w:rsidRDefault="00FE3437" w:rsidP="00586A7E">
            <w:pPr>
              <w:spacing w:after="0"/>
              <w:rPr>
                <w:rFonts w:ascii="Arial" w:hAnsi="Arial" w:cs="Arial"/>
                <w:sz w:val="18"/>
              </w:rPr>
            </w:pPr>
            <w:r>
              <w:rPr>
                <w:rFonts w:ascii="Arial" w:hAnsi="Arial" w:cs="Arial"/>
                <w:sz w:val="18"/>
              </w:rPr>
              <w:t>47%</w:t>
            </w:r>
          </w:p>
        </w:tc>
        <w:tc>
          <w:tcPr>
            <w:tcW w:w="2338" w:type="dxa"/>
            <w:shd w:val="clear" w:color="auto" w:fill="FFFFFF" w:themeFill="background1"/>
            <w:vAlign w:val="center"/>
          </w:tcPr>
          <w:p w14:paraId="55DA5815" w14:textId="0280A962" w:rsidR="00FE3437" w:rsidRPr="00650F2B" w:rsidRDefault="00FE3437" w:rsidP="00586A7E">
            <w:pPr>
              <w:spacing w:after="0"/>
              <w:rPr>
                <w:rFonts w:ascii="Arial" w:hAnsi="Arial" w:cs="Arial"/>
                <w:sz w:val="18"/>
              </w:rPr>
            </w:pPr>
            <w:r>
              <w:rPr>
                <w:rFonts w:ascii="Arial" w:hAnsi="Arial" w:cs="Arial"/>
                <w:sz w:val="18"/>
              </w:rPr>
              <w:t>47%</w:t>
            </w:r>
          </w:p>
        </w:tc>
        <w:tc>
          <w:tcPr>
            <w:tcW w:w="2338" w:type="dxa"/>
            <w:vMerge/>
            <w:shd w:val="clear" w:color="auto" w:fill="FBE4D5" w:themeFill="accent2" w:themeFillTint="33"/>
            <w:vAlign w:val="center"/>
          </w:tcPr>
          <w:p w14:paraId="3471F3DF" w14:textId="77777777" w:rsidR="00FE3437" w:rsidRPr="00650F2B" w:rsidRDefault="00FE3437" w:rsidP="00586A7E">
            <w:pPr>
              <w:spacing w:after="0"/>
              <w:rPr>
                <w:rFonts w:ascii="Arial" w:hAnsi="Arial" w:cs="Arial"/>
                <w:sz w:val="18"/>
              </w:rPr>
            </w:pPr>
          </w:p>
        </w:tc>
      </w:tr>
      <w:tr w:rsidR="00FE3437" w:rsidRPr="00650F2B" w14:paraId="3E888241" w14:textId="77777777" w:rsidTr="00FE3437">
        <w:tc>
          <w:tcPr>
            <w:tcW w:w="2695" w:type="dxa"/>
            <w:shd w:val="clear" w:color="auto" w:fill="BFBFBF" w:themeFill="background1" w:themeFillShade="BF"/>
          </w:tcPr>
          <w:p w14:paraId="08EB47C9" w14:textId="4255B0AC" w:rsidR="00FE3437" w:rsidRPr="00650F2B" w:rsidRDefault="00FE3437" w:rsidP="00586A7E">
            <w:pPr>
              <w:spacing w:after="0"/>
              <w:rPr>
                <w:rFonts w:ascii="Arial" w:hAnsi="Arial" w:cs="Arial"/>
                <w:sz w:val="18"/>
              </w:rPr>
            </w:pPr>
            <w:r>
              <w:rPr>
                <w:rFonts w:ascii="Arial" w:hAnsi="Arial" w:cs="Arial"/>
                <w:sz w:val="18"/>
              </w:rPr>
              <w:t>Viral load</w:t>
            </w:r>
          </w:p>
        </w:tc>
        <w:tc>
          <w:tcPr>
            <w:tcW w:w="1979" w:type="dxa"/>
            <w:shd w:val="clear" w:color="auto" w:fill="BFBFBF" w:themeFill="background1" w:themeFillShade="BF"/>
            <w:vAlign w:val="center"/>
          </w:tcPr>
          <w:p w14:paraId="452D8FDC" w14:textId="470BCE6C" w:rsidR="00FE3437" w:rsidRPr="00650F2B" w:rsidRDefault="00586A7E" w:rsidP="00586A7E">
            <w:pPr>
              <w:spacing w:after="0"/>
              <w:rPr>
                <w:rFonts w:ascii="Arial" w:hAnsi="Arial" w:cs="Arial"/>
                <w:sz w:val="18"/>
              </w:rPr>
            </w:pPr>
            <w:r>
              <w:rPr>
                <w:rFonts w:ascii="Arial" w:hAnsi="Arial" w:cs="Arial"/>
                <w:sz w:val="18"/>
              </w:rPr>
              <w:t>$8.3</w:t>
            </w:r>
          </w:p>
        </w:tc>
        <w:tc>
          <w:tcPr>
            <w:tcW w:w="2338" w:type="dxa"/>
            <w:shd w:val="clear" w:color="auto" w:fill="BFBFBF" w:themeFill="background1" w:themeFillShade="BF"/>
            <w:vAlign w:val="center"/>
          </w:tcPr>
          <w:p w14:paraId="7FF4BA58" w14:textId="2AFAE1EC" w:rsidR="00FE3437" w:rsidRPr="00650F2B" w:rsidRDefault="00586A7E" w:rsidP="00586A7E">
            <w:pPr>
              <w:spacing w:after="0"/>
              <w:rPr>
                <w:rFonts w:ascii="Arial" w:hAnsi="Arial" w:cs="Arial"/>
                <w:sz w:val="18"/>
              </w:rPr>
            </w:pPr>
            <w:r>
              <w:rPr>
                <w:rFonts w:ascii="Arial" w:hAnsi="Arial" w:cs="Arial"/>
                <w:sz w:val="18"/>
              </w:rPr>
              <w:t>$8.3</w:t>
            </w:r>
          </w:p>
        </w:tc>
        <w:tc>
          <w:tcPr>
            <w:tcW w:w="2338" w:type="dxa"/>
            <w:shd w:val="clear" w:color="auto" w:fill="BFBFBF" w:themeFill="background1" w:themeFillShade="BF"/>
            <w:vAlign w:val="center"/>
          </w:tcPr>
          <w:p w14:paraId="6A9DB07C" w14:textId="77777777" w:rsidR="00FE3437" w:rsidRPr="00650F2B" w:rsidRDefault="00FE3437" w:rsidP="00586A7E">
            <w:pPr>
              <w:spacing w:after="0"/>
              <w:rPr>
                <w:rFonts w:ascii="Arial" w:hAnsi="Arial" w:cs="Arial"/>
                <w:sz w:val="18"/>
              </w:rPr>
            </w:pPr>
          </w:p>
        </w:tc>
      </w:tr>
      <w:tr w:rsidR="00FE3437" w:rsidRPr="00650F2B" w14:paraId="5717C9D7" w14:textId="77777777" w:rsidTr="00FE3437">
        <w:tc>
          <w:tcPr>
            <w:tcW w:w="2695" w:type="dxa"/>
            <w:shd w:val="clear" w:color="auto" w:fill="F2F2F2" w:themeFill="background1" w:themeFillShade="F2"/>
          </w:tcPr>
          <w:p w14:paraId="326E0552" w14:textId="77777777" w:rsidR="00FE3437" w:rsidRPr="00650F2B" w:rsidRDefault="00FE3437" w:rsidP="00586A7E">
            <w:pPr>
              <w:spacing w:after="0"/>
              <w:rPr>
                <w:rFonts w:ascii="Arial" w:hAnsi="Arial" w:cs="Arial"/>
                <w:sz w:val="18"/>
              </w:rPr>
            </w:pPr>
            <w:r w:rsidRPr="00650F2B">
              <w:rPr>
                <w:rFonts w:ascii="Arial" w:hAnsi="Arial" w:cs="Arial"/>
                <w:sz w:val="18"/>
              </w:rPr>
              <w:t>Unit cost</w:t>
            </w:r>
          </w:p>
        </w:tc>
        <w:tc>
          <w:tcPr>
            <w:tcW w:w="1979" w:type="dxa"/>
            <w:shd w:val="clear" w:color="auto" w:fill="F2F2F2" w:themeFill="background1" w:themeFillShade="F2"/>
            <w:vAlign w:val="center"/>
          </w:tcPr>
          <w:p w14:paraId="41CED6BB" w14:textId="0D9A8CBF" w:rsidR="00FE3437" w:rsidRPr="00650F2B" w:rsidRDefault="004066EA" w:rsidP="00586A7E">
            <w:pPr>
              <w:spacing w:after="0"/>
              <w:rPr>
                <w:rFonts w:ascii="Arial" w:hAnsi="Arial" w:cs="Arial"/>
                <w:sz w:val="18"/>
              </w:rPr>
            </w:pPr>
            <w:r>
              <w:rPr>
                <w:rFonts w:ascii="Arial" w:hAnsi="Arial" w:cs="Arial"/>
                <w:sz w:val="18"/>
              </w:rPr>
              <w:t>$</w:t>
            </w:r>
            <w:r w:rsidR="00FE3437" w:rsidRPr="00650F2B">
              <w:rPr>
                <w:rFonts w:ascii="Arial" w:hAnsi="Arial" w:cs="Arial"/>
                <w:sz w:val="18"/>
              </w:rPr>
              <w:t>21.</w:t>
            </w:r>
            <w:r w:rsidR="00865B13">
              <w:rPr>
                <w:rFonts w:ascii="Arial" w:hAnsi="Arial" w:cs="Arial"/>
                <w:sz w:val="18"/>
              </w:rPr>
              <w:t>9</w:t>
            </w:r>
          </w:p>
        </w:tc>
        <w:tc>
          <w:tcPr>
            <w:tcW w:w="2338" w:type="dxa"/>
            <w:shd w:val="clear" w:color="auto" w:fill="F2F2F2" w:themeFill="background1" w:themeFillShade="F2"/>
            <w:vAlign w:val="center"/>
          </w:tcPr>
          <w:p w14:paraId="3710A9C3" w14:textId="7D1622DF" w:rsidR="00FE3437" w:rsidRPr="00650F2B" w:rsidRDefault="004066EA" w:rsidP="00586A7E">
            <w:pPr>
              <w:spacing w:after="0"/>
              <w:rPr>
                <w:rFonts w:ascii="Arial" w:hAnsi="Arial" w:cs="Arial"/>
                <w:sz w:val="18"/>
              </w:rPr>
            </w:pPr>
            <w:r>
              <w:rPr>
                <w:rFonts w:ascii="Arial" w:hAnsi="Arial" w:cs="Arial"/>
                <w:sz w:val="18"/>
              </w:rPr>
              <w:t>$</w:t>
            </w:r>
            <w:r w:rsidR="00FE3437" w:rsidRPr="00650F2B">
              <w:rPr>
                <w:rFonts w:ascii="Arial" w:hAnsi="Arial" w:cs="Arial"/>
                <w:sz w:val="18"/>
              </w:rPr>
              <w:t>21.</w:t>
            </w:r>
            <w:r w:rsidR="00865B13">
              <w:rPr>
                <w:rFonts w:ascii="Arial" w:hAnsi="Arial" w:cs="Arial"/>
                <w:sz w:val="18"/>
              </w:rPr>
              <w:t>9</w:t>
            </w:r>
          </w:p>
        </w:tc>
        <w:tc>
          <w:tcPr>
            <w:tcW w:w="2338" w:type="dxa"/>
            <w:vMerge w:val="restart"/>
            <w:shd w:val="clear" w:color="auto" w:fill="FBE4D5" w:themeFill="accent2" w:themeFillTint="33"/>
            <w:vAlign w:val="center"/>
          </w:tcPr>
          <w:p w14:paraId="154D71EA" w14:textId="73188110" w:rsidR="00FE3437" w:rsidRPr="00650F2B" w:rsidRDefault="00586A7E" w:rsidP="00586A7E">
            <w:pPr>
              <w:spacing w:after="0"/>
              <w:rPr>
                <w:rFonts w:ascii="Arial" w:hAnsi="Arial" w:cs="Arial"/>
                <w:sz w:val="18"/>
              </w:rPr>
            </w:pPr>
            <w:r>
              <w:rPr>
                <w:rFonts w:ascii="Arial" w:hAnsi="Arial" w:cs="Arial"/>
                <w:sz w:val="18"/>
              </w:rPr>
              <w:t>-</w:t>
            </w:r>
          </w:p>
        </w:tc>
      </w:tr>
      <w:tr w:rsidR="00FE3437" w:rsidRPr="00650F2B" w14:paraId="56DC7094" w14:textId="77777777" w:rsidTr="00FE3437">
        <w:tc>
          <w:tcPr>
            <w:tcW w:w="2695" w:type="dxa"/>
            <w:shd w:val="clear" w:color="auto" w:fill="F2F2F2" w:themeFill="background1" w:themeFillShade="F2"/>
          </w:tcPr>
          <w:p w14:paraId="2282AD9A" w14:textId="7E2BC1D9" w:rsidR="00FE3437" w:rsidRPr="00650F2B" w:rsidRDefault="00FE3437" w:rsidP="00586A7E">
            <w:pPr>
              <w:spacing w:after="0"/>
              <w:rPr>
                <w:rFonts w:ascii="Arial" w:hAnsi="Arial" w:cs="Arial"/>
                <w:sz w:val="18"/>
              </w:rPr>
            </w:pPr>
            <w:r>
              <w:rPr>
                <w:rFonts w:ascii="Arial" w:hAnsi="Arial" w:cs="Arial"/>
                <w:sz w:val="18"/>
              </w:rPr>
              <w:t>Stable patients</w:t>
            </w:r>
            <w:r w:rsidR="004066EA">
              <w:rPr>
                <w:rFonts w:ascii="Arial" w:hAnsi="Arial" w:cs="Arial"/>
                <w:sz w:val="18"/>
              </w:rPr>
              <w:t xml:space="preserve"> </w:t>
            </w:r>
            <w:r w:rsidR="00586A7E">
              <w:rPr>
                <w:rFonts w:ascii="Arial" w:hAnsi="Arial" w:cs="Arial"/>
                <w:sz w:val="18"/>
              </w:rPr>
              <w:t>(70%)</w:t>
            </w:r>
          </w:p>
        </w:tc>
        <w:tc>
          <w:tcPr>
            <w:tcW w:w="1979" w:type="dxa"/>
            <w:shd w:val="clear" w:color="auto" w:fill="F2F2F2" w:themeFill="background1" w:themeFillShade="F2"/>
            <w:vAlign w:val="center"/>
          </w:tcPr>
          <w:p w14:paraId="0A4ABA6D" w14:textId="15F5527B"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6FDEAB08" w14:textId="7F69E710"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4C543E07" w14:textId="77777777" w:rsidR="00FE3437" w:rsidRPr="00650F2B" w:rsidRDefault="00FE3437" w:rsidP="00586A7E">
            <w:pPr>
              <w:spacing w:after="0"/>
              <w:rPr>
                <w:rFonts w:ascii="Arial" w:hAnsi="Arial" w:cs="Arial"/>
                <w:sz w:val="18"/>
              </w:rPr>
            </w:pPr>
          </w:p>
        </w:tc>
      </w:tr>
      <w:tr w:rsidR="00FE3437" w:rsidRPr="00650F2B" w14:paraId="79E2EDAE" w14:textId="77777777" w:rsidTr="00FE3437">
        <w:tc>
          <w:tcPr>
            <w:tcW w:w="2695" w:type="dxa"/>
            <w:shd w:val="clear" w:color="auto" w:fill="FFFFFF" w:themeFill="background1"/>
          </w:tcPr>
          <w:p w14:paraId="0179ABB4" w14:textId="5FBBD9A6" w:rsidR="00FE3437" w:rsidRPr="00650F2B" w:rsidRDefault="00FE3437" w:rsidP="00586A7E">
            <w:pPr>
              <w:spacing w:after="0"/>
              <w:rPr>
                <w:rFonts w:ascii="Arial" w:hAnsi="Arial" w:cs="Arial"/>
                <w:sz w:val="18"/>
              </w:rPr>
            </w:pPr>
            <w:r w:rsidRPr="00650F2B">
              <w:rPr>
                <w:rFonts w:ascii="Arial" w:hAnsi="Arial" w:cs="Arial"/>
                <w:sz w:val="18"/>
              </w:rPr>
              <w:t># of tests</w:t>
            </w:r>
          </w:p>
        </w:tc>
        <w:tc>
          <w:tcPr>
            <w:tcW w:w="1979" w:type="dxa"/>
            <w:shd w:val="clear" w:color="auto" w:fill="FFFFFF" w:themeFill="background1"/>
            <w:vAlign w:val="center"/>
          </w:tcPr>
          <w:p w14:paraId="33BCD5AF" w14:textId="456406CA" w:rsidR="00FE3437" w:rsidRPr="00650F2B" w:rsidRDefault="00FE3437" w:rsidP="00586A7E">
            <w:pPr>
              <w:spacing w:after="0"/>
              <w:rPr>
                <w:rFonts w:ascii="Arial" w:hAnsi="Arial" w:cs="Arial"/>
                <w:sz w:val="18"/>
              </w:rPr>
            </w:pPr>
            <w:r>
              <w:rPr>
                <w:rFonts w:ascii="Arial" w:hAnsi="Arial" w:cs="Arial"/>
                <w:sz w:val="18"/>
              </w:rPr>
              <w:t>1</w:t>
            </w:r>
          </w:p>
        </w:tc>
        <w:tc>
          <w:tcPr>
            <w:tcW w:w="2338" w:type="dxa"/>
            <w:shd w:val="clear" w:color="auto" w:fill="FFFFFF" w:themeFill="background1"/>
            <w:vAlign w:val="center"/>
          </w:tcPr>
          <w:p w14:paraId="6E5E6461" w14:textId="3150203B" w:rsidR="00FE3437" w:rsidRPr="00650F2B" w:rsidRDefault="00FE3437" w:rsidP="00586A7E">
            <w:pPr>
              <w:spacing w:after="0"/>
              <w:rPr>
                <w:rFonts w:ascii="Arial" w:hAnsi="Arial" w:cs="Arial"/>
                <w:sz w:val="18"/>
              </w:rPr>
            </w:pPr>
            <w:r>
              <w:rPr>
                <w:rFonts w:ascii="Arial" w:hAnsi="Arial" w:cs="Arial"/>
                <w:sz w:val="18"/>
              </w:rPr>
              <w:t>1</w:t>
            </w:r>
          </w:p>
        </w:tc>
        <w:tc>
          <w:tcPr>
            <w:tcW w:w="2338" w:type="dxa"/>
            <w:vMerge/>
            <w:shd w:val="clear" w:color="auto" w:fill="FBE4D5" w:themeFill="accent2" w:themeFillTint="33"/>
            <w:vAlign w:val="center"/>
          </w:tcPr>
          <w:p w14:paraId="363DBF5C" w14:textId="77777777" w:rsidR="00FE3437" w:rsidRPr="00650F2B" w:rsidRDefault="00FE3437" w:rsidP="00586A7E">
            <w:pPr>
              <w:spacing w:after="0"/>
              <w:rPr>
                <w:rFonts w:ascii="Arial" w:hAnsi="Arial" w:cs="Arial"/>
                <w:sz w:val="18"/>
              </w:rPr>
            </w:pPr>
          </w:p>
        </w:tc>
      </w:tr>
      <w:tr w:rsidR="00FE3437" w:rsidRPr="00650F2B" w14:paraId="7298F331" w14:textId="77777777" w:rsidTr="00FE3437">
        <w:tc>
          <w:tcPr>
            <w:tcW w:w="2695" w:type="dxa"/>
            <w:shd w:val="clear" w:color="auto" w:fill="FFFFFF" w:themeFill="background1"/>
          </w:tcPr>
          <w:p w14:paraId="753EDC1F" w14:textId="44999D01" w:rsidR="00FE3437" w:rsidRPr="00650F2B"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078F90DE" w14:textId="59F13E45" w:rsidR="00FE3437" w:rsidRPr="00650F2B" w:rsidRDefault="00FE3437" w:rsidP="00586A7E">
            <w:pPr>
              <w:spacing w:after="0"/>
              <w:rPr>
                <w:rFonts w:ascii="Arial" w:hAnsi="Arial" w:cs="Arial"/>
                <w:sz w:val="18"/>
              </w:rPr>
            </w:pPr>
            <w:r>
              <w:rPr>
                <w:rFonts w:ascii="Arial" w:hAnsi="Arial" w:cs="Arial"/>
                <w:sz w:val="18"/>
              </w:rPr>
              <w:t>63%</w:t>
            </w:r>
          </w:p>
        </w:tc>
        <w:tc>
          <w:tcPr>
            <w:tcW w:w="2338" w:type="dxa"/>
            <w:shd w:val="clear" w:color="auto" w:fill="FFFFFF" w:themeFill="background1"/>
            <w:vAlign w:val="center"/>
          </w:tcPr>
          <w:p w14:paraId="29B55503" w14:textId="15520194" w:rsidR="00FE3437" w:rsidRPr="00650F2B" w:rsidRDefault="00FE3437" w:rsidP="00586A7E">
            <w:pPr>
              <w:spacing w:after="0"/>
              <w:rPr>
                <w:rFonts w:ascii="Arial" w:hAnsi="Arial" w:cs="Arial"/>
                <w:sz w:val="18"/>
              </w:rPr>
            </w:pPr>
            <w:r>
              <w:rPr>
                <w:rFonts w:ascii="Arial" w:hAnsi="Arial" w:cs="Arial"/>
                <w:sz w:val="18"/>
              </w:rPr>
              <w:t>63%</w:t>
            </w:r>
          </w:p>
        </w:tc>
        <w:tc>
          <w:tcPr>
            <w:tcW w:w="2338" w:type="dxa"/>
            <w:vMerge/>
            <w:shd w:val="clear" w:color="auto" w:fill="FBE4D5" w:themeFill="accent2" w:themeFillTint="33"/>
            <w:vAlign w:val="center"/>
          </w:tcPr>
          <w:p w14:paraId="2C8B2F0E" w14:textId="77777777" w:rsidR="00FE3437" w:rsidRPr="00650F2B" w:rsidRDefault="00FE3437" w:rsidP="00586A7E">
            <w:pPr>
              <w:spacing w:after="0"/>
              <w:rPr>
                <w:rFonts w:ascii="Arial" w:hAnsi="Arial" w:cs="Arial"/>
                <w:sz w:val="18"/>
              </w:rPr>
            </w:pPr>
          </w:p>
        </w:tc>
      </w:tr>
      <w:tr w:rsidR="00FE3437" w:rsidRPr="00650F2B" w14:paraId="6CBBE292" w14:textId="77777777" w:rsidTr="00FE3437">
        <w:tc>
          <w:tcPr>
            <w:tcW w:w="2695" w:type="dxa"/>
            <w:shd w:val="clear" w:color="auto" w:fill="F2F2F2" w:themeFill="background1" w:themeFillShade="F2"/>
          </w:tcPr>
          <w:p w14:paraId="43DF90B2" w14:textId="377E66BA" w:rsidR="00FE3437" w:rsidRPr="00650F2B" w:rsidRDefault="00FE3437" w:rsidP="00586A7E">
            <w:pPr>
              <w:spacing w:after="0"/>
              <w:rPr>
                <w:rFonts w:ascii="Arial" w:hAnsi="Arial" w:cs="Arial"/>
                <w:sz w:val="18"/>
              </w:rPr>
            </w:pPr>
            <w:r>
              <w:rPr>
                <w:rFonts w:ascii="Arial" w:hAnsi="Arial" w:cs="Arial"/>
                <w:sz w:val="18"/>
              </w:rPr>
              <w:t>Unstable patients</w:t>
            </w:r>
            <w:r w:rsidR="00586A7E">
              <w:rPr>
                <w:rFonts w:ascii="Arial" w:hAnsi="Arial" w:cs="Arial"/>
                <w:sz w:val="18"/>
              </w:rPr>
              <w:t xml:space="preserve"> (15%)</w:t>
            </w:r>
          </w:p>
        </w:tc>
        <w:tc>
          <w:tcPr>
            <w:tcW w:w="1979" w:type="dxa"/>
            <w:shd w:val="clear" w:color="auto" w:fill="F2F2F2" w:themeFill="background1" w:themeFillShade="F2"/>
            <w:vAlign w:val="center"/>
          </w:tcPr>
          <w:p w14:paraId="72BED5FA"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1E23C571"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5D5A4FFF" w14:textId="77777777" w:rsidR="00FE3437" w:rsidRPr="00650F2B" w:rsidRDefault="00FE3437" w:rsidP="00586A7E">
            <w:pPr>
              <w:spacing w:after="0"/>
              <w:rPr>
                <w:rFonts w:ascii="Arial" w:hAnsi="Arial" w:cs="Arial"/>
                <w:sz w:val="18"/>
              </w:rPr>
            </w:pPr>
          </w:p>
        </w:tc>
      </w:tr>
      <w:tr w:rsidR="00FE3437" w:rsidRPr="00650F2B" w14:paraId="55101D9E" w14:textId="77777777" w:rsidTr="00FE3437">
        <w:tc>
          <w:tcPr>
            <w:tcW w:w="2695" w:type="dxa"/>
            <w:shd w:val="clear" w:color="auto" w:fill="FFFFFF" w:themeFill="background1"/>
          </w:tcPr>
          <w:p w14:paraId="1102B538" w14:textId="4791C7B2" w:rsidR="00FE3437" w:rsidRPr="00650F2B" w:rsidRDefault="00FE3437" w:rsidP="00586A7E">
            <w:pPr>
              <w:spacing w:after="0"/>
              <w:rPr>
                <w:rFonts w:ascii="Arial" w:hAnsi="Arial" w:cs="Arial"/>
                <w:sz w:val="18"/>
              </w:rPr>
            </w:pPr>
            <w:r w:rsidRPr="00650F2B">
              <w:rPr>
                <w:rFonts w:ascii="Arial" w:hAnsi="Arial" w:cs="Arial"/>
                <w:sz w:val="18"/>
              </w:rPr>
              <w:t># tests</w:t>
            </w:r>
          </w:p>
        </w:tc>
        <w:tc>
          <w:tcPr>
            <w:tcW w:w="1979" w:type="dxa"/>
            <w:shd w:val="clear" w:color="auto" w:fill="FFFFFF" w:themeFill="background1"/>
            <w:vAlign w:val="center"/>
          </w:tcPr>
          <w:p w14:paraId="2FEEE6D5" w14:textId="7FA8634E" w:rsidR="00FE3437" w:rsidRPr="00650F2B" w:rsidRDefault="00FE3437" w:rsidP="00586A7E">
            <w:pPr>
              <w:spacing w:after="0"/>
              <w:rPr>
                <w:rFonts w:ascii="Arial" w:hAnsi="Arial" w:cs="Arial"/>
                <w:sz w:val="18"/>
              </w:rPr>
            </w:pPr>
            <w:r>
              <w:rPr>
                <w:rFonts w:ascii="Arial" w:hAnsi="Arial" w:cs="Arial"/>
                <w:sz w:val="18"/>
              </w:rPr>
              <w:t>1</w:t>
            </w:r>
          </w:p>
        </w:tc>
        <w:tc>
          <w:tcPr>
            <w:tcW w:w="2338" w:type="dxa"/>
            <w:shd w:val="clear" w:color="auto" w:fill="FFFFFF" w:themeFill="background1"/>
            <w:vAlign w:val="center"/>
          </w:tcPr>
          <w:p w14:paraId="7B1A49C6" w14:textId="02583999" w:rsidR="00FE3437" w:rsidRPr="00650F2B" w:rsidRDefault="00FE3437" w:rsidP="00586A7E">
            <w:pPr>
              <w:spacing w:after="0"/>
              <w:rPr>
                <w:rFonts w:ascii="Arial" w:hAnsi="Arial" w:cs="Arial"/>
                <w:sz w:val="18"/>
              </w:rPr>
            </w:pPr>
            <w:r>
              <w:rPr>
                <w:rFonts w:ascii="Arial" w:hAnsi="Arial" w:cs="Arial"/>
                <w:sz w:val="18"/>
              </w:rPr>
              <w:t>1</w:t>
            </w:r>
          </w:p>
        </w:tc>
        <w:tc>
          <w:tcPr>
            <w:tcW w:w="2338" w:type="dxa"/>
            <w:vMerge/>
            <w:shd w:val="clear" w:color="auto" w:fill="FBE4D5" w:themeFill="accent2" w:themeFillTint="33"/>
            <w:vAlign w:val="center"/>
          </w:tcPr>
          <w:p w14:paraId="3A8D2D50" w14:textId="77777777" w:rsidR="00FE3437" w:rsidRPr="00650F2B" w:rsidRDefault="00FE3437" w:rsidP="00586A7E">
            <w:pPr>
              <w:spacing w:after="0"/>
              <w:rPr>
                <w:rFonts w:ascii="Arial" w:hAnsi="Arial" w:cs="Arial"/>
                <w:sz w:val="18"/>
              </w:rPr>
            </w:pPr>
          </w:p>
        </w:tc>
      </w:tr>
      <w:tr w:rsidR="00FE3437" w:rsidRPr="00650F2B" w14:paraId="1124FC79" w14:textId="77777777" w:rsidTr="00FE3437">
        <w:tc>
          <w:tcPr>
            <w:tcW w:w="2695" w:type="dxa"/>
            <w:shd w:val="clear" w:color="auto" w:fill="FFFFFF" w:themeFill="background1"/>
          </w:tcPr>
          <w:p w14:paraId="35102CB1" w14:textId="6671B4DD" w:rsidR="00FE3437" w:rsidRPr="00650F2B"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488F401E" w14:textId="1B3D3B80" w:rsidR="00FE3437" w:rsidRPr="00650F2B" w:rsidRDefault="00FE3437" w:rsidP="00586A7E">
            <w:pPr>
              <w:spacing w:after="0"/>
              <w:rPr>
                <w:rFonts w:ascii="Arial" w:hAnsi="Arial" w:cs="Arial"/>
                <w:sz w:val="18"/>
              </w:rPr>
            </w:pPr>
            <w:r>
              <w:rPr>
                <w:rFonts w:ascii="Arial" w:hAnsi="Arial" w:cs="Arial"/>
                <w:sz w:val="18"/>
              </w:rPr>
              <w:t>63%</w:t>
            </w:r>
          </w:p>
        </w:tc>
        <w:tc>
          <w:tcPr>
            <w:tcW w:w="2338" w:type="dxa"/>
            <w:shd w:val="clear" w:color="auto" w:fill="FFFFFF" w:themeFill="background1"/>
            <w:vAlign w:val="center"/>
          </w:tcPr>
          <w:p w14:paraId="3A9B931E" w14:textId="0DA65862" w:rsidR="00FE3437" w:rsidRPr="00650F2B" w:rsidRDefault="00FE3437" w:rsidP="00586A7E">
            <w:pPr>
              <w:spacing w:after="0"/>
              <w:rPr>
                <w:rFonts w:ascii="Arial" w:hAnsi="Arial" w:cs="Arial"/>
                <w:sz w:val="18"/>
              </w:rPr>
            </w:pPr>
            <w:r>
              <w:rPr>
                <w:rFonts w:ascii="Arial" w:hAnsi="Arial" w:cs="Arial"/>
                <w:sz w:val="18"/>
              </w:rPr>
              <w:t>63%</w:t>
            </w:r>
          </w:p>
        </w:tc>
        <w:tc>
          <w:tcPr>
            <w:tcW w:w="2338" w:type="dxa"/>
            <w:vMerge/>
            <w:shd w:val="clear" w:color="auto" w:fill="FBE4D5" w:themeFill="accent2" w:themeFillTint="33"/>
            <w:vAlign w:val="center"/>
          </w:tcPr>
          <w:p w14:paraId="7D67C607" w14:textId="77777777" w:rsidR="00FE3437" w:rsidRPr="00650F2B" w:rsidRDefault="00FE3437" w:rsidP="00586A7E">
            <w:pPr>
              <w:spacing w:after="0"/>
              <w:rPr>
                <w:rFonts w:ascii="Arial" w:hAnsi="Arial" w:cs="Arial"/>
                <w:sz w:val="18"/>
              </w:rPr>
            </w:pPr>
          </w:p>
        </w:tc>
      </w:tr>
      <w:tr w:rsidR="00FE3437" w:rsidRPr="00650F2B" w14:paraId="47FF3657" w14:textId="77777777" w:rsidTr="00FE3437">
        <w:tc>
          <w:tcPr>
            <w:tcW w:w="2695" w:type="dxa"/>
            <w:shd w:val="clear" w:color="auto" w:fill="F2F2F2" w:themeFill="background1" w:themeFillShade="F2"/>
          </w:tcPr>
          <w:p w14:paraId="60000D6A" w14:textId="6F66C256" w:rsidR="00FE3437" w:rsidRPr="00650F2B" w:rsidRDefault="00FE3437" w:rsidP="00586A7E">
            <w:pPr>
              <w:spacing w:after="0"/>
              <w:rPr>
                <w:rFonts w:ascii="Arial" w:hAnsi="Arial" w:cs="Arial"/>
                <w:sz w:val="18"/>
              </w:rPr>
            </w:pPr>
            <w:r>
              <w:rPr>
                <w:rFonts w:ascii="Arial" w:hAnsi="Arial" w:cs="Arial"/>
                <w:sz w:val="18"/>
              </w:rPr>
              <w:t>New patients</w:t>
            </w:r>
            <w:r w:rsidR="00586A7E">
              <w:rPr>
                <w:rFonts w:ascii="Arial" w:hAnsi="Arial" w:cs="Arial"/>
                <w:sz w:val="18"/>
              </w:rPr>
              <w:t xml:space="preserve"> (15%)</w:t>
            </w:r>
          </w:p>
        </w:tc>
        <w:tc>
          <w:tcPr>
            <w:tcW w:w="1979" w:type="dxa"/>
            <w:shd w:val="clear" w:color="auto" w:fill="F2F2F2" w:themeFill="background1" w:themeFillShade="F2"/>
            <w:vAlign w:val="center"/>
          </w:tcPr>
          <w:p w14:paraId="7D0F7E43" w14:textId="77777777" w:rsidR="00FE3437" w:rsidRPr="00650F2B" w:rsidRDefault="00FE3437" w:rsidP="00586A7E">
            <w:pPr>
              <w:spacing w:after="0"/>
              <w:rPr>
                <w:rFonts w:ascii="Arial" w:hAnsi="Arial" w:cs="Arial"/>
                <w:sz w:val="18"/>
              </w:rPr>
            </w:pPr>
          </w:p>
        </w:tc>
        <w:tc>
          <w:tcPr>
            <w:tcW w:w="2338" w:type="dxa"/>
            <w:shd w:val="clear" w:color="auto" w:fill="F2F2F2" w:themeFill="background1" w:themeFillShade="F2"/>
            <w:vAlign w:val="center"/>
          </w:tcPr>
          <w:p w14:paraId="566BB99D" w14:textId="77777777" w:rsidR="00FE3437" w:rsidRPr="00650F2B" w:rsidRDefault="00FE3437" w:rsidP="00586A7E">
            <w:pPr>
              <w:spacing w:after="0"/>
              <w:rPr>
                <w:rFonts w:ascii="Arial" w:hAnsi="Arial" w:cs="Arial"/>
                <w:sz w:val="18"/>
              </w:rPr>
            </w:pPr>
          </w:p>
        </w:tc>
        <w:tc>
          <w:tcPr>
            <w:tcW w:w="2338" w:type="dxa"/>
            <w:vMerge/>
            <w:shd w:val="clear" w:color="auto" w:fill="FBE4D5" w:themeFill="accent2" w:themeFillTint="33"/>
            <w:vAlign w:val="center"/>
          </w:tcPr>
          <w:p w14:paraId="7DBC9DD0" w14:textId="77777777" w:rsidR="00FE3437" w:rsidRPr="00650F2B" w:rsidRDefault="00FE3437" w:rsidP="00586A7E">
            <w:pPr>
              <w:spacing w:after="0"/>
              <w:rPr>
                <w:rFonts w:ascii="Arial" w:hAnsi="Arial" w:cs="Arial"/>
                <w:sz w:val="18"/>
              </w:rPr>
            </w:pPr>
          </w:p>
        </w:tc>
      </w:tr>
      <w:tr w:rsidR="00FE3437" w:rsidRPr="00650F2B" w14:paraId="52D63854" w14:textId="77777777" w:rsidTr="00FE3437">
        <w:tc>
          <w:tcPr>
            <w:tcW w:w="2695" w:type="dxa"/>
            <w:shd w:val="clear" w:color="auto" w:fill="FFFFFF" w:themeFill="background1"/>
          </w:tcPr>
          <w:p w14:paraId="75D8DC09" w14:textId="1E067BC6" w:rsidR="00FE3437" w:rsidRDefault="00FE3437" w:rsidP="00586A7E">
            <w:pPr>
              <w:spacing w:after="0"/>
              <w:rPr>
                <w:rFonts w:ascii="Arial" w:hAnsi="Arial" w:cs="Arial"/>
                <w:sz w:val="18"/>
              </w:rPr>
            </w:pPr>
            <w:r w:rsidRPr="00650F2B">
              <w:rPr>
                <w:rFonts w:ascii="Arial" w:hAnsi="Arial" w:cs="Arial"/>
                <w:sz w:val="18"/>
              </w:rPr>
              <w:t># tests</w:t>
            </w:r>
          </w:p>
        </w:tc>
        <w:tc>
          <w:tcPr>
            <w:tcW w:w="1979" w:type="dxa"/>
            <w:shd w:val="clear" w:color="auto" w:fill="FFFFFF" w:themeFill="background1"/>
            <w:vAlign w:val="center"/>
          </w:tcPr>
          <w:p w14:paraId="1B7E469A" w14:textId="722AD133" w:rsidR="00FE3437" w:rsidRPr="00650F2B" w:rsidRDefault="00FE3437" w:rsidP="00586A7E">
            <w:pPr>
              <w:spacing w:after="0"/>
              <w:rPr>
                <w:rFonts w:ascii="Arial" w:hAnsi="Arial" w:cs="Arial"/>
                <w:sz w:val="18"/>
              </w:rPr>
            </w:pPr>
            <w:r>
              <w:rPr>
                <w:rFonts w:ascii="Arial" w:hAnsi="Arial" w:cs="Arial"/>
                <w:sz w:val="18"/>
              </w:rPr>
              <w:t>1</w:t>
            </w:r>
          </w:p>
        </w:tc>
        <w:tc>
          <w:tcPr>
            <w:tcW w:w="2338" w:type="dxa"/>
            <w:shd w:val="clear" w:color="auto" w:fill="FFFFFF" w:themeFill="background1"/>
            <w:vAlign w:val="center"/>
          </w:tcPr>
          <w:p w14:paraId="566739C4" w14:textId="6062ECC9" w:rsidR="00FE3437" w:rsidRPr="00650F2B" w:rsidRDefault="00FE3437" w:rsidP="00586A7E">
            <w:pPr>
              <w:spacing w:after="0"/>
              <w:rPr>
                <w:rFonts w:ascii="Arial" w:hAnsi="Arial" w:cs="Arial"/>
                <w:sz w:val="18"/>
              </w:rPr>
            </w:pPr>
            <w:r>
              <w:rPr>
                <w:rFonts w:ascii="Arial" w:hAnsi="Arial" w:cs="Arial"/>
                <w:sz w:val="18"/>
              </w:rPr>
              <w:t>1</w:t>
            </w:r>
          </w:p>
        </w:tc>
        <w:tc>
          <w:tcPr>
            <w:tcW w:w="2338" w:type="dxa"/>
            <w:vMerge/>
            <w:shd w:val="clear" w:color="auto" w:fill="FBE4D5" w:themeFill="accent2" w:themeFillTint="33"/>
            <w:vAlign w:val="center"/>
          </w:tcPr>
          <w:p w14:paraId="511FFA68" w14:textId="77777777" w:rsidR="00FE3437" w:rsidRPr="00650F2B" w:rsidRDefault="00FE3437" w:rsidP="00586A7E">
            <w:pPr>
              <w:spacing w:after="0"/>
              <w:rPr>
                <w:rFonts w:ascii="Arial" w:hAnsi="Arial" w:cs="Arial"/>
                <w:sz w:val="18"/>
              </w:rPr>
            </w:pPr>
          </w:p>
        </w:tc>
      </w:tr>
      <w:tr w:rsidR="00FE3437" w:rsidRPr="00650F2B" w14:paraId="64657C84" w14:textId="77777777" w:rsidTr="00FE3437">
        <w:tc>
          <w:tcPr>
            <w:tcW w:w="2695" w:type="dxa"/>
            <w:shd w:val="clear" w:color="auto" w:fill="FFFFFF" w:themeFill="background1"/>
          </w:tcPr>
          <w:p w14:paraId="3BB77AB2" w14:textId="6FB8AAA6" w:rsidR="00FE3437" w:rsidRDefault="00FE3437" w:rsidP="00586A7E">
            <w:pPr>
              <w:spacing w:after="0"/>
              <w:rPr>
                <w:rFonts w:ascii="Arial" w:hAnsi="Arial" w:cs="Arial"/>
                <w:sz w:val="18"/>
              </w:rPr>
            </w:pPr>
            <w:r w:rsidRPr="00650F2B">
              <w:rPr>
                <w:rFonts w:ascii="Arial" w:hAnsi="Arial" w:cs="Arial"/>
                <w:sz w:val="18"/>
              </w:rPr>
              <w:t>Utilization</w:t>
            </w:r>
          </w:p>
        </w:tc>
        <w:tc>
          <w:tcPr>
            <w:tcW w:w="1979" w:type="dxa"/>
            <w:shd w:val="clear" w:color="auto" w:fill="FFFFFF" w:themeFill="background1"/>
            <w:vAlign w:val="center"/>
          </w:tcPr>
          <w:p w14:paraId="08EADDD4" w14:textId="6FA89459" w:rsidR="00FE3437" w:rsidRPr="00650F2B" w:rsidRDefault="00FE3437" w:rsidP="00586A7E">
            <w:pPr>
              <w:spacing w:after="0"/>
              <w:rPr>
                <w:rFonts w:ascii="Arial" w:hAnsi="Arial" w:cs="Arial"/>
                <w:sz w:val="18"/>
              </w:rPr>
            </w:pPr>
            <w:r>
              <w:rPr>
                <w:rFonts w:ascii="Arial" w:hAnsi="Arial" w:cs="Arial"/>
                <w:sz w:val="18"/>
              </w:rPr>
              <w:t>6.7%</w:t>
            </w:r>
          </w:p>
        </w:tc>
        <w:tc>
          <w:tcPr>
            <w:tcW w:w="2338" w:type="dxa"/>
            <w:shd w:val="clear" w:color="auto" w:fill="FFFFFF" w:themeFill="background1"/>
            <w:vAlign w:val="center"/>
          </w:tcPr>
          <w:p w14:paraId="354CB55B" w14:textId="4E22CCD6" w:rsidR="00FE3437" w:rsidRPr="00650F2B" w:rsidRDefault="00FE3437" w:rsidP="00586A7E">
            <w:pPr>
              <w:spacing w:after="0"/>
              <w:rPr>
                <w:rFonts w:ascii="Arial" w:hAnsi="Arial" w:cs="Arial"/>
                <w:sz w:val="18"/>
              </w:rPr>
            </w:pPr>
            <w:r>
              <w:rPr>
                <w:rFonts w:ascii="Arial" w:hAnsi="Arial" w:cs="Arial"/>
                <w:sz w:val="18"/>
              </w:rPr>
              <w:t>63%</w:t>
            </w:r>
          </w:p>
        </w:tc>
        <w:tc>
          <w:tcPr>
            <w:tcW w:w="2338" w:type="dxa"/>
            <w:vMerge/>
            <w:shd w:val="clear" w:color="auto" w:fill="FBE4D5" w:themeFill="accent2" w:themeFillTint="33"/>
            <w:vAlign w:val="center"/>
          </w:tcPr>
          <w:p w14:paraId="5AD62565" w14:textId="77777777" w:rsidR="00FE3437" w:rsidRPr="00650F2B" w:rsidRDefault="00FE3437" w:rsidP="00586A7E">
            <w:pPr>
              <w:spacing w:after="0"/>
              <w:rPr>
                <w:rFonts w:ascii="Arial" w:hAnsi="Arial" w:cs="Arial"/>
                <w:sz w:val="18"/>
              </w:rPr>
            </w:pPr>
          </w:p>
        </w:tc>
      </w:tr>
      <w:tr w:rsidR="00D33712" w:rsidRPr="00650F2B" w14:paraId="06697355" w14:textId="77777777" w:rsidTr="00586A7E">
        <w:tc>
          <w:tcPr>
            <w:tcW w:w="2695" w:type="dxa"/>
            <w:shd w:val="clear" w:color="auto" w:fill="BFBFBF" w:themeFill="background1" w:themeFillShade="BF"/>
          </w:tcPr>
          <w:p w14:paraId="1A58A5C9" w14:textId="1430F8BE" w:rsidR="00D33712" w:rsidRPr="00650F2B" w:rsidRDefault="00D33712" w:rsidP="00586A7E">
            <w:pPr>
              <w:spacing w:after="0"/>
              <w:rPr>
                <w:rFonts w:ascii="Arial" w:hAnsi="Arial" w:cs="Arial"/>
                <w:sz w:val="18"/>
              </w:rPr>
            </w:pPr>
            <w:r>
              <w:rPr>
                <w:rFonts w:ascii="Arial" w:hAnsi="Arial" w:cs="Arial"/>
                <w:sz w:val="18"/>
              </w:rPr>
              <w:t>Equipment</w:t>
            </w:r>
          </w:p>
        </w:tc>
        <w:tc>
          <w:tcPr>
            <w:tcW w:w="1979" w:type="dxa"/>
            <w:shd w:val="clear" w:color="auto" w:fill="BFBFBF" w:themeFill="background1" w:themeFillShade="BF"/>
            <w:vAlign w:val="center"/>
          </w:tcPr>
          <w:p w14:paraId="55DCDA7F" w14:textId="56A7EA2D" w:rsidR="00D33712" w:rsidRDefault="00586A7E" w:rsidP="00586A7E">
            <w:pPr>
              <w:spacing w:after="0"/>
              <w:rPr>
                <w:rFonts w:ascii="Arial" w:hAnsi="Arial" w:cs="Arial"/>
                <w:sz w:val="18"/>
              </w:rPr>
            </w:pPr>
            <w:r>
              <w:rPr>
                <w:rFonts w:ascii="Arial" w:hAnsi="Arial" w:cs="Arial"/>
                <w:sz w:val="18"/>
              </w:rPr>
              <w:t>$</w:t>
            </w:r>
            <w:r w:rsidR="00D33712">
              <w:rPr>
                <w:rFonts w:ascii="Arial" w:hAnsi="Arial" w:cs="Arial"/>
                <w:sz w:val="18"/>
              </w:rPr>
              <w:t>1.</w:t>
            </w:r>
            <w:r>
              <w:rPr>
                <w:rFonts w:ascii="Arial" w:hAnsi="Arial" w:cs="Arial"/>
                <w:sz w:val="18"/>
              </w:rPr>
              <w:t>4</w:t>
            </w:r>
          </w:p>
        </w:tc>
        <w:tc>
          <w:tcPr>
            <w:tcW w:w="2338" w:type="dxa"/>
            <w:shd w:val="clear" w:color="auto" w:fill="BFBFBF" w:themeFill="background1" w:themeFillShade="BF"/>
            <w:vAlign w:val="center"/>
          </w:tcPr>
          <w:p w14:paraId="14B7291C" w14:textId="695756C0" w:rsidR="00D33712" w:rsidRDefault="00586A7E" w:rsidP="00586A7E">
            <w:pPr>
              <w:spacing w:after="0"/>
              <w:rPr>
                <w:rFonts w:ascii="Arial" w:hAnsi="Arial" w:cs="Arial"/>
                <w:sz w:val="18"/>
              </w:rPr>
            </w:pPr>
            <w:r>
              <w:rPr>
                <w:rFonts w:ascii="Arial" w:hAnsi="Arial" w:cs="Arial"/>
                <w:sz w:val="18"/>
              </w:rPr>
              <w:t>$</w:t>
            </w:r>
            <w:r w:rsidR="00D33712">
              <w:rPr>
                <w:rFonts w:ascii="Arial" w:hAnsi="Arial" w:cs="Arial"/>
                <w:sz w:val="18"/>
              </w:rPr>
              <w:t>1.</w:t>
            </w:r>
            <w:r>
              <w:rPr>
                <w:rFonts w:ascii="Arial" w:hAnsi="Arial" w:cs="Arial"/>
                <w:sz w:val="18"/>
              </w:rPr>
              <w:t>4</w:t>
            </w:r>
          </w:p>
        </w:tc>
        <w:tc>
          <w:tcPr>
            <w:tcW w:w="2338" w:type="dxa"/>
            <w:shd w:val="clear" w:color="auto" w:fill="FBE4D5" w:themeFill="accent2" w:themeFillTint="33"/>
            <w:vAlign w:val="center"/>
          </w:tcPr>
          <w:p w14:paraId="51B0CB06" w14:textId="6975650B" w:rsidR="00D33712" w:rsidRPr="00650F2B" w:rsidRDefault="00586A7E" w:rsidP="00586A7E">
            <w:pPr>
              <w:spacing w:after="0"/>
              <w:rPr>
                <w:rFonts w:ascii="Arial" w:hAnsi="Arial" w:cs="Arial"/>
                <w:sz w:val="18"/>
              </w:rPr>
            </w:pPr>
            <w:r>
              <w:rPr>
                <w:rFonts w:ascii="Arial" w:hAnsi="Arial" w:cs="Arial"/>
                <w:sz w:val="18"/>
              </w:rPr>
              <w:t>-</w:t>
            </w:r>
          </w:p>
        </w:tc>
      </w:tr>
    </w:tbl>
    <w:p w14:paraId="7169E2E7" w14:textId="77777777" w:rsidR="007212D5" w:rsidRDefault="007212D5" w:rsidP="00E37859">
      <w:pPr>
        <w:pStyle w:val="Heading2"/>
        <w:rPr>
          <w:rFonts w:ascii="Arial" w:hAnsi="Arial" w:cs="Arial"/>
          <w:color w:val="000000" w:themeColor="text1"/>
        </w:rPr>
      </w:pPr>
    </w:p>
    <w:p w14:paraId="347C0D70" w14:textId="2F30779F" w:rsidR="00E37859" w:rsidRDefault="00E37859" w:rsidP="00E37859">
      <w:pPr>
        <w:pStyle w:val="Heading2"/>
        <w:rPr>
          <w:rFonts w:ascii="Arial" w:hAnsi="Arial" w:cs="Arial"/>
          <w:color w:val="000000" w:themeColor="text1"/>
        </w:rPr>
      </w:pPr>
      <w:bookmarkStart w:id="148" w:name="_Toc57035241"/>
      <w:r>
        <w:rPr>
          <w:rFonts w:ascii="Arial" w:hAnsi="Arial" w:cs="Arial"/>
          <w:color w:val="000000" w:themeColor="text1"/>
        </w:rPr>
        <w:t>Annex 8. Differentiated Care Service Delivery Model guidelines</w:t>
      </w:r>
      <w:bookmarkEnd w:id="148"/>
    </w:p>
    <w:p w14:paraId="161C57B5" w14:textId="77777777" w:rsidR="00E37859" w:rsidRDefault="00E37859" w:rsidP="00E37859"/>
    <w:p w14:paraId="165CFC73" w14:textId="23A4B626" w:rsidR="00E37859" w:rsidRPr="00E1185F" w:rsidRDefault="0000091D" w:rsidP="0000091D">
      <w:pPr>
        <w:rPr>
          <w:rFonts w:ascii="Arial" w:hAnsi="Arial" w:cs="Arial"/>
          <w:i/>
          <w:sz w:val="18"/>
        </w:rPr>
      </w:pPr>
      <w:r w:rsidRPr="0000091D">
        <w:rPr>
          <w:rFonts w:ascii="Arial" w:hAnsi="Arial" w:cs="Arial"/>
          <w:i/>
          <w:sz w:val="18"/>
        </w:rPr>
        <w:t xml:space="preserve">Figure 8A-1. </w:t>
      </w:r>
      <w:r>
        <w:rPr>
          <w:rFonts w:ascii="Arial" w:hAnsi="Arial" w:cs="Arial"/>
          <w:i/>
          <w:sz w:val="18"/>
        </w:rPr>
        <w:t>DSDM r</w:t>
      </w:r>
      <w:r w:rsidR="00E37859" w:rsidRPr="0000091D">
        <w:rPr>
          <w:rFonts w:ascii="Arial" w:hAnsi="Arial" w:cs="Arial"/>
          <w:i/>
          <w:sz w:val="18"/>
        </w:rPr>
        <w:t>ecommendations for clinical visits and ARV prescriptions</w:t>
      </w:r>
    </w:p>
    <w:tbl>
      <w:tblPr>
        <w:tblW w:w="101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20" w:firstRow="1" w:lastRow="0" w:firstColumn="0" w:lastColumn="0" w:noHBand="0" w:noVBand="1"/>
      </w:tblPr>
      <w:tblGrid>
        <w:gridCol w:w="1736"/>
        <w:gridCol w:w="1501"/>
        <w:gridCol w:w="1438"/>
        <w:gridCol w:w="1350"/>
        <w:gridCol w:w="2070"/>
        <w:gridCol w:w="2031"/>
      </w:tblGrid>
      <w:tr w:rsidR="00E37859" w:rsidRPr="00C74071" w14:paraId="42E16B46" w14:textId="77777777" w:rsidTr="00AC4829">
        <w:trPr>
          <w:trHeight w:val="22"/>
        </w:trPr>
        <w:tc>
          <w:tcPr>
            <w:tcW w:w="1736" w:type="dxa"/>
            <w:shd w:val="clear" w:color="auto" w:fill="FFFFFF" w:themeFill="background1"/>
            <w:tcMar>
              <w:top w:w="72" w:type="dxa"/>
              <w:left w:w="144" w:type="dxa"/>
              <w:bottom w:w="72" w:type="dxa"/>
              <w:right w:w="144" w:type="dxa"/>
            </w:tcMar>
            <w:hideMark/>
          </w:tcPr>
          <w:p w14:paraId="084D82E6" w14:textId="77777777" w:rsidR="00E37859" w:rsidRPr="00C74071" w:rsidRDefault="00E37859" w:rsidP="00AC4829">
            <w:pPr>
              <w:spacing w:after="0"/>
              <w:ind w:left="360"/>
              <w:rPr>
                <w:rFonts w:ascii="Arial" w:hAnsi="Arial" w:cs="Arial"/>
                <w:b/>
                <w:color w:val="000000" w:themeColor="text1"/>
                <w:sz w:val="16"/>
              </w:rPr>
            </w:pPr>
          </w:p>
        </w:tc>
        <w:tc>
          <w:tcPr>
            <w:tcW w:w="1501" w:type="dxa"/>
            <w:shd w:val="clear" w:color="auto" w:fill="FFFFFF" w:themeFill="background1"/>
            <w:tcMar>
              <w:top w:w="72" w:type="dxa"/>
              <w:left w:w="144" w:type="dxa"/>
              <w:bottom w:w="72" w:type="dxa"/>
              <w:right w:w="144" w:type="dxa"/>
            </w:tcMar>
            <w:vAlign w:val="center"/>
            <w:hideMark/>
          </w:tcPr>
          <w:p w14:paraId="20A37119"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Previous SOC</w:t>
            </w:r>
          </w:p>
        </w:tc>
        <w:tc>
          <w:tcPr>
            <w:tcW w:w="1438" w:type="dxa"/>
            <w:shd w:val="clear" w:color="auto" w:fill="FFFFFF" w:themeFill="background1"/>
            <w:tcMar>
              <w:top w:w="72" w:type="dxa"/>
              <w:left w:w="144" w:type="dxa"/>
              <w:bottom w:w="72" w:type="dxa"/>
              <w:right w:w="144" w:type="dxa"/>
            </w:tcMar>
            <w:vAlign w:val="center"/>
            <w:hideMark/>
          </w:tcPr>
          <w:p w14:paraId="393680C2" w14:textId="77777777" w:rsidR="00E37859" w:rsidRPr="00C74071" w:rsidRDefault="00E37859" w:rsidP="00AC4829">
            <w:pPr>
              <w:spacing w:after="0"/>
              <w:rPr>
                <w:rFonts w:ascii="Arial" w:hAnsi="Arial" w:cs="Arial"/>
                <w:b/>
                <w:bCs/>
                <w:color w:val="000000" w:themeColor="text1"/>
                <w:sz w:val="16"/>
              </w:rPr>
            </w:pPr>
            <w:r w:rsidRPr="00C74071">
              <w:rPr>
                <w:rFonts w:ascii="Arial" w:hAnsi="Arial" w:cs="Arial"/>
                <w:b/>
                <w:bCs/>
                <w:color w:val="000000" w:themeColor="text1"/>
                <w:sz w:val="16"/>
              </w:rPr>
              <w:t xml:space="preserve">Tanzanian Guidelines </w:t>
            </w:r>
          </w:p>
          <w:p w14:paraId="7AF6608C"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(5</w:t>
            </w:r>
            <w:r w:rsidRPr="00C74071">
              <w:rPr>
                <w:rFonts w:ascii="Arial" w:hAnsi="Arial" w:cs="Arial"/>
                <w:b/>
                <w:bCs/>
                <w:color w:val="000000" w:themeColor="text1"/>
                <w:sz w:val="16"/>
                <w:vertAlign w:val="superscript"/>
              </w:rPr>
              <w:t>th</w:t>
            </w:r>
            <w:r w:rsidRPr="00C74071">
              <w:rPr>
                <w:rFonts w:ascii="Arial" w:hAnsi="Arial" w:cs="Arial"/>
                <w:b/>
                <w:bCs/>
                <w:color w:val="000000" w:themeColor="text1"/>
                <w:sz w:val="16"/>
              </w:rPr>
              <w:t xml:space="preserve"> ed)</w:t>
            </w:r>
          </w:p>
        </w:tc>
        <w:tc>
          <w:tcPr>
            <w:tcW w:w="1350" w:type="dxa"/>
            <w:shd w:val="clear" w:color="auto" w:fill="FFFFFF" w:themeFill="background1"/>
            <w:tcMar>
              <w:top w:w="72" w:type="dxa"/>
              <w:left w:w="144" w:type="dxa"/>
              <w:bottom w:w="72" w:type="dxa"/>
              <w:right w:w="144" w:type="dxa"/>
            </w:tcMar>
            <w:vAlign w:val="center"/>
            <w:hideMark/>
          </w:tcPr>
          <w:p w14:paraId="58E2E567" w14:textId="77777777" w:rsidR="00E37859" w:rsidRPr="00C74071" w:rsidRDefault="00E37859" w:rsidP="00AC4829">
            <w:pPr>
              <w:spacing w:after="0"/>
              <w:rPr>
                <w:rFonts w:ascii="Arial" w:hAnsi="Arial" w:cs="Arial"/>
                <w:b/>
                <w:bCs/>
                <w:color w:val="000000" w:themeColor="text1"/>
                <w:sz w:val="16"/>
              </w:rPr>
            </w:pPr>
            <w:r w:rsidRPr="00C74071">
              <w:rPr>
                <w:rFonts w:ascii="Arial" w:hAnsi="Arial" w:cs="Arial"/>
                <w:b/>
                <w:bCs/>
                <w:color w:val="000000" w:themeColor="text1"/>
                <w:sz w:val="16"/>
              </w:rPr>
              <w:t xml:space="preserve">Tanzanian guidelines </w:t>
            </w:r>
          </w:p>
          <w:p w14:paraId="138774B7"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(6</w:t>
            </w:r>
            <w:r w:rsidRPr="00C74071">
              <w:rPr>
                <w:rFonts w:ascii="Arial" w:hAnsi="Arial" w:cs="Arial"/>
                <w:b/>
                <w:bCs/>
                <w:color w:val="000000" w:themeColor="text1"/>
                <w:sz w:val="16"/>
                <w:vertAlign w:val="superscript"/>
              </w:rPr>
              <w:t>th</w:t>
            </w:r>
            <w:r w:rsidRPr="00C74071">
              <w:rPr>
                <w:rFonts w:ascii="Arial" w:hAnsi="Arial" w:cs="Arial"/>
                <w:b/>
                <w:bCs/>
                <w:color w:val="000000" w:themeColor="text1"/>
                <w:sz w:val="16"/>
              </w:rPr>
              <w:t xml:space="preserve"> edition)</w:t>
            </w:r>
          </w:p>
        </w:tc>
        <w:tc>
          <w:tcPr>
            <w:tcW w:w="2070" w:type="dxa"/>
            <w:shd w:val="clear" w:color="auto" w:fill="FFFFFF" w:themeFill="background1"/>
            <w:tcMar>
              <w:top w:w="72" w:type="dxa"/>
              <w:left w:w="144" w:type="dxa"/>
              <w:bottom w:w="72" w:type="dxa"/>
              <w:right w:w="144" w:type="dxa"/>
            </w:tcMar>
            <w:vAlign w:val="center"/>
            <w:hideMark/>
          </w:tcPr>
          <w:p w14:paraId="4E955138" w14:textId="77777777" w:rsidR="00E37859" w:rsidRPr="00C74071" w:rsidRDefault="00E37859" w:rsidP="00AC4829">
            <w:pPr>
              <w:spacing w:after="0"/>
              <w:rPr>
                <w:rFonts w:ascii="Arial" w:hAnsi="Arial" w:cs="Arial"/>
                <w:b/>
                <w:bCs/>
                <w:color w:val="000000" w:themeColor="text1"/>
                <w:sz w:val="16"/>
              </w:rPr>
            </w:pPr>
            <w:r w:rsidRPr="00C74071">
              <w:rPr>
                <w:rFonts w:ascii="Arial" w:hAnsi="Arial" w:cs="Arial"/>
                <w:b/>
                <w:bCs/>
                <w:color w:val="000000" w:themeColor="text1"/>
                <w:sz w:val="16"/>
              </w:rPr>
              <w:t xml:space="preserve">Efficient Service Delivery </w:t>
            </w:r>
          </w:p>
          <w:p w14:paraId="5159A8C9"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(PEPFAR COP 2016)</w:t>
            </w:r>
          </w:p>
        </w:tc>
        <w:tc>
          <w:tcPr>
            <w:tcW w:w="2031" w:type="dxa"/>
            <w:shd w:val="clear" w:color="auto" w:fill="FFFFFF"/>
            <w:tcMar>
              <w:top w:w="72" w:type="dxa"/>
              <w:left w:w="144" w:type="dxa"/>
              <w:bottom w:w="72" w:type="dxa"/>
              <w:right w:w="144" w:type="dxa"/>
            </w:tcMar>
            <w:vAlign w:val="center"/>
            <w:hideMark/>
          </w:tcPr>
          <w:p w14:paraId="77ACFFE2"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CDC 2015 ART costing study assumption</w:t>
            </w:r>
          </w:p>
        </w:tc>
      </w:tr>
      <w:tr w:rsidR="00E37859" w:rsidRPr="00C74071" w14:paraId="596DE383" w14:textId="77777777" w:rsidTr="00AC4829">
        <w:trPr>
          <w:trHeight w:val="179"/>
        </w:trPr>
        <w:tc>
          <w:tcPr>
            <w:tcW w:w="1736" w:type="dxa"/>
            <w:shd w:val="clear" w:color="auto" w:fill="FFFFFF" w:themeFill="background1"/>
            <w:tcMar>
              <w:top w:w="72" w:type="dxa"/>
              <w:left w:w="144" w:type="dxa"/>
              <w:bottom w:w="72" w:type="dxa"/>
              <w:right w:w="144" w:type="dxa"/>
            </w:tcMar>
            <w:vAlign w:val="center"/>
            <w:hideMark/>
          </w:tcPr>
          <w:p w14:paraId="5CDD451A"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Clinical visits for new clients</w:t>
            </w:r>
          </w:p>
        </w:tc>
        <w:tc>
          <w:tcPr>
            <w:tcW w:w="1501" w:type="dxa"/>
            <w:shd w:val="clear" w:color="auto" w:fill="auto"/>
            <w:tcMar>
              <w:top w:w="72" w:type="dxa"/>
              <w:left w:w="144" w:type="dxa"/>
              <w:bottom w:w="72" w:type="dxa"/>
              <w:right w:w="144" w:type="dxa"/>
            </w:tcMar>
            <w:vAlign w:val="center"/>
            <w:hideMark/>
          </w:tcPr>
          <w:p w14:paraId="2FB0ED22"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13 visits per year</w:t>
            </w:r>
          </w:p>
        </w:tc>
        <w:tc>
          <w:tcPr>
            <w:tcW w:w="1438" w:type="dxa"/>
            <w:shd w:val="clear" w:color="auto" w:fill="auto"/>
            <w:tcMar>
              <w:top w:w="72" w:type="dxa"/>
              <w:left w:w="144" w:type="dxa"/>
              <w:bottom w:w="72" w:type="dxa"/>
              <w:right w:w="144" w:type="dxa"/>
            </w:tcMar>
            <w:vAlign w:val="center"/>
            <w:hideMark/>
          </w:tcPr>
          <w:p w14:paraId="31860067"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5 visits per year</w:t>
            </w:r>
          </w:p>
        </w:tc>
        <w:tc>
          <w:tcPr>
            <w:tcW w:w="1350" w:type="dxa"/>
            <w:shd w:val="clear" w:color="auto" w:fill="auto"/>
            <w:tcMar>
              <w:top w:w="72" w:type="dxa"/>
              <w:left w:w="144" w:type="dxa"/>
              <w:bottom w:w="72" w:type="dxa"/>
              <w:right w:w="144" w:type="dxa"/>
            </w:tcMar>
            <w:vAlign w:val="center"/>
            <w:hideMark/>
          </w:tcPr>
          <w:p w14:paraId="7CCA3B18"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5 visits per year</w:t>
            </w:r>
          </w:p>
        </w:tc>
        <w:tc>
          <w:tcPr>
            <w:tcW w:w="2070" w:type="dxa"/>
            <w:shd w:val="clear" w:color="auto" w:fill="auto"/>
            <w:tcMar>
              <w:top w:w="72" w:type="dxa"/>
              <w:left w:w="144" w:type="dxa"/>
              <w:bottom w:w="72" w:type="dxa"/>
              <w:right w:w="144" w:type="dxa"/>
            </w:tcMar>
            <w:vAlign w:val="center"/>
            <w:hideMark/>
          </w:tcPr>
          <w:p w14:paraId="7549F317"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3 visits per year</w:t>
            </w:r>
          </w:p>
        </w:tc>
        <w:tc>
          <w:tcPr>
            <w:tcW w:w="2031" w:type="dxa"/>
            <w:shd w:val="clear" w:color="auto" w:fill="FFFFFF" w:themeFill="background1"/>
            <w:tcMar>
              <w:top w:w="72" w:type="dxa"/>
              <w:left w:w="144" w:type="dxa"/>
              <w:bottom w:w="72" w:type="dxa"/>
              <w:right w:w="144" w:type="dxa"/>
            </w:tcMar>
            <w:vAlign w:val="center"/>
            <w:hideMark/>
          </w:tcPr>
          <w:p w14:paraId="30FF9E6F"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9 visits per year</w:t>
            </w:r>
          </w:p>
        </w:tc>
      </w:tr>
      <w:tr w:rsidR="00E37859" w:rsidRPr="00C74071" w14:paraId="357179E0" w14:textId="77777777" w:rsidTr="00AC4829">
        <w:trPr>
          <w:trHeight w:val="470"/>
        </w:trPr>
        <w:tc>
          <w:tcPr>
            <w:tcW w:w="1736" w:type="dxa"/>
            <w:shd w:val="clear" w:color="auto" w:fill="FFFFFF" w:themeFill="background1"/>
            <w:tcMar>
              <w:top w:w="72" w:type="dxa"/>
              <w:left w:w="144" w:type="dxa"/>
              <w:bottom w:w="72" w:type="dxa"/>
              <w:right w:w="144" w:type="dxa"/>
            </w:tcMar>
            <w:vAlign w:val="center"/>
            <w:hideMark/>
          </w:tcPr>
          <w:p w14:paraId="67BDF49A"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Clinical visits for stable, continuing clients</w:t>
            </w:r>
          </w:p>
        </w:tc>
        <w:tc>
          <w:tcPr>
            <w:tcW w:w="1501" w:type="dxa"/>
            <w:shd w:val="clear" w:color="auto" w:fill="auto"/>
            <w:tcMar>
              <w:top w:w="72" w:type="dxa"/>
              <w:left w:w="144" w:type="dxa"/>
              <w:bottom w:w="72" w:type="dxa"/>
              <w:right w:w="144" w:type="dxa"/>
            </w:tcMar>
            <w:vAlign w:val="center"/>
            <w:hideMark/>
          </w:tcPr>
          <w:p w14:paraId="7D5D93E1"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12 visits per year</w:t>
            </w:r>
          </w:p>
        </w:tc>
        <w:tc>
          <w:tcPr>
            <w:tcW w:w="1438" w:type="dxa"/>
            <w:shd w:val="clear" w:color="auto" w:fill="auto"/>
            <w:tcMar>
              <w:top w:w="72" w:type="dxa"/>
              <w:left w:w="144" w:type="dxa"/>
              <w:bottom w:w="72" w:type="dxa"/>
              <w:right w:w="144" w:type="dxa"/>
            </w:tcMar>
            <w:vAlign w:val="center"/>
            <w:hideMark/>
          </w:tcPr>
          <w:p w14:paraId="09FF1A13"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4 visits per year</w:t>
            </w:r>
          </w:p>
        </w:tc>
        <w:tc>
          <w:tcPr>
            <w:tcW w:w="1350" w:type="dxa"/>
            <w:shd w:val="clear" w:color="auto" w:fill="auto"/>
            <w:tcMar>
              <w:top w:w="72" w:type="dxa"/>
              <w:left w:w="144" w:type="dxa"/>
              <w:bottom w:w="72" w:type="dxa"/>
              <w:right w:w="144" w:type="dxa"/>
            </w:tcMar>
            <w:vAlign w:val="center"/>
            <w:hideMark/>
          </w:tcPr>
          <w:p w14:paraId="1A97FDC8"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2 visits per year</w:t>
            </w:r>
          </w:p>
        </w:tc>
        <w:tc>
          <w:tcPr>
            <w:tcW w:w="2070" w:type="dxa"/>
            <w:shd w:val="clear" w:color="auto" w:fill="auto"/>
            <w:tcMar>
              <w:top w:w="72" w:type="dxa"/>
              <w:left w:w="144" w:type="dxa"/>
              <w:bottom w:w="72" w:type="dxa"/>
              <w:right w:w="144" w:type="dxa"/>
            </w:tcMar>
            <w:vAlign w:val="center"/>
            <w:hideMark/>
          </w:tcPr>
          <w:p w14:paraId="53EFA1F2"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2 visits per year</w:t>
            </w:r>
          </w:p>
        </w:tc>
        <w:tc>
          <w:tcPr>
            <w:tcW w:w="2031" w:type="dxa"/>
            <w:shd w:val="clear" w:color="auto" w:fill="FFFFFF" w:themeFill="background1"/>
            <w:tcMar>
              <w:top w:w="72" w:type="dxa"/>
              <w:left w:w="144" w:type="dxa"/>
              <w:bottom w:w="72" w:type="dxa"/>
              <w:right w:w="144" w:type="dxa"/>
            </w:tcMar>
            <w:vAlign w:val="center"/>
            <w:hideMark/>
          </w:tcPr>
          <w:p w14:paraId="2B2494E9"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6 visits per year</w:t>
            </w:r>
          </w:p>
        </w:tc>
      </w:tr>
      <w:tr w:rsidR="00E37859" w:rsidRPr="00C74071" w14:paraId="326DEB93" w14:textId="77777777" w:rsidTr="00AC4829">
        <w:trPr>
          <w:trHeight w:val="366"/>
        </w:trPr>
        <w:tc>
          <w:tcPr>
            <w:tcW w:w="1736" w:type="dxa"/>
            <w:shd w:val="clear" w:color="auto" w:fill="FFFFFF" w:themeFill="background1"/>
            <w:tcMar>
              <w:top w:w="72" w:type="dxa"/>
              <w:left w:w="144" w:type="dxa"/>
              <w:bottom w:w="72" w:type="dxa"/>
              <w:right w:w="144" w:type="dxa"/>
            </w:tcMar>
            <w:vAlign w:val="center"/>
            <w:hideMark/>
          </w:tcPr>
          <w:p w14:paraId="5D5D47F0"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Clinical visits for non-stable, clinical clients</w:t>
            </w:r>
          </w:p>
        </w:tc>
        <w:tc>
          <w:tcPr>
            <w:tcW w:w="1501" w:type="dxa"/>
            <w:shd w:val="clear" w:color="auto" w:fill="auto"/>
            <w:tcMar>
              <w:top w:w="72" w:type="dxa"/>
              <w:left w:w="144" w:type="dxa"/>
              <w:bottom w:w="72" w:type="dxa"/>
              <w:right w:w="144" w:type="dxa"/>
            </w:tcMar>
            <w:vAlign w:val="center"/>
            <w:hideMark/>
          </w:tcPr>
          <w:p w14:paraId="5E9D998D"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12 visits per year</w:t>
            </w:r>
          </w:p>
        </w:tc>
        <w:tc>
          <w:tcPr>
            <w:tcW w:w="1438" w:type="dxa"/>
            <w:shd w:val="clear" w:color="auto" w:fill="auto"/>
            <w:tcMar>
              <w:top w:w="72" w:type="dxa"/>
              <w:left w:w="144" w:type="dxa"/>
              <w:bottom w:w="72" w:type="dxa"/>
              <w:right w:w="144" w:type="dxa"/>
            </w:tcMar>
            <w:vAlign w:val="center"/>
            <w:hideMark/>
          </w:tcPr>
          <w:p w14:paraId="5F18AE7B"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12 visits per year</w:t>
            </w:r>
          </w:p>
        </w:tc>
        <w:tc>
          <w:tcPr>
            <w:tcW w:w="1350" w:type="dxa"/>
            <w:shd w:val="clear" w:color="auto" w:fill="auto"/>
            <w:tcMar>
              <w:top w:w="72" w:type="dxa"/>
              <w:left w:w="144" w:type="dxa"/>
              <w:bottom w:w="72" w:type="dxa"/>
              <w:right w:w="144" w:type="dxa"/>
            </w:tcMar>
            <w:vAlign w:val="center"/>
            <w:hideMark/>
          </w:tcPr>
          <w:p w14:paraId="50EA92FA"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12 visits per year</w:t>
            </w:r>
          </w:p>
        </w:tc>
        <w:tc>
          <w:tcPr>
            <w:tcW w:w="2070" w:type="dxa"/>
            <w:shd w:val="clear" w:color="auto" w:fill="auto"/>
            <w:tcMar>
              <w:top w:w="72" w:type="dxa"/>
              <w:left w:w="144" w:type="dxa"/>
              <w:bottom w:w="72" w:type="dxa"/>
              <w:right w:w="144" w:type="dxa"/>
            </w:tcMar>
            <w:vAlign w:val="center"/>
            <w:hideMark/>
          </w:tcPr>
          <w:p w14:paraId="5215690B"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12 visits per year</w:t>
            </w:r>
          </w:p>
        </w:tc>
        <w:tc>
          <w:tcPr>
            <w:tcW w:w="2031" w:type="dxa"/>
            <w:shd w:val="clear" w:color="auto" w:fill="FFFFFF" w:themeFill="background1"/>
            <w:tcMar>
              <w:top w:w="72" w:type="dxa"/>
              <w:left w:w="144" w:type="dxa"/>
              <w:bottom w:w="72" w:type="dxa"/>
              <w:right w:w="144" w:type="dxa"/>
            </w:tcMar>
            <w:vAlign w:val="center"/>
            <w:hideMark/>
          </w:tcPr>
          <w:p w14:paraId="1A6BBE3D"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12 visits per year</w:t>
            </w:r>
          </w:p>
        </w:tc>
      </w:tr>
      <w:tr w:rsidR="00E37859" w:rsidRPr="00C74071" w14:paraId="564EA655" w14:textId="77777777" w:rsidTr="00AC4829">
        <w:trPr>
          <w:trHeight w:val="575"/>
        </w:trPr>
        <w:tc>
          <w:tcPr>
            <w:tcW w:w="1736" w:type="dxa"/>
            <w:shd w:val="clear" w:color="auto" w:fill="FFFFFF" w:themeFill="background1"/>
            <w:tcMar>
              <w:top w:w="72" w:type="dxa"/>
              <w:left w:w="144" w:type="dxa"/>
              <w:bottom w:w="72" w:type="dxa"/>
              <w:right w:w="144" w:type="dxa"/>
            </w:tcMar>
            <w:vAlign w:val="center"/>
            <w:hideMark/>
          </w:tcPr>
          <w:p w14:paraId="3DF32FD5" w14:textId="77777777" w:rsidR="00E37859" w:rsidRPr="00C74071" w:rsidRDefault="00E37859" w:rsidP="00AC4829">
            <w:pPr>
              <w:spacing w:after="0"/>
              <w:rPr>
                <w:rFonts w:ascii="Arial" w:hAnsi="Arial" w:cs="Arial"/>
                <w:b/>
                <w:color w:val="000000" w:themeColor="text1"/>
                <w:sz w:val="16"/>
              </w:rPr>
            </w:pPr>
            <w:r w:rsidRPr="00C74071">
              <w:rPr>
                <w:rFonts w:ascii="Arial" w:hAnsi="Arial" w:cs="Arial"/>
                <w:b/>
                <w:bCs/>
                <w:color w:val="000000" w:themeColor="text1"/>
                <w:sz w:val="16"/>
              </w:rPr>
              <w:t>Refill visits (non-clinical) for stable, continuing clients</w:t>
            </w:r>
          </w:p>
        </w:tc>
        <w:tc>
          <w:tcPr>
            <w:tcW w:w="1501" w:type="dxa"/>
            <w:shd w:val="clear" w:color="auto" w:fill="auto"/>
            <w:tcMar>
              <w:top w:w="72" w:type="dxa"/>
              <w:left w:w="144" w:type="dxa"/>
              <w:bottom w:w="72" w:type="dxa"/>
              <w:right w:w="144" w:type="dxa"/>
            </w:tcMar>
            <w:vAlign w:val="center"/>
            <w:hideMark/>
          </w:tcPr>
          <w:p w14:paraId="357ED885" w14:textId="77777777" w:rsidR="00E37859" w:rsidRPr="00C74071" w:rsidRDefault="00E37859" w:rsidP="00AC4829">
            <w:pPr>
              <w:spacing w:after="0"/>
              <w:ind w:left="360"/>
              <w:rPr>
                <w:rFonts w:ascii="Arial" w:hAnsi="Arial" w:cs="Arial"/>
                <w:color w:val="000000" w:themeColor="text1"/>
                <w:sz w:val="16"/>
              </w:rPr>
            </w:pPr>
            <w:r w:rsidRPr="00C74071">
              <w:rPr>
                <w:rFonts w:ascii="Arial" w:hAnsi="Arial" w:cs="Arial"/>
                <w:color w:val="000000" w:themeColor="text1"/>
                <w:sz w:val="16"/>
              </w:rPr>
              <w:t>---</w:t>
            </w:r>
          </w:p>
        </w:tc>
        <w:tc>
          <w:tcPr>
            <w:tcW w:w="1438" w:type="dxa"/>
            <w:shd w:val="clear" w:color="auto" w:fill="auto"/>
            <w:tcMar>
              <w:top w:w="72" w:type="dxa"/>
              <w:left w:w="144" w:type="dxa"/>
              <w:bottom w:w="72" w:type="dxa"/>
              <w:right w:w="144" w:type="dxa"/>
            </w:tcMar>
            <w:vAlign w:val="center"/>
            <w:hideMark/>
          </w:tcPr>
          <w:p w14:paraId="5E452D7F"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8 visits per year</w:t>
            </w:r>
          </w:p>
        </w:tc>
        <w:tc>
          <w:tcPr>
            <w:tcW w:w="1350" w:type="dxa"/>
            <w:shd w:val="clear" w:color="auto" w:fill="auto"/>
            <w:tcMar>
              <w:top w:w="72" w:type="dxa"/>
              <w:left w:w="144" w:type="dxa"/>
              <w:bottom w:w="72" w:type="dxa"/>
              <w:right w:w="144" w:type="dxa"/>
            </w:tcMar>
            <w:vAlign w:val="center"/>
            <w:hideMark/>
          </w:tcPr>
          <w:p w14:paraId="1EEF5068"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6 visits per year</w:t>
            </w:r>
          </w:p>
        </w:tc>
        <w:tc>
          <w:tcPr>
            <w:tcW w:w="2070" w:type="dxa"/>
            <w:shd w:val="clear" w:color="auto" w:fill="auto"/>
            <w:tcMar>
              <w:top w:w="72" w:type="dxa"/>
              <w:left w:w="144" w:type="dxa"/>
              <w:bottom w:w="72" w:type="dxa"/>
              <w:right w:w="144" w:type="dxa"/>
            </w:tcMar>
            <w:vAlign w:val="center"/>
            <w:hideMark/>
          </w:tcPr>
          <w:p w14:paraId="5DEC7581"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2 visits per year</w:t>
            </w:r>
          </w:p>
        </w:tc>
        <w:tc>
          <w:tcPr>
            <w:tcW w:w="2031" w:type="dxa"/>
            <w:shd w:val="clear" w:color="auto" w:fill="FFFFFF" w:themeFill="background1"/>
            <w:tcMar>
              <w:top w:w="72" w:type="dxa"/>
              <w:left w:w="144" w:type="dxa"/>
              <w:bottom w:w="72" w:type="dxa"/>
              <w:right w:w="144" w:type="dxa"/>
            </w:tcMar>
            <w:vAlign w:val="center"/>
            <w:hideMark/>
          </w:tcPr>
          <w:p w14:paraId="5364B9E4" w14:textId="77777777" w:rsidR="00E37859" w:rsidRPr="00C74071" w:rsidRDefault="00E37859" w:rsidP="00AC4829">
            <w:pPr>
              <w:spacing w:after="0"/>
              <w:ind w:left="360"/>
              <w:rPr>
                <w:rFonts w:ascii="Arial" w:hAnsi="Arial" w:cs="Arial"/>
                <w:color w:val="000000" w:themeColor="text1"/>
                <w:sz w:val="16"/>
              </w:rPr>
            </w:pPr>
            <w:r w:rsidRPr="00C74071">
              <w:rPr>
                <w:rFonts w:ascii="Arial" w:hAnsi="Arial" w:cs="Arial"/>
                <w:color w:val="000000" w:themeColor="text1"/>
                <w:sz w:val="16"/>
              </w:rPr>
              <w:t xml:space="preserve">------ </w:t>
            </w:r>
          </w:p>
          <w:p w14:paraId="5A3C4C79" w14:textId="77777777" w:rsidR="00E37859" w:rsidRPr="00C74071" w:rsidRDefault="00E37859" w:rsidP="00AC4829">
            <w:pPr>
              <w:spacing w:after="0"/>
              <w:rPr>
                <w:rFonts w:ascii="Arial" w:hAnsi="Arial" w:cs="Arial"/>
                <w:color w:val="000000" w:themeColor="text1"/>
                <w:sz w:val="16"/>
              </w:rPr>
            </w:pPr>
            <w:r w:rsidRPr="00C74071">
              <w:rPr>
                <w:rFonts w:ascii="Arial" w:hAnsi="Arial" w:cs="Arial"/>
                <w:color w:val="000000" w:themeColor="text1"/>
                <w:sz w:val="16"/>
              </w:rPr>
              <w:t>(clinical and prescription visits not different)</w:t>
            </w:r>
          </w:p>
        </w:tc>
      </w:tr>
    </w:tbl>
    <w:p w14:paraId="224FE5B2" w14:textId="77777777" w:rsidR="00E37859" w:rsidRDefault="00E37859" w:rsidP="00F07840"/>
    <w:p w14:paraId="6E2B96D5" w14:textId="1FE725C3" w:rsidR="00E37859" w:rsidRPr="0000091D" w:rsidRDefault="0000091D" w:rsidP="0000091D">
      <w:pPr>
        <w:rPr>
          <w:rFonts w:ascii="Arial" w:hAnsi="Arial" w:cs="Arial"/>
          <w:b/>
          <w:i/>
          <w:sz w:val="18"/>
        </w:rPr>
      </w:pPr>
      <w:r w:rsidRPr="0000091D">
        <w:rPr>
          <w:rFonts w:ascii="Arial" w:hAnsi="Arial" w:cs="Arial"/>
          <w:i/>
          <w:sz w:val="18"/>
        </w:rPr>
        <w:t xml:space="preserve">Figure 8A-2. </w:t>
      </w:r>
      <w:r>
        <w:rPr>
          <w:rFonts w:ascii="Arial" w:hAnsi="Arial" w:cs="Arial"/>
          <w:i/>
          <w:sz w:val="18"/>
        </w:rPr>
        <w:t>DSDM r</w:t>
      </w:r>
      <w:r w:rsidR="00E37859" w:rsidRPr="0000091D">
        <w:rPr>
          <w:rFonts w:ascii="Arial" w:hAnsi="Arial" w:cs="Arial"/>
          <w:i/>
          <w:sz w:val="18"/>
        </w:rPr>
        <w:t>ecommendations for lab testing</w:t>
      </w:r>
    </w:p>
    <w:p w14:paraId="194659ED" w14:textId="77777777" w:rsidR="00E37859" w:rsidRDefault="00E37859" w:rsidP="00E37859">
      <w:pPr>
        <w:spacing w:after="0"/>
        <w:ind w:left="360"/>
        <w:rPr>
          <w:rFonts w:ascii="Arial" w:hAnsi="Arial" w:cs="Arial"/>
          <w:b/>
          <w:color w:val="4472C4" w:themeColor="accent1"/>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61"/>
        <w:gridCol w:w="976"/>
        <w:gridCol w:w="974"/>
        <w:gridCol w:w="974"/>
        <w:gridCol w:w="974"/>
        <w:gridCol w:w="974"/>
        <w:gridCol w:w="974"/>
        <w:gridCol w:w="992"/>
        <w:gridCol w:w="974"/>
        <w:gridCol w:w="1013"/>
      </w:tblGrid>
      <w:tr w:rsidR="00E37859" w:rsidRPr="00C74071" w14:paraId="7D292502" w14:textId="77777777" w:rsidTr="0000091D">
        <w:trPr>
          <w:trHeight w:val="708"/>
        </w:trPr>
        <w:tc>
          <w:tcPr>
            <w:tcW w:w="1361" w:type="dxa"/>
            <w:shd w:val="clear" w:color="auto" w:fill="auto"/>
            <w:tcMar>
              <w:top w:w="72" w:type="dxa"/>
              <w:left w:w="144" w:type="dxa"/>
              <w:bottom w:w="72" w:type="dxa"/>
              <w:right w:w="144" w:type="dxa"/>
            </w:tcMar>
            <w:vAlign w:val="center"/>
            <w:hideMark/>
          </w:tcPr>
          <w:p w14:paraId="3AF485FB" w14:textId="77777777" w:rsidR="00E37859" w:rsidRPr="00C74071" w:rsidRDefault="00E37859" w:rsidP="00AC4829">
            <w:pPr>
              <w:spacing w:after="0"/>
              <w:rPr>
                <w:rFonts w:ascii="Arial" w:hAnsi="Arial" w:cs="Arial"/>
                <w:sz w:val="16"/>
              </w:rPr>
            </w:pPr>
            <w:r w:rsidRPr="00C74071">
              <w:rPr>
                <w:rFonts w:ascii="Arial" w:hAnsi="Arial" w:cs="Arial"/>
                <w:b/>
                <w:bCs/>
                <w:sz w:val="16"/>
              </w:rPr>
              <w:t>Annual number of tests per patient</w:t>
            </w:r>
          </w:p>
        </w:tc>
        <w:tc>
          <w:tcPr>
            <w:tcW w:w="2924" w:type="dxa"/>
            <w:gridSpan w:val="3"/>
            <w:shd w:val="clear" w:color="auto" w:fill="auto"/>
            <w:tcMar>
              <w:top w:w="72" w:type="dxa"/>
              <w:left w:w="144" w:type="dxa"/>
              <w:bottom w:w="72" w:type="dxa"/>
              <w:right w:w="144" w:type="dxa"/>
            </w:tcMar>
            <w:vAlign w:val="center"/>
            <w:hideMark/>
          </w:tcPr>
          <w:p w14:paraId="51C4C074" w14:textId="77777777" w:rsidR="00E37859" w:rsidRPr="00C74071" w:rsidRDefault="00E37859" w:rsidP="00AC4829">
            <w:pPr>
              <w:spacing w:after="0"/>
              <w:rPr>
                <w:rFonts w:ascii="Arial" w:hAnsi="Arial" w:cs="Arial"/>
                <w:sz w:val="16"/>
              </w:rPr>
            </w:pPr>
            <w:r w:rsidRPr="00C74071">
              <w:rPr>
                <w:rFonts w:ascii="Arial" w:hAnsi="Arial" w:cs="Arial"/>
                <w:b/>
                <w:bCs/>
                <w:sz w:val="16"/>
              </w:rPr>
              <w:t xml:space="preserve">Tanzanian guidelines </w:t>
            </w:r>
          </w:p>
          <w:p w14:paraId="04180CEB" w14:textId="77777777" w:rsidR="00E37859" w:rsidRPr="00C74071" w:rsidRDefault="00E37859" w:rsidP="00AC4829">
            <w:pPr>
              <w:spacing w:after="0"/>
              <w:rPr>
                <w:rFonts w:ascii="Arial" w:hAnsi="Arial" w:cs="Arial"/>
                <w:sz w:val="16"/>
              </w:rPr>
            </w:pPr>
            <w:r w:rsidRPr="00C74071">
              <w:rPr>
                <w:rFonts w:ascii="Arial" w:hAnsi="Arial" w:cs="Arial"/>
                <w:b/>
                <w:bCs/>
                <w:sz w:val="16"/>
              </w:rPr>
              <w:t>(6</w:t>
            </w:r>
            <w:r w:rsidRPr="00C74071">
              <w:rPr>
                <w:rFonts w:ascii="Arial" w:hAnsi="Arial" w:cs="Arial"/>
                <w:b/>
                <w:bCs/>
                <w:sz w:val="16"/>
                <w:vertAlign w:val="superscript"/>
              </w:rPr>
              <w:t>th</w:t>
            </w:r>
            <w:r w:rsidRPr="00C74071">
              <w:rPr>
                <w:rFonts w:ascii="Arial" w:hAnsi="Arial" w:cs="Arial"/>
                <w:b/>
                <w:bCs/>
                <w:sz w:val="16"/>
              </w:rPr>
              <w:t xml:space="preserve"> ed)</w:t>
            </w:r>
          </w:p>
        </w:tc>
        <w:tc>
          <w:tcPr>
            <w:tcW w:w="2922" w:type="dxa"/>
            <w:gridSpan w:val="3"/>
            <w:shd w:val="clear" w:color="auto" w:fill="auto"/>
            <w:tcMar>
              <w:top w:w="72" w:type="dxa"/>
              <w:left w:w="144" w:type="dxa"/>
              <w:bottom w:w="72" w:type="dxa"/>
              <w:right w:w="144" w:type="dxa"/>
            </w:tcMar>
            <w:vAlign w:val="center"/>
            <w:hideMark/>
          </w:tcPr>
          <w:p w14:paraId="29B440A1" w14:textId="77777777" w:rsidR="00E37859" w:rsidRPr="00C74071" w:rsidRDefault="00E37859" w:rsidP="00AC4829">
            <w:pPr>
              <w:spacing w:after="0"/>
              <w:rPr>
                <w:rFonts w:ascii="Arial" w:hAnsi="Arial" w:cs="Arial"/>
                <w:sz w:val="16"/>
              </w:rPr>
            </w:pPr>
            <w:r w:rsidRPr="00C74071">
              <w:rPr>
                <w:rFonts w:ascii="Arial" w:hAnsi="Arial" w:cs="Arial"/>
                <w:b/>
                <w:bCs/>
                <w:sz w:val="16"/>
              </w:rPr>
              <w:t>Efficient Service Delivery</w:t>
            </w:r>
          </w:p>
          <w:p w14:paraId="03202F3E" w14:textId="77777777" w:rsidR="00E37859" w:rsidRPr="00C74071" w:rsidRDefault="00E37859" w:rsidP="00AC4829">
            <w:pPr>
              <w:spacing w:after="0"/>
              <w:rPr>
                <w:rFonts w:ascii="Arial" w:hAnsi="Arial" w:cs="Arial"/>
                <w:sz w:val="16"/>
              </w:rPr>
            </w:pPr>
            <w:r w:rsidRPr="00C74071">
              <w:rPr>
                <w:rFonts w:ascii="Arial" w:hAnsi="Arial" w:cs="Arial"/>
                <w:b/>
                <w:bCs/>
                <w:sz w:val="16"/>
              </w:rPr>
              <w:t xml:space="preserve"> (PEPFAR COP 2016)</w:t>
            </w:r>
          </w:p>
        </w:tc>
        <w:tc>
          <w:tcPr>
            <w:tcW w:w="2979" w:type="dxa"/>
            <w:gridSpan w:val="3"/>
            <w:shd w:val="clear" w:color="auto" w:fill="FFFFFF"/>
            <w:tcMar>
              <w:top w:w="72" w:type="dxa"/>
              <w:left w:w="144" w:type="dxa"/>
              <w:bottom w:w="72" w:type="dxa"/>
              <w:right w:w="144" w:type="dxa"/>
            </w:tcMar>
            <w:vAlign w:val="center"/>
            <w:hideMark/>
          </w:tcPr>
          <w:p w14:paraId="04C10D55" w14:textId="77777777" w:rsidR="00E37859" w:rsidRPr="00C74071" w:rsidRDefault="00E37859" w:rsidP="00AC4829">
            <w:pPr>
              <w:spacing w:after="0"/>
              <w:rPr>
                <w:rFonts w:ascii="Arial" w:hAnsi="Arial" w:cs="Arial"/>
                <w:sz w:val="16"/>
              </w:rPr>
            </w:pPr>
            <w:r w:rsidRPr="00C74071">
              <w:rPr>
                <w:rFonts w:ascii="Arial" w:hAnsi="Arial" w:cs="Arial"/>
                <w:b/>
                <w:bCs/>
                <w:sz w:val="16"/>
              </w:rPr>
              <w:t>CDC 2015 ART costing study assumption</w:t>
            </w:r>
          </w:p>
        </w:tc>
      </w:tr>
      <w:tr w:rsidR="00E37859" w:rsidRPr="00C74071" w14:paraId="13FE805A" w14:textId="77777777" w:rsidTr="0000091D">
        <w:trPr>
          <w:trHeight w:val="670"/>
        </w:trPr>
        <w:tc>
          <w:tcPr>
            <w:tcW w:w="1361" w:type="dxa"/>
            <w:shd w:val="clear" w:color="auto" w:fill="auto"/>
            <w:tcMar>
              <w:top w:w="72" w:type="dxa"/>
              <w:left w:w="144" w:type="dxa"/>
              <w:bottom w:w="72" w:type="dxa"/>
              <w:right w:w="144" w:type="dxa"/>
            </w:tcMar>
            <w:vAlign w:val="center"/>
            <w:hideMark/>
          </w:tcPr>
          <w:p w14:paraId="2E7DB83A" w14:textId="77777777" w:rsidR="00E37859" w:rsidRPr="00C74071" w:rsidRDefault="00E37859" w:rsidP="00AC4829">
            <w:pPr>
              <w:spacing w:after="0"/>
              <w:rPr>
                <w:rFonts w:ascii="Arial" w:hAnsi="Arial" w:cs="Arial"/>
                <w:sz w:val="16"/>
              </w:rPr>
            </w:pPr>
          </w:p>
        </w:tc>
        <w:tc>
          <w:tcPr>
            <w:tcW w:w="976" w:type="dxa"/>
            <w:shd w:val="clear" w:color="auto" w:fill="auto"/>
            <w:tcMar>
              <w:top w:w="72" w:type="dxa"/>
              <w:left w:w="144" w:type="dxa"/>
              <w:bottom w:w="72" w:type="dxa"/>
              <w:right w:w="144" w:type="dxa"/>
            </w:tcMar>
            <w:vAlign w:val="center"/>
            <w:hideMark/>
          </w:tcPr>
          <w:p w14:paraId="28115307" w14:textId="77777777" w:rsidR="00E37859" w:rsidRPr="00C74071" w:rsidRDefault="00E37859" w:rsidP="00AC4829">
            <w:pPr>
              <w:spacing w:after="0"/>
              <w:rPr>
                <w:rFonts w:ascii="Arial" w:hAnsi="Arial" w:cs="Arial"/>
                <w:sz w:val="16"/>
              </w:rPr>
            </w:pPr>
            <w:r w:rsidRPr="00C74071">
              <w:rPr>
                <w:rFonts w:ascii="Arial" w:hAnsi="Arial" w:cs="Arial"/>
                <w:b/>
                <w:bCs/>
                <w:sz w:val="16"/>
              </w:rPr>
              <w:t>New patients</w:t>
            </w:r>
          </w:p>
        </w:tc>
        <w:tc>
          <w:tcPr>
            <w:tcW w:w="974" w:type="dxa"/>
            <w:shd w:val="clear" w:color="auto" w:fill="auto"/>
            <w:tcMar>
              <w:top w:w="72" w:type="dxa"/>
              <w:left w:w="144" w:type="dxa"/>
              <w:bottom w:w="72" w:type="dxa"/>
              <w:right w:w="144" w:type="dxa"/>
            </w:tcMar>
            <w:vAlign w:val="center"/>
            <w:hideMark/>
          </w:tcPr>
          <w:p w14:paraId="3BAAF1BC" w14:textId="77777777" w:rsidR="00E37859" w:rsidRPr="00C74071" w:rsidRDefault="00E37859" w:rsidP="00AC4829">
            <w:pPr>
              <w:spacing w:after="0"/>
              <w:rPr>
                <w:rFonts w:ascii="Arial" w:hAnsi="Arial" w:cs="Arial"/>
                <w:b/>
                <w:bCs/>
                <w:sz w:val="16"/>
              </w:rPr>
            </w:pPr>
            <w:r w:rsidRPr="00C74071">
              <w:rPr>
                <w:rFonts w:ascii="Arial" w:hAnsi="Arial" w:cs="Arial"/>
                <w:b/>
                <w:bCs/>
                <w:sz w:val="16"/>
              </w:rPr>
              <w:t>Stable</w:t>
            </w:r>
          </w:p>
          <w:p w14:paraId="280889FF" w14:textId="77777777" w:rsidR="00E37859" w:rsidRPr="00C74071" w:rsidRDefault="00E37859" w:rsidP="00AC4829">
            <w:pPr>
              <w:spacing w:after="0"/>
              <w:rPr>
                <w:rFonts w:ascii="Arial" w:hAnsi="Arial" w:cs="Arial"/>
                <w:sz w:val="16"/>
              </w:rPr>
            </w:pPr>
            <w:r w:rsidRPr="00C74071">
              <w:rPr>
                <w:rFonts w:ascii="Arial" w:hAnsi="Arial" w:cs="Arial"/>
                <w:b/>
                <w:bCs/>
                <w:sz w:val="16"/>
              </w:rPr>
              <w:t>patients</w:t>
            </w:r>
          </w:p>
        </w:tc>
        <w:tc>
          <w:tcPr>
            <w:tcW w:w="974" w:type="dxa"/>
            <w:shd w:val="clear" w:color="auto" w:fill="auto"/>
            <w:tcMar>
              <w:top w:w="72" w:type="dxa"/>
              <w:left w:w="144" w:type="dxa"/>
              <w:bottom w:w="72" w:type="dxa"/>
              <w:right w:w="144" w:type="dxa"/>
            </w:tcMar>
            <w:vAlign w:val="center"/>
            <w:hideMark/>
          </w:tcPr>
          <w:p w14:paraId="6AA2C72A" w14:textId="77777777" w:rsidR="00E37859" w:rsidRPr="00C74071" w:rsidRDefault="00E37859" w:rsidP="00AC4829">
            <w:pPr>
              <w:spacing w:after="0"/>
              <w:rPr>
                <w:rFonts w:ascii="Arial" w:hAnsi="Arial" w:cs="Arial"/>
                <w:sz w:val="16"/>
              </w:rPr>
            </w:pPr>
            <w:r w:rsidRPr="00C74071">
              <w:rPr>
                <w:rFonts w:ascii="Arial" w:hAnsi="Arial" w:cs="Arial"/>
                <w:b/>
                <w:bCs/>
                <w:sz w:val="16"/>
              </w:rPr>
              <w:t>Non-stable patients</w:t>
            </w:r>
          </w:p>
        </w:tc>
        <w:tc>
          <w:tcPr>
            <w:tcW w:w="974" w:type="dxa"/>
            <w:shd w:val="clear" w:color="auto" w:fill="auto"/>
            <w:tcMar>
              <w:top w:w="72" w:type="dxa"/>
              <w:left w:w="144" w:type="dxa"/>
              <w:bottom w:w="72" w:type="dxa"/>
              <w:right w:w="144" w:type="dxa"/>
            </w:tcMar>
            <w:vAlign w:val="center"/>
            <w:hideMark/>
          </w:tcPr>
          <w:p w14:paraId="01BF73B3" w14:textId="77777777" w:rsidR="00E37859" w:rsidRPr="00C74071" w:rsidRDefault="00E37859" w:rsidP="00AC4829">
            <w:pPr>
              <w:spacing w:after="0"/>
              <w:rPr>
                <w:rFonts w:ascii="Arial" w:hAnsi="Arial" w:cs="Arial"/>
                <w:sz w:val="16"/>
              </w:rPr>
            </w:pPr>
            <w:r w:rsidRPr="00C74071">
              <w:rPr>
                <w:rFonts w:ascii="Arial" w:hAnsi="Arial" w:cs="Arial"/>
                <w:b/>
                <w:bCs/>
                <w:sz w:val="16"/>
              </w:rPr>
              <w:t>New patients</w:t>
            </w:r>
          </w:p>
        </w:tc>
        <w:tc>
          <w:tcPr>
            <w:tcW w:w="974" w:type="dxa"/>
            <w:shd w:val="clear" w:color="auto" w:fill="auto"/>
            <w:tcMar>
              <w:top w:w="72" w:type="dxa"/>
              <w:left w:w="144" w:type="dxa"/>
              <w:bottom w:w="72" w:type="dxa"/>
              <w:right w:w="144" w:type="dxa"/>
            </w:tcMar>
            <w:vAlign w:val="center"/>
            <w:hideMark/>
          </w:tcPr>
          <w:p w14:paraId="28C63A8C" w14:textId="77777777" w:rsidR="00E37859" w:rsidRPr="00C74071" w:rsidRDefault="00E37859" w:rsidP="00AC4829">
            <w:pPr>
              <w:spacing w:after="0"/>
              <w:rPr>
                <w:rFonts w:ascii="Arial" w:hAnsi="Arial" w:cs="Arial"/>
                <w:sz w:val="16"/>
              </w:rPr>
            </w:pPr>
            <w:r w:rsidRPr="00C74071">
              <w:rPr>
                <w:rFonts w:ascii="Arial" w:hAnsi="Arial" w:cs="Arial"/>
                <w:b/>
                <w:bCs/>
                <w:sz w:val="16"/>
              </w:rPr>
              <w:t>Stable patients</w:t>
            </w:r>
          </w:p>
        </w:tc>
        <w:tc>
          <w:tcPr>
            <w:tcW w:w="974" w:type="dxa"/>
            <w:shd w:val="clear" w:color="auto" w:fill="auto"/>
            <w:tcMar>
              <w:top w:w="72" w:type="dxa"/>
              <w:left w:w="144" w:type="dxa"/>
              <w:bottom w:w="72" w:type="dxa"/>
              <w:right w:w="144" w:type="dxa"/>
            </w:tcMar>
            <w:vAlign w:val="center"/>
            <w:hideMark/>
          </w:tcPr>
          <w:p w14:paraId="57C0E041" w14:textId="77777777" w:rsidR="00E37859" w:rsidRPr="00C74071" w:rsidRDefault="00E37859" w:rsidP="00AC4829">
            <w:pPr>
              <w:spacing w:after="0"/>
              <w:rPr>
                <w:rFonts w:ascii="Arial" w:hAnsi="Arial" w:cs="Arial"/>
                <w:sz w:val="16"/>
              </w:rPr>
            </w:pPr>
            <w:r w:rsidRPr="00C74071">
              <w:rPr>
                <w:rFonts w:ascii="Arial" w:hAnsi="Arial" w:cs="Arial"/>
                <w:b/>
                <w:bCs/>
                <w:sz w:val="16"/>
              </w:rPr>
              <w:t>Non-stable patients</w:t>
            </w:r>
          </w:p>
        </w:tc>
        <w:tc>
          <w:tcPr>
            <w:tcW w:w="992" w:type="dxa"/>
            <w:shd w:val="clear" w:color="auto" w:fill="FFFFFF"/>
            <w:tcMar>
              <w:top w:w="72" w:type="dxa"/>
              <w:left w:w="144" w:type="dxa"/>
              <w:bottom w:w="72" w:type="dxa"/>
              <w:right w:w="144" w:type="dxa"/>
            </w:tcMar>
            <w:vAlign w:val="center"/>
            <w:hideMark/>
          </w:tcPr>
          <w:p w14:paraId="1D6814D4" w14:textId="77777777" w:rsidR="00E37859" w:rsidRPr="00C74071" w:rsidRDefault="00E37859" w:rsidP="00AC4829">
            <w:pPr>
              <w:spacing w:after="0"/>
              <w:rPr>
                <w:rFonts w:ascii="Arial" w:hAnsi="Arial" w:cs="Arial"/>
                <w:sz w:val="16"/>
              </w:rPr>
            </w:pPr>
            <w:r w:rsidRPr="00C74071">
              <w:rPr>
                <w:rFonts w:ascii="Arial" w:hAnsi="Arial" w:cs="Arial"/>
                <w:b/>
                <w:bCs/>
                <w:sz w:val="16"/>
              </w:rPr>
              <w:t>New patients</w:t>
            </w:r>
          </w:p>
        </w:tc>
        <w:tc>
          <w:tcPr>
            <w:tcW w:w="974" w:type="dxa"/>
            <w:shd w:val="clear" w:color="auto" w:fill="FFFFFF"/>
            <w:tcMar>
              <w:top w:w="72" w:type="dxa"/>
              <w:left w:w="144" w:type="dxa"/>
              <w:bottom w:w="72" w:type="dxa"/>
              <w:right w:w="144" w:type="dxa"/>
            </w:tcMar>
            <w:vAlign w:val="center"/>
            <w:hideMark/>
          </w:tcPr>
          <w:p w14:paraId="3CF3BC1E" w14:textId="77777777" w:rsidR="00E37859" w:rsidRPr="00C74071" w:rsidRDefault="00E37859" w:rsidP="00AC4829">
            <w:pPr>
              <w:spacing w:after="0"/>
              <w:rPr>
                <w:rFonts w:ascii="Arial" w:hAnsi="Arial" w:cs="Arial"/>
                <w:sz w:val="16"/>
              </w:rPr>
            </w:pPr>
            <w:r w:rsidRPr="00C74071">
              <w:rPr>
                <w:rFonts w:ascii="Arial" w:hAnsi="Arial" w:cs="Arial"/>
                <w:b/>
                <w:bCs/>
                <w:sz w:val="16"/>
              </w:rPr>
              <w:t>Stable patients</w:t>
            </w:r>
          </w:p>
        </w:tc>
        <w:tc>
          <w:tcPr>
            <w:tcW w:w="1013" w:type="dxa"/>
            <w:shd w:val="clear" w:color="auto" w:fill="FFFFFF"/>
            <w:tcMar>
              <w:top w:w="72" w:type="dxa"/>
              <w:left w:w="144" w:type="dxa"/>
              <w:bottom w:w="72" w:type="dxa"/>
              <w:right w:w="144" w:type="dxa"/>
            </w:tcMar>
            <w:vAlign w:val="center"/>
            <w:hideMark/>
          </w:tcPr>
          <w:p w14:paraId="6D84A017" w14:textId="77777777" w:rsidR="00E37859" w:rsidRPr="00C74071" w:rsidRDefault="00E37859" w:rsidP="00AC4829">
            <w:pPr>
              <w:spacing w:after="0"/>
              <w:rPr>
                <w:rFonts w:ascii="Arial" w:hAnsi="Arial" w:cs="Arial"/>
                <w:sz w:val="16"/>
              </w:rPr>
            </w:pPr>
            <w:r w:rsidRPr="00C74071">
              <w:rPr>
                <w:rFonts w:ascii="Arial" w:hAnsi="Arial" w:cs="Arial"/>
                <w:b/>
                <w:bCs/>
                <w:sz w:val="16"/>
              </w:rPr>
              <w:t>Non-stable patients</w:t>
            </w:r>
          </w:p>
        </w:tc>
      </w:tr>
      <w:tr w:rsidR="00E37859" w:rsidRPr="00C74071" w14:paraId="3CCEDFBA" w14:textId="77777777" w:rsidTr="0000091D">
        <w:trPr>
          <w:trHeight w:val="405"/>
        </w:trPr>
        <w:tc>
          <w:tcPr>
            <w:tcW w:w="1361" w:type="dxa"/>
            <w:shd w:val="clear" w:color="auto" w:fill="auto"/>
            <w:tcMar>
              <w:top w:w="72" w:type="dxa"/>
              <w:left w:w="144" w:type="dxa"/>
              <w:bottom w:w="72" w:type="dxa"/>
              <w:right w:w="144" w:type="dxa"/>
            </w:tcMar>
            <w:vAlign w:val="center"/>
            <w:hideMark/>
          </w:tcPr>
          <w:p w14:paraId="258EC90D" w14:textId="77777777" w:rsidR="00E37859" w:rsidRPr="00C74071" w:rsidRDefault="00E37859" w:rsidP="00AC4829">
            <w:pPr>
              <w:spacing w:after="0"/>
              <w:rPr>
                <w:rFonts w:ascii="Arial" w:hAnsi="Arial" w:cs="Arial"/>
                <w:sz w:val="16"/>
              </w:rPr>
            </w:pPr>
            <w:r w:rsidRPr="00C74071">
              <w:rPr>
                <w:rFonts w:ascii="Arial" w:hAnsi="Arial" w:cs="Arial"/>
                <w:b/>
                <w:bCs/>
                <w:sz w:val="16"/>
              </w:rPr>
              <w:t>CD4</w:t>
            </w:r>
          </w:p>
        </w:tc>
        <w:tc>
          <w:tcPr>
            <w:tcW w:w="976" w:type="dxa"/>
            <w:shd w:val="clear" w:color="auto" w:fill="auto"/>
            <w:tcMar>
              <w:top w:w="72" w:type="dxa"/>
              <w:left w:w="144" w:type="dxa"/>
              <w:bottom w:w="72" w:type="dxa"/>
              <w:right w:w="144" w:type="dxa"/>
            </w:tcMar>
            <w:vAlign w:val="center"/>
            <w:hideMark/>
          </w:tcPr>
          <w:p w14:paraId="71C3AEB8" w14:textId="77777777" w:rsidR="00E37859" w:rsidRPr="00C74071" w:rsidRDefault="00E37859" w:rsidP="00AC4829">
            <w:pPr>
              <w:spacing w:after="0"/>
              <w:rPr>
                <w:rFonts w:ascii="Arial" w:hAnsi="Arial" w:cs="Arial"/>
                <w:sz w:val="16"/>
              </w:rPr>
            </w:pPr>
            <w:r w:rsidRPr="00C74071">
              <w:rPr>
                <w:rFonts w:ascii="Arial" w:hAnsi="Arial" w:cs="Arial"/>
                <w:sz w:val="16"/>
              </w:rPr>
              <w:t>2 tests</w:t>
            </w:r>
          </w:p>
        </w:tc>
        <w:tc>
          <w:tcPr>
            <w:tcW w:w="974" w:type="dxa"/>
            <w:shd w:val="clear" w:color="auto" w:fill="auto"/>
            <w:tcMar>
              <w:top w:w="72" w:type="dxa"/>
              <w:left w:w="144" w:type="dxa"/>
              <w:bottom w:w="72" w:type="dxa"/>
              <w:right w:w="144" w:type="dxa"/>
            </w:tcMar>
            <w:vAlign w:val="center"/>
            <w:hideMark/>
          </w:tcPr>
          <w:p w14:paraId="7B12AF1E" w14:textId="77777777" w:rsidR="00E37859" w:rsidRPr="00C74071" w:rsidRDefault="00E37859" w:rsidP="00AC4829">
            <w:pPr>
              <w:spacing w:after="0"/>
              <w:rPr>
                <w:rFonts w:ascii="Arial" w:hAnsi="Arial" w:cs="Arial"/>
                <w:sz w:val="16"/>
              </w:rPr>
            </w:pPr>
            <w:r w:rsidRPr="00C74071">
              <w:rPr>
                <w:rFonts w:ascii="Arial" w:hAnsi="Arial" w:cs="Arial"/>
                <w:sz w:val="16"/>
              </w:rPr>
              <w:t>--</w:t>
            </w:r>
          </w:p>
        </w:tc>
        <w:tc>
          <w:tcPr>
            <w:tcW w:w="974" w:type="dxa"/>
            <w:shd w:val="clear" w:color="auto" w:fill="auto"/>
            <w:tcMar>
              <w:top w:w="72" w:type="dxa"/>
              <w:left w:w="144" w:type="dxa"/>
              <w:bottom w:w="72" w:type="dxa"/>
              <w:right w:w="144" w:type="dxa"/>
            </w:tcMar>
            <w:vAlign w:val="center"/>
            <w:hideMark/>
          </w:tcPr>
          <w:p w14:paraId="16D50FDB" w14:textId="77777777" w:rsidR="00E37859" w:rsidRPr="00C74071" w:rsidRDefault="00E37859" w:rsidP="00AC4829">
            <w:pPr>
              <w:spacing w:after="0"/>
              <w:rPr>
                <w:rFonts w:ascii="Arial" w:hAnsi="Arial" w:cs="Arial"/>
                <w:sz w:val="16"/>
              </w:rPr>
            </w:pPr>
            <w:r w:rsidRPr="00C74071">
              <w:rPr>
                <w:rFonts w:ascii="Arial" w:hAnsi="Arial" w:cs="Arial"/>
                <w:sz w:val="16"/>
              </w:rPr>
              <w:t>2 tests</w:t>
            </w:r>
          </w:p>
        </w:tc>
        <w:tc>
          <w:tcPr>
            <w:tcW w:w="974" w:type="dxa"/>
            <w:shd w:val="clear" w:color="auto" w:fill="auto"/>
            <w:tcMar>
              <w:top w:w="72" w:type="dxa"/>
              <w:left w:w="144" w:type="dxa"/>
              <w:bottom w:w="72" w:type="dxa"/>
              <w:right w:w="144" w:type="dxa"/>
            </w:tcMar>
            <w:vAlign w:val="center"/>
            <w:hideMark/>
          </w:tcPr>
          <w:p w14:paraId="06CE0513" w14:textId="77777777" w:rsidR="00E37859" w:rsidRPr="00C74071" w:rsidRDefault="00E37859" w:rsidP="00AC4829">
            <w:pPr>
              <w:spacing w:after="0"/>
              <w:rPr>
                <w:rFonts w:ascii="Arial" w:hAnsi="Arial" w:cs="Arial"/>
                <w:sz w:val="16"/>
              </w:rPr>
            </w:pPr>
            <w:r w:rsidRPr="00C74071">
              <w:rPr>
                <w:rFonts w:ascii="Arial" w:hAnsi="Arial" w:cs="Arial"/>
                <w:sz w:val="16"/>
              </w:rPr>
              <w:t>2 tests</w:t>
            </w:r>
          </w:p>
        </w:tc>
        <w:tc>
          <w:tcPr>
            <w:tcW w:w="974" w:type="dxa"/>
            <w:shd w:val="clear" w:color="auto" w:fill="auto"/>
            <w:tcMar>
              <w:top w:w="72" w:type="dxa"/>
              <w:left w:w="144" w:type="dxa"/>
              <w:bottom w:w="72" w:type="dxa"/>
              <w:right w:w="144" w:type="dxa"/>
            </w:tcMar>
            <w:vAlign w:val="center"/>
            <w:hideMark/>
          </w:tcPr>
          <w:p w14:paraId="28A56C71" w14:textId="77777777" w:rsidR="00E37859" w:rsidRPr="00C74071" w:rsidRDefault="00E37859" w:rsidP="00AC4829">
            <w:pPr>
              <w:spacing w:after="0"/>
              <w:rPr>
                <w:rFonts w:ascii="Arial" w:hAnsi="Arial" w:cs="Arial"/>
                <w:sz w:val="16"/>
              </w:rPr>
            </w:pPr>
            <w:r w:rsidRPr="00C74071">
              <w:rPr>
                <w:rFonts w:ascii="Arial" w:hAnsi="Arial" w:cs="Arial"/>
                <w:sz w:val="16"/>
              </w:rPr>
              <w:t>--</w:t>
            </w:r>
          </w:p>
        </w:tc>
        <w:tc>
          <w:tcPr>
            <w:tcW w:w="974" w:type="dxa"/>
            <w:shd w:val="clear" w:color="auto" w:fill="auto"/>
            <w:tcMar>
              <w:top w:w="72" w:type="dxa"/>
              <w:left w:w="144" w:type="dxa"/>
              <w:bottom w:w="72" w:type="dxa"/>
              <w:right w:w="144" w:type="dxa"/>
            </w:tcMar>
            <w:vAlign w:val="center"/>
            <w:hideMark/>
          </w:tcPr>
          <w:p w14:paraId="6D3DE9EA" w14:textId="77777777" w:rsidR="00E37859" w:rsidRPr="00C74071" w:rsidRDefault="00E37859" w:rsidP="00AC4829">
            <w:pPr>
              <w:spacing w:after="0"/>
              <w:rPr>
                <w:rFonts w:ascii="Arial" w:hAnsi="Arial" w:cs="Arial"/>
                <w:sz w:val="16"/>
              </w:rPr>
            </w:pPr>
            <w:r w:rsidRPr="00C74071">
              <w:rPr>
                <w:rFonts w:ascii="Arial" w:hAnsi="Arial" w:cs="Arial"/>
                <w:sz w:val="16"/>
              </w:rPr>
              <w:t>2 tests</w:t>
            </w:r>
          </w:p>
        </w:tc>
        <w:tc>
          <w:tcPr>
            <w:tcW w:w="992" w:type="dxa"/>
            <w:shd w:val="clear" w:color="auto" w:fill="FFFFFF" w:themeFill="background1"/>
            <w:tcMar>
              <w:top w:w="72" w:type="dxa"/>
              <w:left w:w="144" w:type="dxa"/>
              <w:bottom w:w="72" w:type="dxa"/>
              <w:right w:w="144" w:type="dxa"/>
            </w:tcMar>
            <w:vAlign w:val="center"/>
            <w:hideMark/>
          </w:tcPr>
          <w:p w14:paraId="7B439F0E" w14:textId="77777777" w:rsidR="00E37859" w:rsidRPr="00C74071" w:rsidRDefault="00E37859" w:rsidP="00AC4829">
            <w:pPr>
              <w:spacing w:after="0"/>
              <w:rPr>
                <w:rFonts w:ascii="Arial" w:hAnsi="Arial" w:cs="Arial"/>
                <w:sz w:val="16"/>
              </w:rPr>
            </w:pPr>
            <w:r w:rsidRPr="00C74071">
              <w:rPr>
                <w:rFonts w:ascii="Arial" w:hAnsi="Arial" w:cs="Arial"/>
                <w:sz w:val="16"/>
              </w:rPr>
              <w:t>2 tests (80%)</w:t>
            </w:r>
          </w:p>
        </w:tc>
        <w:tc>
          <w:tcPr>
            <w:tcW w:w="974" w:type="dxa"/>
            <w:shd w:val="clear" w:color="auto" w:fill="FFFFFF" w:themeFill="background1"/>
            <w:tcMar>
              <w:top w:w="72" w:type="dxa"/>
              <w:left w:w="144" w:type="dxa"/>
              <w:bottom w:w="72" w:type="dxa"/>
              <w:right w:w="144" w:type="dxa"/>
            </w:tcMar>
            <w:vAlign w:val="center"/>
            <w:hideMark/>
          </w:tcPr>
          <w:p w14:paraId="6C39CF66" w14:textId="77777777" w:rsidR="00E37859" w:rsidRPr="00C74071" w:rsidRDefault="00E37859" w:rsidP="00AC4829">
            <w:pPr>
              <w:spacing w:after="0"/>
              <w:rPr>
                <w:rFonts w:ascii="Arial" w:hAnsi="Arial" w:cs="Arial"/>
                <w:sz w:val="16"/>
              </w:rPr>
            </w:pPr>
            <w:r w:rsidRPr="00C74071">
              <w:rPr>
                <w:rFonts w:ascii="Arial" w:hAnsi="Arial" w:cs="Arial"/>
                <w:sz w:val="16"/>
              </w:rPr>
              <w:t>2 tests (93%)</w:t>
            </w:r>
          </w:p>
        </w:tc>
        <w:tc>
          <w:tcPr>
            <w:tcW w:w="1013" w:type="dxa"/>
            <w:shd w:val="clear" w:color="auto" w:fill="FFFFFF" w:themeFill="background1"/>
            <w:tcMar>
              <w:top w:w="72" w:type="dxa"/>
              <w:left w:w="144" w:type="dxa"/>
              <w:bottom w:w="72" w:type="dxa"/>
              <w:right w:w="144" w:type="dxa"/>
            </w:tcMar>
            <w:vAlign w:val="center"/>
            <w:hideMark/>
          </w:tcPr>
          <w:p w14:paraId="00D66AE1" w14:textId="77777777" w:rsidR="00E37859" w:rsidRPr="00C74071" w:rsidRDefault="00E37859" w:rsidP="00AC4829">
            <w:pPr>
              <w:spacing w:after="0"/>
              <w:rPr>
                <w:rFonts w:ascii="Arial" w:hAnsi="Arial" w:cs="Arial"/>
                <w:sz w:val="16"/>
              </w:rPr>
            </w:pPr>
            <w:r w:rsidRPr="00C74071">
              <w:rPr>
                <w:rFonts w:ascii="Arial" w:hAnsi="Arial" w:cs="Arial"/>
                <w:sz w:val="16"/>
              </w:rPr>
              <w:t>2 tests (80%)</w:t>
            </w:r>
          </w:p>
        </w:tc>
      </w:tr>
      <w:tr w:rsidR="00E37859" w:rsidRPr="00C74071" w14:paraId="00582962" w14:textId="77777777" w:rsidTr="0000091D">
        <w:trPr>
          <w:trHeight w:val="698"/>
        </w:trPr>
        <w:tc>
          <w:tcPr>
            <w:tcW w:w="1361" w:type="dxa"/>
            <w:shd w:val="clear" w:color="auto" w:fill="auto"/>
            <w:tcMar>
              <w:top w:w="72" w:type="dxa"/>
              <w:left w:w="144" w:type="dxa"/>
              <w:bottom w:w="72" w:type="dxa"/>
              <w:right w:w="144" w:type="dxa"/>
            </w:tcMar>
            <w:vAlign w:val="center"/>
            <w:hideMark/>
          </w:tcPr>
          <w:p w14:paraId="6769BFEE" w14:textId="77777777" w:rsidR="00E37859" w:rsidRPr="00C74071" w:rsidRDefault="00E37859" w:rsidP="00AC4829">
            <w:pPr>
              <w:spacing w:after="0"/>
              <w:rPr>
                <w:rFonts w:ascii="Arial" w:hAnsi="Arial" w:cs="Arial"/>
                <w:sz w:val="16"/>
              </w:rPr>
            </w:pPr>
            <w:r w:rsidRPr="00C74071">
              <w:rPr>
                <w:rFonts w:ascii="Arial" w:hAnsi="Arial" w:cs="Arial"/>
                <w:b/>
                <w:bCs/>
                <w:sz w:val="16"/>
              </w:rPr>
              <w:t>Creatinine</w:t>
            </w:r>
          </w:p>
          <w:p w14:paraId="5EF4FF33" w14:textId="77777777" w:rsidR="00E37859" w:rsidRPr="00C74071" w:rsidRDefault="00E37859" w:rsidP="00AC4829">
            <w:pPr>
              <w:spacing w:after="0"/>
              <w:rPr>
                <w:rFonts w:ascii="Arial" w:hAnsi="Arial" w:cs="Arial"/>
                <w:sz w:val="16"/>
              </w:rPr>
            </w:pPr>
            <w:r w:rsidRPr="00C74071">
              <w:rPr>
                <w:rFonts w:ascii="Arial" w:hAnsi="Arial" w:cs="Arial"/>
                <w:b/>
                <w:bCs/>
                <w:sz w:val="16"/>
              </w:rPr>
              <w:t xml:space="preserve"> </w:t>
            </w:r>
            <w:r w:rsidRPr="00C74071">
              <w:rPr>
                <w:rFonts w:ascii="Arial" w:hAnsi="Arial" w:cs="Arial"/>
                <w:sz w:val="16"/>
              </w:rPr>
              <w:t xml:space="preserve">(for TDF containing regimens) </w:t>
            </w:r>
          </w:p>
        </w:tc>
        <w:tc>
          <w:tcPr>
            <w:tcW w:w="976" w:type="dxa"/>
            <w:shd w:val="clear" w:color="auto" w:fill="auto"/>
            <w:tcMar>
              <w:top w:w="72" w:type="dxa"/>
              <w:left w:w="144" w:type="dxa"/>
              <w:bottom w:w="72" w:type="dxa"/>
              <w:right w:w="144" w:type="dxa"/>
            </w:tcMar>
            <w:vAlign w:val="center"/>
            <w:hideMark/>
          </w:tcPr>
          <w:p w14:paraId="77EF3D63" w14:textId="77777777" w:rsidR="00E37859" w:rsidRPr="00C74071" w:rsidRDefault="00E37859" w:rsidP="00AC4829">
            <w:pPr>
              <w:spacing w:after="0"/>
              <w:rPr>
                <w:rFonts w:ascii="Arial" w:hAnsi="Arial" w:cs="Arial"/>
                <w:sz w:val="16"/>
              </w:rPr>
            </w:pPr>
            <w:r w:rsidRPr="00C74071">
              <w:rPr>
                <w:rFonts w:ascii="Arial" w:hAnsi="Arial" w:cs="Arial"/>
                <w:sz w:val="16"/>
              </w:rPr>
              <w:t>2 tests for 63%</w:t>
            </w:r>
          </w:p>
        </w:tc>
        <w:tc>
          <w:tcPr>
            <w:tcW w:w="974" w:type="dxa"/>
            <w:shd w:val="clear" w:color="auto" w:fill="auto"/>
            <w:tcMar>
              <w:top w:w="72" w:type="dxa"/>
              <w:left w:w="144" w:type="dxa"/>
              <w:bottom w:w="72" w:type="dxa"/>
              <w:right w:w="144" w:type="dxa"/>
            </w:tcMar>
            <w:vAlign w:val="center"/>
            <w:hideMark/>
          </w:tcPr>
          <w:p w14:paraId="3012F474" w14:textId="77777777" w:rsidR="00E37859" w:rsidRPr="00C74071" w:rsidRDefault="00E37859" w:rsidP="00AC4829">
            <w:pPr>
              <w:spacing w:after="0"/>
              <w:rPr>
                <w:rFonts w:ascii="Arial" w:hAnsi="Arial" w:cs="Arial"/>
                <w:sz w:val="16"/>
              </w:rPr>
            </w:pPr>
            <w:r w:rsidRPr="00C74071">
              <w:rPr>
                <w:rFonts w:ascii="Arial" w:hAnsi="Arial" w:cs="Arial"/>
                <w:sz w:val="16"/>
              </w:rPr>
              <w:t>2 tests for 63%</w:t>
            </w:r>
          </w:p>
        </w:tc>
        <w:tc>
          <w:tcPr>
            <w:tcW w:w="974" w:type="dxa"/>
            <w:shd w:val="clear" w:color="auto" w:fill="auto"/>
            <w:tcMar>
              <w:top w:w="72" w:type="dxa"/>
              <w:left w:w="144" w:type="dxa"/>
              <w:bottom w:w="72" w:type="dxa"/>
              <w:right w:w="144" w:type="dxa"/>
            </w:tcMar>
            <w:vAlign w:val="center"/>
            <w:hideMark/>
          </w:tcPr>
          <w:p w14:paraId="6238D8C9" w14:textId="77777777" w:rsidR="00E37859" w:rsidRPr="00C74071" w:rsidRDefault="00E37859" w:rsidP="00AC4829">
            <w:pPr>
              <w:spacing w:after="0"/>
              <w:rPr>
                <w:rFonts w:ascii="Arial" w:hAnsi="Arial" w:cs="Arial"/>
                <w:sz w:val="16"/>
              </w:rPr>
            </w:pPr>
            <w:r w:rsidRPr="00C74071">
              <w:rPr>
                <w:rFonts w:ascii="Arial" w:hAnsi="Arial" w:cs="Arial"/>
                <w:sz w:val="16"/>
              </w:rPr>
              <w:t>2 tests for 63%</w:t>
            </w:r>
          </w:p>
        </w:tc>
        <w:tc>
          <w:tcPr>
            <w:tcW w:w="974" w:type="dxa"/>
            <w:shd w:val="clear" w:color="auto" w:fill="auto"/>
            <w:tcMar>
              <w:top w:w="72" w:type="dxa"/>
              <w:left w:w="144" w:type="dxa"/>
              <w:bottom w:w="72" w:type="dxa"/>
              <w:right w:w="144" w:type="dxa"/>
            </w:tcMar>
            <w:vAlign w:val="center"/>
            <w:hideMark/>
          </w:tcPr>
          <w:p w14:paraId="39E17E45" w14:textId="77777777" w:rsidR="00E37859" w:rsidRPr="00C74071" w:rsidRDefault="00E37859" w:rsidP="00AC4829">
            <w:pPr>
              <w:spacing w:after="0"/>
              <w:rPr>
                <w:rFonts w:ascii="Arial" w:hAnsi="Arial" w:cs="Arial"/>
                <w:sz w:val="16"/>
              </w:rPr>
            </w:pPr>
            <w:r w:rsidRPr="00C74071">
              <w:rPr>
                <w:rFonts w:ascii="Arial" w:hAnsi="Arial" w:cs="Arial"/>
                <w:sz w:val="16"/>
              </w:rPr>
              <w:t>1 test for 63%</w:t>
            </w:r>
          </w:p>
        </w:tc>
        <w:tc>
          <w:tcPr>
            <w:tcW w:w="974" w:type="dxa"/>
            <w:shd w:val="clear" w:color="auto" w:fill="auto"/>
            <w:tcMar>
              <w:top w:w="72" w:type="dxa"/>
              <w:left w:w="144" w:type="dxa"/>
              <w:bottom w:w="72" w:type="dxa"/>
              <w:right w:w="144" w:type="dxa"/>
            </w:tcMar>
            <w:vAlign w:val="center"/>
            <w:hideMark/>
          </w:tcPr>
          <w:p w14:paraId="1AB60272" w14:textId="77777777" w:rsidR="00E37859" w:rsidRPr="00C74071" w:rsidRDefault="00E37859" w:rsidP="00AC4829">
            <w:pPr>
              <w:spacing w:after="0"/>
              <w:rPr>
                <w:rFonts w:ascii="Arial" w:hAnsi="Arial" w:cs="Arial"/>
                <w:sz w:val="16"/>
              </w:rPr>
            </w:pPr>
            <w:r w:rsidRPr="00C74071">
              <w:rPr>
                <w:rFonts w:ascii="Arial" w:hAnsi="Arial" w:cs="Arial"/>
                <w:sz w:val="16"/>
              </w:rPr>
              <w:t>1 test for 63%</w:t>
            </w:r>
          </w:p>
        </w:tc>
        <w:tc>
          <w:tcPr>
            <w:tcW w:w="974" w:type="dxa"/>
            <w:shd w:val="clear" w:color="auto" w:fill="auto"/>
            <w:tcMar>
              <w:top w:w="72" w:type="dxa"/>
              <w:left w:w="144" w:type="dxa"/>
              <w:bottom w:w="72" w:type="dxa"/>
              <w:right w:w="144" w:type="dxa"/>
            </w:tcMar>
            <w:vAlign w:val="center"/>
            <w:hideMark/>
          </w:tcPr>
          <w:p w14:paraId="5388A009" w14:textId="77777777" w:rsidR="00E37859" w:rsidRPr="00C74071" w:rsidRDefault="00E37859" w:rsidP="00AC4829">
            <w:pPr>
              <w:spacing w:after="0"/>
              <w:rPr>
                <w:rFonts w:ascii="Arial" w:hAnsi="Arial" w:cs="Arial"/>
                <w:sz w:val="16"/>
              </w:rPr>
            </w:pPr>
            <w:r w:rsidRPr="00C74071">
              <w:rPr>
                <w:rFonts w:ascii="Arial" w:hAnsi="Arial" w:cs="Arial"/>
                <w:sz w:val="16"/>
              </w:rPr>
              <w:t>1 test for 63%</w:t>
            </w:r>
          </w:p>
        </w:tc>
        <w:tc>
          <w:tcPr>
            <w:tcW w:w="992" w:type="dxa"/>
            <w:shd w:val="clear" w:color="auto" w:fill="FFFFFF" w:themeFill="background1"/>
            <w:tcMar>
              <w:top w:w="72" w:type="dxa"/>
              <w:left w:w="144" w:type="dxa"/>
              <w:bottom w:w="72" w:type="dxa"/>
              <w:right w:w="144" w:type="dxa"/>
            </w:tcMar>
            <w:vAlign w:val="center"/>
            <w:hideMark/>
          </w:tcPr>
          <w:p w14:paraId="3B706431" w14:textId="77777777" w:rsidR="00E37859" w:rsidRPr="00C74071" w:rsidRDefault="00E37859" w:rsidP="00AC4829">
            <w:pPr>
              <w:spacing w:after="0"/>
              <w:rPr>
                <w:rFonts w:ascii="Arial" w:hAnsi="Arial" w:cs="Arial"/>
                <w:sz w:val="16"/>
              </w:rPr>
            </w:pPr>
          </w:p>
        </w:tc>
        <w:tc>
          <w:tcPr>
            <w:tcW w:w="974" w:type="dxa"/>
            <w:shd w:val="clear" w:color="auto" w:fill="FFFFFF" w:themeFill="background1"/>
            <w:tcMar>
              <w:top w:w="72" w:type="dxa"/>
              <w:left w:w="144" w:type="dxa"/>
              <w:bottom w:w="72" w:type="dxa"/>
              <w:right w:w="144" w:type="dxa"/>
            </w:tcMar>
            <w:vAlign w:val="center"/>
            <w:hideMark/>
          </w:tcPr>
          <w:p w14:paraId="61C08D5B" w14:textId="77777777" w:rsidR="00E37859" w:rsidRPr="00C74071" w:rsidRDefault="00E37859" w:rsidP="00AC4829">
            <w:pPr>
              <w:spacing w:after="0"/>
              <w:rPr>
                <w:rFonts w:ascii="Arial" w:hAnsi="Arial" w:cs="Arial"/>
                <w:sz w:val="16"/>
              </w:rPr>
            </w:pPr>
          </w:p>
        </w:tc>
        <w:tc>
          <w:tcPr>
            <w:tcW w:w="1013" w:type="dxa"/>
            <w:shd w:val="clear" w:color="auto" w:fill="FFFFFF" w:themeFill="background1"/>
            <w:tcMar>
              <w:top w:w="72" w:type="dxa"/>
              <w:left w:w="144" w:type="dxa"/>
              <w:bottom w:w="72" w:type="dxa"/>
              <w:right w:w="144" w:type="dxa"/>
            </w:tcMar>
            <w:vAlign w:val="center"/>
            <w:hideMark/>
          </w:tcPr>
          <w:p w14:paraId="32FBC8EE" w14:textId="77777777" w:rsidR="00E37859" w:rsidRPr="00C74071" w:rsidRDefault="00E37859" w:rsidP="00AC4829">
            <w:pPr>
              <w:spacing w:after="0"/>
              <w:rPr>
                <w:rFonts w:ascii="Arial" w:hAnsi="Arial" w:cs="Arial"/>
                <w:sz w:val="16"/>
              </w:rPr>
            </w:pPr>
          </w:p>
        </w:tc>
      </w:tr>
      <w:tr w:rsidR="00E37859" w:rsidRPr="00C74071" w14:paraId="7B430436" w14:textId="77777777" w:rsidTr="0000091D">
        <w:trPr>
          <w:trHeight w:val="405"/>
        </w:trPr>
        <w:tc>
          <w:tcPr>
            <w:tcW w:w="1361" w:type="dxa"/>
            <w:shd w:val="clear" w:color="auto" w:fill="auto"/>
            <w:tcMar>
              <w:top w:w="72" w:type="dxa"/>
              <w:left w:w="144" w:type="dxa"/>
              <w:bottom w:w="72" w:type="dxa"/>
              <w:right w:w="144" w:type="dxa"/>
            </w:tcMar>
            <w:vAlign w:val="center"/>
            <w:hideMark/>
          </w:tcPr>
          <w:p w14:paraId="51383CB0" w14:textId="77777777" w:rsidR="00E37859" w:rsidRPr="00C74071" w:rsidRDefault="00E37859" w:rsidP="00AC4829">
            <w:pPr>
              <w:spacing w:after="0"/>
              <w:rPr>
                <w:rFonts w:ascii="Arial" w:hAnsi="Arial" w:cs="Arial"/>
                <w:sz w:val="16"/>
              </w:rPr>
            </w:pPr>
            <w:r w:rsidRPr="00C74071">
              <w:rPr>
                <w:rFonts w:ascii="Arial" w:hAnsi="Arial" w:cs="Arial"/>
                <w:b/>
                <w:bCs/>
                <w:sz w:val="16"/>
              </w:rPr>
              <w:t>Clinical chemistry</w:t>
            </w:r>
          </w:p>
        </w:tc>
        <w:tc>
          <w:tcPr>
            <w:tcW w:w="976" w:type="dxa"/>
            <w:shd w:val="clear" w:color="auto" w:fill="auto"/>
            <w:tcMar>
              <w:top w:w="72" w:type="dxa"/>
              <w:left w:w="144" w:type="dxa"/>
              <w:bottom w:w="72" w:type="dxa"/>
              <w:right w:w="144" w:type="dxa"/>
            </w:tcMar>
            <w:vAlign w:val="center"/>
            <w:hideMark/>
          </w:tcPr>
          <w:p w14:paraId="757D0C98" w14:textId="77777777" w:rsidR="00E37859" w:rsidRPr="00C74071" w:rsidRDefault="00E37859" w:rsidP="00AC4829">
            <w:pPr>
              <w:spacing w:after="0"/>
              <w:rPr>
                <w:rFonts w:ascii="Arial" w:hAnsi="Arial" w:cs="Arial"/>
                <w:sz w:val="16"/>
              </w:rPr>
            </w:pPr>
          </w:p>
        </w:tc>
        <w:tc>
          <w:tcPr>
            <w:tcW w:w="974" w:type="dxa"/>
            <w:shd w:val="clear" w:color="auto" w:fill="auto"/>
            <w:tcMar>
              <w:top w:w="72" w:type="dxa"/>
              <w:left w:w="144" w:type="dxa"/>
              <w:bottom w:w="72" w:type="dxa"/>
              <w:right w:w="144" w:type="dxa"/>
            </w:tcMar>
            <w:vAlign w:val="center"/>
            <w:hideMark/>
          </w:tcPr>
          <w:p w14:paraId="59591795" w14:textId="77777777" w:rsidR="00E37859" w:rsidRPr="00C74071" w:rsidRDefault="00E37859" w:rsidP="00AC4829">
            <w:pPr>
              <w:spacing w:after="0"/>
              <w:rPr>
                <w:rFonts w:ascii="Arial" w:hAnsi="Arial" w:cs="Arial"/>
                <w:sz w:val="16"/>
              </w:rPr>
            </w:pPr>
          </w:p>
        </w:tc>
        <w:tc>
          <w:tcPr>
            <w:tcW w:w="974" w:type="dxa"/>
            <w:shd w:val="clear" w:color="auto" w:fill="auto"/>
            <w:tcMar>
              <w:top w:w="72" w:type="dxa"/>
              <w:left w:w="144" w:type="dxa"/>
              <w:bottom w:w="72" w:type="dxa"/>
              <w:right w:w="144" w:type="dxa"/>
            </w:tcMar>
            <w:vAlign w:val="center"/>
            <w:hideMark/>
          </w:tcPr>
          <w:p w14:paraId="49EA8C6A" w14:textId="77777777" w:rsidR="00E37859" w:rsidRPr="00C74071" w:rsidRDefault="00E37859" w:rsidP="00AC4829">
            <w:pPr>
              <w:spacing w:after="0"/>
              <w:rPr>
                <w:rFonts w:ascii="Arial" w:hAnsi="Arial" w:cs="Arial"/>
                <w:sz w:val="16"/>
              </w:rPr>
            </w:pPr>
          </w:p>
        </w:tc>
        <w:tc>
          <w:tcPr>
            <w:tcW w:w="974" w:type="dxa"/>
            <w:shd w:val="clear" w:color="auto" w:fill="auto"/>
            <w:tcMar>
              <w:top w:w="72" w:type="dxa"/>
              <w:left w:w="144" w:type="dxa"/>
              <w:bottom w:w="72" w:type="dxa"/>
              <w:right w:w="144" w:type="dxa"/>
            </w:tcMar>
            <w:vAlign w:val="center"/>
            <w:hideMark/>
          </w:tcPr>
          <w:p w14:paraId="46199DD1"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74" w:type="dxa"/>
            <w:shd w:val="clear" w:color="auto" w:fill="auto"/>
            <w:tcMar>
              <w:top w:w="72" w:type="dxa"/>
              <w:left w:w="144" w:type="dxa"/>
              <w:bottom w:w="72" w:type="dxa"/>
              <w:right w:w="144" w:type="dxa"/>
            </w:tcMar>
            <w:vAlign w:val="center"/>
            <w:hideMark/>
          </w:tcPr>
          <w:p w14:paraId="5FC83690" w14:textId="77777777" w:rsidR="00E37859" w:rsidRPr="00C74071" w:rsidRDefault="00E37859" w:rsidP="00AC4829">
            <w:pPr>
              <w:spacing w:after="0"/>
              <w:rPr>
                <w:rFonts w:ascii="Arial" w:hAnsi="Arial" w:cs="Arial"/>
                <w:sz w:val="16"/>
              </w:rPr>
            </w:pPr>
            <w:r w:rsidRPr="00C74071">
              <w:rPr>
                <w:rFonts w:ascii="Arial" w:hAnsi="Arial" w:cs="Arial"/>
                <w:sz w:val="16"/>
              </w:rPr>
              <w:t>--</w:t>
            </w:r>
          </w:p>
        </w:tc>
        <w:tc>
          <w:tcPr>
            <w:tcW w:w="974" w:type="dxa"/>
            <w:shd w:val="clear" w:color="auto" w:fill="auto"/>
            <w:tcMar>
              <w:top w:w="72" w:type="dxa"/>
              <w:left w:w="144" w:type="dxa"/>
              <w:bottom w:w="72" w:type="dxa"/>
              <w:right w:w="144" w:type="dxa"/>
            </w:tcMar>
            <w:vAlign w:val="center"/>
            <w:hideMark/>
          </w:tcPr>
          <w:p w14:paraId="1EE211C6"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92" w:type="dxa"/>
            <w:shd w:val="clear" w:color="auto" w:fill="FFFFFF" w:themeFill="background1"/>
            <w:tcMar>
              <w:top w:w="72" w:type="dxa"/>
              <w:left w:w="144" w:type="dxa"/>
              <w:bottom w:w="72" w:type="dxa"/>
              <w:right w:w="144" w:type="dxa"/>
            </w:tcMar>
            <w:vAlign w:val="center"/>
            <w:hideMark/>
          </w:tcPr>
          <w:p w14:paraId="61D09C23" w14:textId="77777777" w:rsidR="00E37859" w:rsidRPr="00C74071" w:rsidRDefault="00E37859" w:rsidP="00AC4829">
            <w:pPr>
              <w:spacing w:after="0"/>
              <w:rPr>
                <w:rFonts w:ascii="Arial" w:hAnsi="Arial" w:cs="Arial"/>
                <w:sz w:val="16"/>
              </w:rPr>
            </w:pPr>
            <w:r w:rsidRPr="00C74071">
              <w:rPr>
                <w:rFonts w:ascii="Arial" w:hAnsi="Arial" w:cs="Arial"/>
                <w:sz w:val="16"/>
              </w:rPr>
              <w:t>2 tests (46.7%)</w:t>
            </w:r>
          </w:p>
        </w:tc>
        <w:tc>
          <w:tcPr>
            <w:tcW w:w="974" w:type="dxa"/>
            <w:shd w:val="clear" w:color="auto" w:fill="FFFFFF" w:themeFill="background1"/>
            <w:tcMar>
              <w:top w:w="72" w:type="dxa"/>
              <w:left w:w="144" w:type="dxa"/>
              <w:bottom w:w="72" w:type="dxa"/>
              <w:right w:w="144" w:type="dxa"/>
            </w:tcMar>
            <w:vAlign w:val="center"/>
            <w:hideMark/>
          </w:tcPr>
          <w:p w14:paraId="1B02E84C" w14:textId="77777777" w:rsidR="00E37859" w:rsidRPr="00C74071" w:rsidRDefault="00E37859" w:rsidP="00AC4829">
            <w:pPr>
              <w:spacing w:after="0"/>
              <w:rPr>
                <w:rFonts w:ascii="Arial" w:hAnsi="Arial" w:cs="Arial"/>
                <w:sz w:val="16"/>
              </w:rPr>
            </w:pPr>
            <w:r w:rsidRPr="00C74071">
              <w:rPr>
                <w:rFonts w:ascii="Arial" w:hAnsi="Arial" w:cs="Arial"/>
                <w:sz w:val="16"/>
              </w:rPr>
              <w:t>2 tests (46.7%)</w:t>
            </w:r>
          </w:p>
        </w:tc>
        <w:tc>
          <w:tcPr>
            <w:tcW w:w="1013" w:type="dxa"/>
            <w:shd w:val="clear" w:color="auto" w:fill="FFFFFF" w:themeFill="background1"/>
            <w:tcMar>
              <w:top w:w="72" w:type="dxa"/>
              <w:left w:w="144" w:type="dxa"/>
              <w:bottom w:w="72" w:type="dxa"/>
              <w:right w:w="144" w:type="dxa"/>
            </w:tcMar>
            <w:vAlign w:val="center"/>
            <w:hideMark/>
          </w:tcPr>
          <w:p w14:paraId="59966F91" w14:textId="77777777" w:rsidR="00E37859" w:rsidRPr="00C74071" w:rsidRDefault="00E37859" w:rsidP="00AC4829">
            <w:pPr>
              <w:spacing w:after="0"/>
              <w:rPr>
                <w:rFonts w:ascii="Arial" w:hAnsi="Arial" w:cs="Arial"/>
                <w:sz w:val="16"/>
              </w:rPr>
            </w:pPr>
            <w:r w:rsidRPr="00C74071">
              <w:rPr>
                <w:rFonts w:ascii="Arial" w:hAnsi="Arial" w:cs="Arial"/>
                <w:sz w:val="16"/>
              </w:rPr>
              <w:t>2 tests (6.7%)</w:t>
            </w:r>
          </w:p>
        </w:tc>
      </w:tr>
      <w:tr w:rsidR="00E37859" w:rsidRPr="00C74071" w14:paraId="7A9531EE" w14:textId="77777777" w:rsidTr="0000091D">
        <w:trPr>
          <w:trHeight w:val="643"/>
        </w:trPr>
        <w:tc>
          <w:tcPr>
            <w:tcW w:w="1361" w:type="dxa"/>
            <w:shd w:val="clear" w:color="auto" w:fill="auto"/>
            <w:tcMar>
              <w:top w:w="72" w:type="dxa"/>
              <w:left w:w="144" w:type="dxa"/>
              <w:bottom w:w="72" w:type="dxa"/>
              <w:right w:w="144" w:type="dxa"/>
            </w:tcMar>
            <w:vAlign w:val="center"/>
            <w:hideMark/>
          </w:tcPr>
          <w:p w14:paraId="55057318" w14:textId="77777777" w:rsidR="00E37859" w:rsidRPr="00C74071" w:rsidRDefault="00E37859" w:rsidP="00AC4829">
            <w:pPr>
              <w:spacing w:after="0"/>
              <w:rPr>
                <w:rFonts w:ascii="Arial" w:hAnsi="Arial" w:cs="Arial"/>
                <w:sz w:val="16"/>
              </w:rPr>
            </w:pPr>
            <w:r w:rsidRPr="00C74071">
              <w:rPr>
                <w:rFonts w:ascii="Arial" w:hAnsi="Arial" w:cs="Arial"/>
                <w:b/>
                <w:bCs/>
                <w:sz w:val="16"/>
              </w:rPr>
              <w:t xml:space="preserve">Hb </w:t>
            </w:r>
          </w:p>
          <w:p w14:paraId="4D1D33B7" w14:textId="77777777" w:rsidR="00E37859" w:rsidRPr="00C74071" w:rsidRDefault="00E37859" w:rsidP="00AC4829">
            <w:pPr>
              <w:spacing w:after="0"/>
              <w:rPr>
                <w:rFonts w:ascii="Arial" w:hAnsi="Arial" w:cs="Arial"/>
                <w:sz w:val="16"/>
              </w:rPr>
            </w:pPr>
            <w:r w:rsidRPr="00C74071">
              <w:rPr>
                <w:rFonts w:ascii="Arial" w:hAnsi="Arial" w:cs="Arial"/>
                <w:sz w:val="16"/>
              </w:rPr>
              <w:t>(for AZT containing regimens)</w:t>
            </w:r>
          </w:p>
        </w:tc>
        <w:tc>
          <w:tcPr>
            <w:tcW w:w="976" w:type="dxa"/>
            <w:shd w:val="clear" w:color="auto" w:fill="auto"/>
            <w:tcMar>
              <w:top w:w="72" w:type="dxa"/>
              <w:left w:w="144" w:type="dxa"/>
              <w:bottom w:w="72" w:type="dxa"/>
              <w:right w:w="144" w:type="dxa"/>
            </w:tcMar>
            <w:vAlign w:val="center"/>
            <w:hideMark/>
          </w:tcPr>
          <w:p w14:paraId="7455BEB5" w14:textId="77777777" w:rsidR="00E37859" w:rsidRPr="00C74071" w:rsidRDefault="00E37859" w:rsidP="00AC4829">
            <w:pPr>
              <w:spacing w:after="0"/>
              <w:rPr>
                <w:rFonts w:ascii="Arial" w:hAnsi="Arial" w:cs="Arial"/>
                <w:sz w:val="16"/>
              </w:rPr>
            </w:pPr>
            <w:r w:rsidRPr="00C74071">
              <w:rPr>
                <w:rFonts w:ascii="Arial" w:hAnsi="Arial" w:cs="Arial"/>
                <w:sz w:val="16"/>
              </w:rPr>
              <w:t>2 tests for 36%</w:t>
            </w:r>
          </w:p>
        </w:tc>
        <w:tc>
          <w:tcPr>
            <w:tcW w:w="974" w:type="dxa"/>
            <w:shd w:val="clear" w:color="auto" w:fill="auto"/>
            <w:tcMar>
              <w:top w:w="72" w:type="dxa"/>
              <w:left w:w="144" w:type="dxa"/>
              <w:bottom w:w="72" w:type="dxa"/>
              <w:right w:w="144" w:type="dxa"/>
            </w:tcMar>
            <w:vAlign w:val="center"/>
            <w:hideMark/>
          </w:tcPr>
          <w:p w14:paraId="18820DAF" w14:textId="77777777" w:rsidR="00E37859" w:rsidRPr="00C74071" w:rsidRDefault="00E37859" w:rsidP="00AC4829">
            <w:pPr>
              <w:spacing w:after="0"/>
              <w:rPr>
                <w:rFonts w:ascii="Arial" w:hAnsi="Arial" w:cs="Arial"/>
                <w:sz w:val="16"/>
              </w:rPr>
            </w:pPr>
            <w:r w:rsidRPr="00C74071">
              <w:rPr>
                <w:rFonts w:ascii="Arial" w:hAnsi="Arial" w:cs="Arial"/>
                <w:sz w:val="16"/>
              </w:rPr>
              <w:t>2 tests for 36%</w:t>
            </w:r>
          </w:p>
        </w:tc>
        <w:tc>
          <w:tcPr>
            <w:tcW w:w="974" w:type="dxa"/>
            <w:shd w:val="clear" w:color="auto" w:fill="auto"/>
            <w:tcMar>
              <w:top w:w="72" w:type="dxa"/>
              <w:left w:w="144" w:type="dxa"/>
              <w:bottom w:w="72" w:type="dxa"/>
              <w:right w:w="144" w:type="dxa"/>
            </w:tcMar>
            <w:vAlign w:val="center"/>
            <w:hideMark/>
          </w:tcPr>
          <w:p w14:paraId="5053A3A7" w14:textId="77777777" w:rsidR="00E37859" w:rsidRPr="00C74071" w:rsidRDefault="00E37859" w:rsidP="00AC4829">
            <w:pPr>
              <w:spacing w:after="0"/>
              <w:rPr>
                <w:rFonts w:ascii="Arial" w:hAnsi="Arial" w:cs="Arial"/>
                <w:sz w:val="16"/>
              </w:rPr>
            </w:pPr>
            <w:r w:rsidRPr="00C74071">
              <w:rPr>
                <w:rFonts w:ascii="Arial" w:hAnsi="Arial" w:cs="Arial"/>
                <w:sz w:val="16"/>
              </w:rPr>
              <w:t>2 tests for 36%</w:t>
            </w:r>
          </w:p>
        </w:tc>
        <w:tc>
          <w:tcPr>
            <w:tcW w:w="974" w:type="dxa"/>
            <w:shd w:val="clear" w:color="auto" w:fill="auto"/>
            <w:tcMar>
              <w:top w:w="72" w:type="dxa"/>
              <w:left w:w="144" w:type="dxa"/>
              <w:bottom w:w="72" w:type="dxa"/>
              <w:right w:w="144" w:type="dxa"/>
            </w:tcMar>
            <w:vAlign w:val="center"/>
            <w:hideMark/>
          </w:tcPr>
          <w:p w14:paraId="33BA1689" w14:textId="77777777" w:rsidR="00E37859" w:rsidRPr="00C74071" w:rsidRDefault="00E37859" w:rsidP="00AC4829">
            <w:pPr>
              <w:spacing w:after="0"/>
              <w:rPr>
                <w:rFonts w:ascii="Arial" w:hAnsi="Arial" w:cs="Arial"/>
                <w:sz w:val="16"/>
              </w:rPr>
            </w:pPr>
            <w:r w:rsidRPr="00C74071">
              <w:rPr>
                <w:rFonts w:ascii="Arial" w:hAnsi="Arial" w:cs="Arial"/>
                <w:sz w:val="16"/>
              </w:rPr>
              <w:t>1 test for 36%</w:t>
            </w:r>
          </w:p>
        </w:tc>
        <w:tc>
          <w:tcPr>
            <w:tcW w:w="974" w:type="dxa"/>
            <w:shd w:val="clear" w:color="auto" w:fill="auto"/>
            <w:tcMar>
              <w:top w:w="72" w:type="dxa"/>
              <w:left w:w="144" w:type="dxa"/>
              <w:bottom w:w="72" w:type="dxa"/>
              <w:right w:w="144" w:type="dxa"/>
            </w:tcMar>
            <w:vAlign w:val="center"/>
            <w:hideMark/>
          </w:tcPr>
          <w:p w14:paraId="04FF4995" w14:textId="77777777" w:rsidR="00E37859" w:rsidRPr="00C74071" w:rsidRDefault="00E37859" w:rsidP="00AC4829">
            <w:pPr>
              <w:spacing w:after="0"/>
              <w:rPr>
                <w:rFonts w:ascii="Arial" w:hAnsi="Arial" w:cs="Arial"/>
                <w:sz w:val="16"/>
              </w:rPr>
            </w:pPr>
            <w:r w:rsidRPr="00C74071">
              <w:rPr>
                <w:rFonts w:ascii="Arial" w:hAnsi="Arial" w:cs="Arial"/>
                <w:sz w:val="16"/>
              </w:rPr>
              <w:t>1 test for 36%</w:t>
            </w:r>
          </w:p>
        </w:tc>
        <w:tc>
          <w:tcPr>
            <w:tcW w:w="974" w:type="dxa"/>
            <w:shd w:val="clear" w:color="auto" w:fill="auto"/>
            <w:tcMar>
              <w:top w:w="72" w:type="dxa"/>
              <w:left w:w="144" w:type="dxa"/>
              <w:bottom w:w="72" w:type="dxa"/>
              <w:right w:w="144" w:type="dxa"/>
            </w:tcMar>
            <w:vAlign w:val="center"/>
            <w:hideMark/>
          </w:tcPr>
          <w:p w14:paraId="50B69B5D" w14:textId="77777777" w:rsidR="00E37859" w:rsidRPr="00C74071" w:rsidRDefault="00E37859" w:rsidP="00AC4829">
            <w:pPr>
              <w:spacing w:after="0"/>
              <w:rPr>
                <w:rFonts w:ascii="Arial" w:hAnsi="Arial" w:cs="Arial"/>
                <w:sz w:val="16"/>
              </w:rPr>
            </w:pPr>
            <w:r w:rsidRPr="00C74071">
              <w:rPr>
                <w:rFonts w:ascii="Arial" w:hAnsi="Arial" w:cs="Arial"/>
                <w:sz w:val="16"/>
              </w:rPr>
              <w:t>1 test for 36%</w:t>
            </w:r>
          </w:p>
        </w:tc>
        <w:tc>
          <w:tcPr>
            <w:tcW w:w="992" w:type="dxa"/>
            <w:shd w:val="clear" w:color="auto" w:fill="FFFFFF" w:themeFill="background1"/>
            <w:tcMar>
              <w:top w:w="72" w:type="dxa"/>
              <w:left w:w="144" w:type="dxa"/>
              <w:bottom w:w="72" w:type="dxa"/>
              <w:right w:w="144" w:type="dxa"/>
            </w:tcMar>
            <w:vAlign w:val="center"/>
            <w:hideMark/>
          </w:tcPr>
          <w:p w14:paraId="08732E82" w14:textId="77777777" w:rsidR="00E37859" w:rsidRPr="00C74071" w:rsidRDefault="00E37859" w:rsidP="00AC4829">
            <w:pPr>
              <w:spacing w:after="0"/>
              <w:rPr>
                <w:rFonts w:ascii="Arial" w:hAnsi="Arial" w:cs="Arial"/>
                <w:sz w:val="16"/>
              </w:rPr>
            </w:pPr>
          </w:p>
        </w:tc>
        <w:tc>
          <w:tcPr>
            <w:tcW w:w="974" w:type="dxa"/>
            <w:shd w:val="clear" w:color="auto" w:fill="FFFFFF" w:themeFill="background1"/>
            <w:tcMar>
              <w:top w:w="72" w:type="dxa"/>
              <w:left w:w="144" w:type="dxa"/>
              <w:bottom w:w="72" w:type="dxa"/>
              <w:right w:w="144" w:type="dxa"/>
            </w:tcMar>
            <w:vAlign w:val="center"/>
            <w:hideMark/>
          </w:tcPr>
          <w:p w14:paraId="45CBDE09" w14:textId="77777777" w:rsidR="00E37859" w:rsidRPr="00C74071" w:rsidRDefault="00E37859" w:rsidP="00AC4829">
            <w:pPr>
              <w:spacing w:after="0"/>
              <w:rPr>
                <w:rFonts w:ascii="Arial" w:hAnsi="Arial" w:cs="Arial"/>
                <w:sz w:val="16"/>
              </w:rPr>
            </w:pPr>
          </w:p>
        </w:tc>
        <w:tc>
          <w:tcPr>
            <w:tcW w:w="1013" w:type="dxa"/>
            <w:shd w:val="clear" w:color="auto" w:fill="FFFFFF" w:themeFill="background1"/>
            <w:tcMar>
              <w:top w:w="72" w:type="dxa"/>
              <w:left w:w="144" w:type="dxa"/>
              <w:bottom w:w="72" w:type="dxa"/>
              <w:right w:w="144" w:type="dxa"/>
            </w:tcMar>
            <w:vAlign w:val="center"/>
            <w:hideMark/>
          </w:tcPr>
          <w:p w14:paraId="3911CA93" w14:textId="77777777" w:rsidR="00E37859" w:rsidRPr="00C74071" w:rsidRDefault="00E37859" w:rsidP="00AC4829">
            <w:pPr>
              <w:spacing w:after="0"/>
              <w:rPr>
                <w:rFonts w:ascii="Arial" w:hAnsi="Arial" w:cs="Arial"/>
                <w:sz w:val="16"/>
              </w:rPr>
            </w:pPr>
          </w:p>
        </w:tc>
      </w:tr>
      <w:tr w:rsidR="00E37859" w:rsidRPr="00C74071" w14:paraId="43E0F180" w14:textId="77777777" w:rsidTr="0000091D">
        <w:trPr>
          <w:trHeight w:val="405"/>
        </w:trPr>
        <w:tc>
          <w:tcPr>
            <w:tcW w:w="1361" w:type="dxa"/>
            <w:shd w:val="clear" w:color="auto" w:fill="auto"/>
            <w:tcMar>
              <w:top w:w="72" w:type="dxa"/>
              <w:left w:w="144" w:type="dxa"/>
              <w:bottom w:w="72" w:type="dxa"/>
              <w:right w:w="144" w:type="dxa"/>
            </w:tcMar>
            <w:vAlign w:val="center"/>
            <w:hideMark/>
          </w:tcPr>
          <w:p w14:paraId="48A97112" w14:textId="77777777" w:rsidR="00E37859" w:rsidRPr="00C74071" w:rsidRDefault="00E37859" w:rsidP="00AC4829">
            <w:pPr>
              <w:spacing w:after="0"/>
              <w:rPr>
                <w:rFonts w:ascii="Arial" w:hAnsi="Arial" w:cs="Arial"/>
                <w:sz w:val="16"/>
              </w:rPr>
            </w:pPr>
            <w:r w:rsidRPr="00C74071">
              <w:rPr>
                <w:rFonts w:ascii="Arial" w:hAnsi="Arial" w:cs="Arial"/>
                <w:b/>
                <w:bCs/>
                <w:sz w:val="16"/>
              </w:rPr>
              <w:t>Hematology</w:t>
            </w:r>
          </w:p>
        </w:tc>
        <w:tc>
          <w:tcPr>
            <w:tcW w:w="976" w:type="dxa"/>
            <w:shd w:val="clear" w:color="auto" w:fill="auto"/>
            <w:tcMar>
              <w:top w:w="72" w:type="dxa"/>
              <w:left w:w="144" w:type="dxa"/>
              <w:bottom w:w="72" w:type="dxa"/>
              <w:right w:w="144" w:type="dxa"/>
            </w:tcMar>
            <w:vAlign w:val="center"/>
            <w:hideMark/>
          </w:tcPr>
          <w:p w14:paraId="276391E3" w14:textId="77777777" w:rsidR="00E37859" w:rsidRPr="00C74071" w:rsidRDefault="00E37859" w:rsidP="00AC4829">
            <w:pPr>
              <w:spacing w:after="0"/>
              <w:rPr>
                <w:rFonts w:ascii="Arial" w:hAnsi="Arial" w:cs="Arial"/>
                <w:sz w:val="16"/>
              </w:rPr>
            </w:pPr>
          </w:p>
        </w:tc>
        <w:tc>
          <w:tcPr>
            <w:tcW w:w="974" w:type="dxa"/>
            <w:shd w:val="clear" w:color="auto" w:fill="auto"/>
            <w:tcMar>
              <w:top w:w="72" w:type="dxa"/>
              <w:left w:w="144" w:type="dxa"/>
              <w:bottom w:w="72" w:type="dxa"/>
              <w:right w:w="144" w:type="dxa"/>
            </w:tcMar>
            <w:vAlign w:val="center"/>
            <w:hideMark/>
          </w:tcPr>
          <w:p w14:paraId="31E07CD8" w14:textId="77777777" w:rsidR="00E37859" w:rsidRPr="00C74071" w:rsidRDefault="00E37859" w:rsidP="00AC4829">
            <w:pPr>
              <w:spacing w:after="0"/>
              <w:rPr>
                <w:rFonts w:ascii="Arial" w:hAnsi="Arial" w:cs="Arial"/>
                <w:sz w:val="16"/>
              </w:rPr>
            </w:pPr>
          </w:p>
        </w:tc>
        <w:tc>
          <w:tcPr>
            <w:tcW w:w="974" w:type="dxa"/>
            <w:shd w:val="clear" w:color="auto" w:fill="auto"/>
            <w:tcMar>
              <w:top w:w="72" w:type="dxa"/>
              <w:left w:w="144" w:type="dxa"/>
              <w:bottom w:w="72" w:type="dxa"/>
              <w:right w:w="144" w:type="dxa"/>
            </w:tcMar>
            <w:vAlign w:val="center"/>
            <w:hideMark/>
          </w:tcPr>
          <w:p w14:paraId="0C2239F9" w14:textId="77777777" w:rsidR="00E37859" w:rsidRPr="00C74071" w:rsidRDefault="00E37859" w:rsidP="00AC4829">
            <w:pPr>
              <w:spacing w:after="0"/>
              <w:rPr>
                <w:rFonts w:ascii="Arial" w:hAnsi="Arial" w:cs="Arial"/>
                <w:sz w:val="16"/>
              </w:rPr>
            </w:pPr>
          </w:p>
        </w:tc>
        <w:tc>
          <w:tcPr>
            <w:tcW w:w="974" w:type="dxa"/>
            <w:shd w:val="clear" w:color="auto" w:fill="auto"/>
            <w:tcMar>
              <w:top w:w="72" w:type="dxa"/>
              <w:left w:w="144" w:type="dxa"/>
              <w:bottom w:w="72" w:type="dxa"/>
              <w:right w:w="144" w:type="dxa"/>
            </w:tcMar>
            <w:vAlign w:val="center"/>
            <w:hideMark/>
          </w:tcPr>
          <w:p w14:paraId="1816AE39"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74" w:type="dxa"/>
            <w:shd w:val="clear" w:color="auto" w:fill="auto"/>
            <w:tcMar>
              <w:top w:w="72" w:type="dxa"/>
              <w:left w:w="144" w:type="dxa"/>
              <w:bottom w:w="72" w:type="dxa"/>
              <w:right w:w="144" w:type="dxa"/>
            </w:tcMar>
            <w:vAlign w:val="center"/>
            <w:hideMark/>
          </w:tcPr>
          <w:p w14:paraId="39266CFE" w14:textId="77777777" w:rsidR="00E37859" w:rsidRPr="00C74071" w:rsidRDefault="00E37859" w:rsidP="00AC4829">
            <w:pPr>
              <w:spacing w:after="0"/>
              <w:rPr>
                <w:rFonts w:ascii="Arial" w:hAnsi="Arial" w:cs="Arial"/>
                <w:sz w:val="16"/>
              </w:rPr>
            </w:pPr>
            <w:r w:rsidRPr="00C74071">
              <w:rPr>
                <w:rFonts w:ascii="Arial" w:hAnsi="Arial" w:cs="Arial"/>
                <w:sz w:val="16"/>
              </w:rPr>
              <w:t>--</w:t>
            </w:r>
          </w:p>
        </w:tc>
        <w:tc>
          <w:tcPr>
            <w:tcW w:w="974" w:type="dxa"/>
            <w:shd w:val="clear" w:color="auto" w:fill="auto"/>
            <w:tcMar>
              <w:top w:w="72" w:type="dxa"/>
              <w:left w:w="144" w:type="dxa"/>
              <w:bottom w:w="72" w:type="dxa"/>
              <w:right w:w="144" w:type="dxa"/>
            </w:tcMar>
            <w:vAlign w:val="center"/>
            <w:hideMark/>
          </w:tcPr>
          <w:p w14:paraId="12300D2A"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92" w:type="dxa"/>
            <w:shd w:val="clear" w:color="auto" w:fill="FFFFFF" w:themeFill="background1"/>
            <w:tcMar>
              <w:top w:w="72" w:type="dxa"/>
              <w:left w:w="144" w:type="dxa"/>
              <w:bottom w:w="72" w:type="dxa"/>
              <w:right w:w="144" w:type="dxa"/>
            </w:tcMar>
            <w:vAlign w:val="center"/>
            <w:hideMark/>
          </w:tcPr>
          <w:p w14:paraId="5875C345" w14:textId="77777777" w:rsidR="00E37859" w:rsidRPr="00C74071" w:rsidRDefault="00E37859" w:rsidP="00AC4829">
            <w:pPr>
              <w:spacing w:after="0"/>
              <w:rPr>
                <w:rFonts w:ascii="Arial" w:hAnsi="Arial" w:cs="Arial"/>
                <w:sz w:val="16"/>
              </w:rPr>
            </w:pPr>
            <w:r w:rsidRPr="00C74071">
              <w:rPr>
                <w:rFonts w:ascii="Arial" w:hAnsi="Arial" w:cs="Arial"/>
                <w:sz w:val="16"/>
              </w:rPr>
              <w:t>1 test  (72%)</w:t>
            </w:r>
          </w:p>
        </w:tc>
        <w:tc>
          <w:tcPr>
            <w:tcW w:w="974" w:type="dxa"/>
            <w:shd w:val="clear" w:color="auto" w:fill="FFFFFF" w:themeFill="background1"/>
            <w:tcMar>
              <w:top w:w="72" w:type="dxa"/>
              <w:left w:w="144" w:type="dxa"/>
              <w:bottom w:w="72" w:type="dxa"/>
              <w:right w:w="144" w:type="dxa"/>
            </w:tcMar>
            <w:vAlign w:val="center"/>
            <w:hideMark/>
          </w:tcPr>
          <w:p w14:paraId="38D1250E" w14:textId="77777777" w:rsidR="00E37859" w:rsidRPr="00C74071" w:rsidRDefault="00E37859" w:rsidP="00AC4829">
            <w:pPr>
              <w:spacing w:after="0"/>
              <w:rPr>
                <w:rFonts w:ascii="Arial" w:hAnsi="Arial" w:cs="Arial"/>
                <w:sz w:val="16"/>
              </w:rPr>
            </w:pPr>
            <w:r w:rsidRPr="00C74071">
              <w:rPr>
                <w:rFonts w:ascii="Arial" w:hAnsi="Arial" w:cs="Arial"/>
                <w:sz w:val="16"/>
              </w:rPr>
              <w:t>2 tests (60%)</w:t>
            </w:r>
          </w:p>
        </w:tc>
        <w:tc>
          <w:tcPr>
            <w:tcW w:w="1013" w:type="dxa"/>
            <w:shd w:val="clear" w:color="auto" w:fill="FFFFFF" w:themeFill="background1"/>
            <w:tcMar>
              <w:top w:w="72" w:type="dxa"/>
              <w:left w:w="144" w:type="dxa"/>
              <w:bottom w:w="72" w:type="dxa"/>
              <w:right w:w="144" w:type="dxa"/>
            </w:tcMar>
            <w:vAlign w:val="center"/>
            <w:hideMark/>
          </w:tcPr>
          <w:p w14:paraId="4A874EA5" w14:textId="77777777" w:rsidR="00E37859" w:rsidRPr="00C74071" w:rsidRDefault="00E37859" w:rsidP="00AC4829">
            <w:pPr>
              <w:spacing w:after="0"/>
              <w:rPr>
                <w:rFonts w:ascii="Arial" w:hAnsi="Arial" w:cs="Arial"/>
                <w:sz w:val="16"/>
              </w:rPr>
            </w:pPr>
            <w:r w:rsidRPr="00C74071">
              <w:rPr>
                <w:rFonts w:ascii="Arial" w:hAnsi="Arial" w:cs="Arial"/>
                <w:sz w:val="16"/>
              </w:rPr>
              <w:t>2 tests (53.33%)</w:t>
            </w:r>
          </w:p>
        </w:tc>
      </w:tr>
      <w:tr w:rsidR="00E37859" w:rsidRPr="00C74071" w14:paraId="687C40B7" w14:textId="77777777" w:rsidTr="0000091D">
        <w:trPr>
          <w:trHeight w:val="405"/>
        </w:trPr>
        <w:tc>
          <w:tcPr>
            <w:tcW w:w="1361" w:type="dxa"/>
            <w:shd w:val="clear" w:color="auto" w:fill="auto"/>
            <w:tcMar>
              <w:top w:w="72" w:type="dxa"/>
              <w:left w:w="144" w:type="dxa"/>
              <w:bottom w:w="72" w:type="dxa"/>
              <w:right w:w="144" w:type="dxa"/>
            </w:tcMar>
            <w:vAlign w:val="center"/>
            <w:hideMark/>
          </w:tcPr>
          <w:p w14:paraId="279D8202" w14:textId="77777777" w:rsidR="00E37859" w:rsidRPr="00C74071" w:rsidRDefault="00E37859" w:rsidP="00AC4829">
            <w:pPr>
              <w:spacing w:after="0"/>
              <w:rPr>
                <w:rFonts w:ascii="Arial" w:hAnsi="Arial" w:cs="Arial"/>
                <w:sz w:val="16"/>
              </w:rPr>
            </w:pPr>
            <w:r w:rsidRPr="00C74071">
              <w:rPr>
                <w:rFonts w:ascii="Arial" w:hAnsi="Arial" w:cs="Arial"/>
                <w:b/>
                <w:bCs/>
                <w:sz w:val="16"/>
              </w:rPr>
              <w:t>Viral load</w:t>
            </w:r>
          </w:p>
        </w:tc>
        <w:tc>
          <w:tcPr>
            <w:tcW w:w="976" w:type="dxa"/>
            <w:shd w:val="clear" w:color="auto" w:fill="auto"/>
            <w:tcMar>
              <w:top w:w="72" w:type="dxa"/>
              <w:left w:w="144" w:type="dxa"/>
              <w:bottom w:w="72" w:type="dxa"/>
              <w:right w:w="144" w:type="dxa"/>
            </w:tcMar>
            <w:vAlign w:val="center"/>
            <w:hideMark/>
          </w:tcPr>
          <w:p w14:paraId="60915DA4" w14:textId="77777777" w:rsidR="00E37859" w:rsidRPr="00C74071" w:rsidRDefault="00E37859" w:rsidP="00AC4829">
            <w:pPr>
              <w:spacing w:after="0"/>
              <w:rPr>
                <w:rFonts w:ascii="Arial" w:hAnsi="Arial" w:cs="Arial"/>
                <w:sz w:val="16"/>
              </w:rPr>
            </w:pPr>
            <w:r w:rsidRPr="00C74071">
              <w:rPr>
                <w:rFonts w:ascii="Arial" w:hAnsi="Arial" w:cs="Arial"/>
                <w:sz w:val="16"/>
              </w:rPr>
              <w:t>2 tests</w:t>
            </w:r>
          </w:p>
        </w:tc>
        <w:tc>
          <w:tcPr>
            <w:tcW w:w="974" w:type="dxa"/>
            <w:shd w:val="clear" w:color="auto" w:fill="auto"/>
            <w:tcMar>
              <w:top w:w="72" w:type="dxa"/>
              <w:left w:w="144" w:type="dxa"/>
              <w:bottom w:w="72" w:type="dxa"/>
              <w:right w:w="144" w:type="dxa"/>
            </w:tcMar>
            <w:vAlign w:val="center"/>
            <w:hideMark/>
          </w:tcPr>
          <w:p w14:paraId="43C25164"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74" w:type="dxa"/>
            <w:shd w:val="clear" w:color="auto" w:fill="auto"/>
            <w:tcMar>
              <w:top w:w="72" w:type="dxa"/>
              <w:left w:w="144" w:type="dxa"/>
              <w:bottom w:w="72" w:type="dxa"/>
              <w:right w:w="144" w:type="dxa"/>
            </w:tcMar>
            <w:vAlign w:val="center"/>
            <w:hideMark/>
          </w:tcPr>
          <w:p w14:paraId="10B949FD"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74" w:type="dxa"/>
            <w:shd w:val="clear" w:color="auto" w:fill="auto"/>
            <w:tcMar>
              <w:top w:w="72" w:type="dxa"/>
              <w:left w:w="144" w:type="dxa"/>
              <w:bottom w:w="72" w:type="dxa"/>
              <w:right w:w="144" w:type="dxa"/>
            </w:tcMar>
            <w:vAlign w:val="center"/>
            <w:hideMark/>
          </w:tcPr>
          <w:p w14:paraId="2F582E87"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74" w:type="dxa"/>
            <w:shd w:val="clear" w:color="auto" w:fill="auto"/>
            <w:tcMar>
              <w:top w:w="72" w:type="dxa"/>
              <w:left w:w="144" w:type="dxa"/>
              <w:bottom w:w="72" w:type="dxa"/>
              <w:right w:w="144" w:type="dxa"/>
            </w:tcMar>
            <w:vAlign w:val="center"/>
            <w:hideMark/>
          </w:tcPr>
          <w:p w14:paraId="64FDACAF"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74" w:type="dxa"/>
            <w:shd w:val="clear" w:color="auto" w:fill="auto"/>
            <w:tcMar>
              <w:top w:w="72" w:type="dxa"/>
              <w:left w:w="144" w:type="dxa"/>
              <w:bottom w:w="72" w:type="dxa"/>
              <w:right w:w="144" w:type="dxa"/>
            </w:tcMar>
            <w:vAlign w:val="center"/>
            <w:hideMark/>
          </w:tcPr>
          <w:p w14:paraId="72D6A5E4" w14:textId="77777777" w:rsidR="00E37859" w:rsidRPr="00C74071" w:rsidRDefault="00E37859" w:rsidP="00AC4829">
            <w:pPr>
              <w:spacing w:after="0"/>
              <w:rPr>
                <w:rFonts w:ascii="Arial" w:hAnsi="Arial" w:cs="Arial"/>
                <w:sz w:val="16"/>
              </w:rPr>
            </w:pPr>
            <w:r w:rsidRPr="00C74071">
              <w:rPr>
                <w:rFonts w:ascii="Arial" w:hAnsi="Arial" w:cs="Arial"/>
                <w:sz w:val="16"/>
              </w:rPr>
              <w:t>1 test</w:t>
            </w:r>
          </w:p>
        </w:tc>
        <w:tc>
          <w:tcPr>
            <w:tcW w:w="992" w:type="dxa"/>
            <w:shd w:val="clear" w:color="auto" w:fill="FFFFFF" w:themeFill="background1"/>
            <w:tcMar>
              <w:top w:w="72" w:type="dxa"/>
              <w:left w:w="144" w:type="dxa"/>
              <w:bottom w:w="72" w:type="dxa"/>
              <w:right w:w="144" w:type="dxa"/>
            </w:tcMar>
            <w:vAlign w:val="center"/>
            <w:hideMark/>
          </w:tcPr>
          <w:p w14:paraId="2FA70062" w14:textId="77777777" w:rsidR="00E37859" w:rsidRPr="00C74071" w:rsidRDefault="00E37859" w:rsidP="00AC4829">
            <w:pPr>
              <w:spacing w:after="0"/>
              <w:rPr>
                <w:rFonts w:ascii="Arial" w:hAnsi="Arial" w:cs="Arial"/>
                <w:sz w:val="16"/>
              </w:rPr>
            </w:pPr>
            <w:r w:rsidRPr="00C74071">
              <w:rPr>
                <w:rFonts w:ascii="Arial" w:hAnsi="Arial" w:cs="Arial"/>
                <w:sz w:val="16"/>
              </w:rPr>
              <w:t>1 test (6.7%)</w:t>
            </w:r>
          </w:p>
        </w:tc>
        <w:tc>
          <w:tcPr>
            <w:tcW w:w="974" w:type="dxa"/>
            <w:shd w:val="clear" w:color="auto" w:fill="FFFFFF" w:themeFill="background1"/>
            <w:tcMar>
              <w:top w:w="72" w:type="dxa"/>
              <w:left w:w="144" w:type="dxa"/>
              <w:bottom w:w="72" w:type="dxa"/>
              <w:right w:w="144" w:type="dxa"/>
            </w:tcMar>
            <w:vAlign w:val="center"/>
            <w:hideMark/>
          </w:tcPr>
          <w:p w14:paraId="34C68073" w14:textId="77777777" w:rsidR="00E37859" w:rsidRPr="00C74071" w:rsidRDefault="00E37859" w:rsidP="00AC4829">
            <w:pPr>
              <w:spacing w:after="0"/>
              <w:rPr>
                <w:rFonts w:ascii="Arial" w:hAnsi="Arial" w:cs="Arial"/>
                <w:sz w:val="16"/>
              </w:rPr>
            </w:pPr>
            <w:r w:rsidRPr="00C74071">
              <w:rPr>
                <w:rFonts w:ascii="Arial" w:hAnsi="Arial" w:cs="Arial"/>
                <w:sz w:val="16"/>
              </w:rPr>
              <w:t>1 test (6.7%)</w:t>
            </w:r>
          </w:p>
        </w:tc>
        <w:tc>
          <w:tcPr>
            <w:tcW w:w="1013" w:type="dxa"/>
            <w:shd w:val="clear" w:color="auto" w:fill="FFFFFF" w:themeFill="background1"/>
            <w:tcMar>
              <w:top w:w="72" w:type="dxa"/>
              <w:left w:w="144" w:type="dxa"/>
              <w:bottom w:w="72" w:type="dxa"/>
              <w:right w:w="144" w:type="dxa"/>
            </w:tcMar>
            <w:vAlign w:val="center"/>
            <w:hideMark/>
          </w:tcPr>
          <w:p w14:paraId="3E3A953E" w14:textId="77777777" w:rsidR="00E37859" w:rsidRPr="00C74071" w:rsidRDefault="00E37859" w:rsidP="00AC4829">
            <w:pPr>
              <w:spacing w:after="0"/>
              <w:rPr>
                <w:rFonts w:ascii="Arial" w:hAnsi="Arial" w:cs="Arial"/>
                <w:sz w:val="16"/>
              </w:rPr>
            </w:pPr>
            <w:r w:rsidRPr="00C74071">
              <w:rPr>
                <w:rFonts w:ascii="Arial" w:hAnsi="Arial" w:cs="Arial"/>
                <w:sz w:val="16"/>
              </w:rPr>
              <w:t>1 test (6.7%)</w:t>
            </w:r>
          </w:p>
        </w:tc>
      </w:tr>
    </w:tbl>
    <w:p w14:paraId="35820C8A" w14:textId="13ED9F4D" w:rsidR="00E37859" w:rsidRDefault="00E37859" w:rsidP="00B40732">
      <w:pPr>
        <w:rPr>
          <w:rFonts w:ascii="Arial" w:hAnsi="Arial" w:cs="Arial"/>
          <w:b/>
          <w:color w:val="4472C4" w:themeColor="accent1"/>
        </w:rPr>
        <w:sectPr w:rsidR="00E37859" w:rsidSect="00CD3475">
          <w:type w:val="continuous"/>
          <w:pgSz w:w="12240" w:h="15840"/>
          <w:pgMar w:top="1440" w:right="1440" w:bottom="1440" w:left="1440" w:header="720" w:footer="720" w:gutter="0"/>
          <w:cols w:space="720"/>
          <w:docGrid w:linePitch="360"/>
        </w:sectPr>
      </w:pPr>
    </w:p>
    <w:tbl>
      <w:tblPr>
        <w:tblW w:w="14030" w:type="dxa"/>
        <w:tblInd w:w="-1080" w:type="dxa"/>
        <w:tblLayout w:type="fixed"/>
        <w:tblLook w:val="04A0" w:firstRow="1" w:lastRow="0" w:firstColumn="1" w:lastColumn="0" w:noHBand="0" w:noVBand="1"/>
      </w:tblPr>
      <w:tblGrid>
        <w:gridCol w:w="1440"/>
        <w:gridCol w:w="1080"/>
        <w:gridCol w:w="540"/>
        <w:gridCol w:w="540"/>
        <w:gridCol w:w="540"/>
        <w:gridCol w:w="540"/>
        <w:gridCol w:w="536"/>
        <w:gridCol w:w="678"/>
        <w:gridCol w:w="676"/>
        <w:gridCol w:w="680"/>
        <w:gridCol w:w="678"/>
        <w:gridCol w:w="678"/>
        <w:gridCol w:w="678"/>
        <w:gridCol w:w="678"/>
        <w:gridCol w:w="678"/>
        <w:gridCol w:w="678"/>
        <w:gridCol w:w="678"/>
        <w:gridCol w:w="678"/>
        <w:gridCol w:w="678"/>
        <w:gridCol w:w="678"/>
      </w:tblGrid>
      <w:tr w:rsidR="00B40732" w:rsidRPr="00B40732" w14:paraId="0EB0CC85" w14:textId="77777777" w:rsidTr="00EC5777">
        <w:trPr>
          <w:cantSplit/>
          <w:trHeight w:val="990"/>
        </w:trPr>
        <w:tc>
          <w:tcPr>
            <w:tcW w:w="1403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7136906" w14:textId="1A2A0B6C" w:rsidR="00B40732" w:rsidRPr="00B40732" w:rsidRDefault="00B40732" w:rsidP="00B40732">
            <w:pPr>
              <w:pStyle w:val="Heading2"/>
              <w:rPr>
                <w:rFonts w:ascii="Arial" w:hAnsi="Arial" w:cs="Arial"/>
              </w:rPr>
            </w:pPr>
            <w:bookmarkStart w:id="149" w:name="_Toc57035242"/>
            <w:r w:rsidRPr="0092461F">
              <w:rPr>
                <w:rFonts w:ascii="Arial" w:hAnsi="Arial" w:cs="Arial"/>
                <w:color w:val="000000" w:themeColor="text1"/>
              </w:rPr>
              <w:t xml:space="preserve">Annex </w:t>
            </w:r>
            <w:r w:rsidR="00650F2B">
              <w:rPr>
                <w:rFonts w:ascii="Arial" w:hAnsi="Arial" w:cs="Arial"/>
                <w:color w:val="000000" w:themeColor="text1"/>
              </w:rPr>
              <w:t>9</w:t>
            </w:r>
            <w:r w:rsidRPr="0092461F">
              <w:rPr>
                <w:rFonts w:ascii="Arial" w:hAnsi="Arial" w:cs="Arial"/>
                <w:color w:val="000000" w:themeColor="text1"/>
              </w:rPr>
              <w:t>. Calculation of feasible domestic resource mobilization</w:t>
            </w:r>
            <w:bookmarkEnd w:id="149"/>
          </w:p>
        </w:tc>
      </w:tr>
      <w:tr w:rsidR="00B40732" w:rsidRPr="00B40732" w14:paraId="09683B88" w14:textId="77777777" w:rsidTr="00B40732">
        <w:trPr>
          <w:cantSplit/>
          <w:trHeight w:val="99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E51AA" w14:textId="77777777" w:rsidR="00B40732" w:rsidRPr="00B40732" w:rsidRDefault="00B40732" w:rsidP="00B40732">
            <w:pPr>
              <w:spacing w:after="0" w:line="240" w:lineRule="auto"/>
              <w:rPr>
                <w:rFonts w:ascii="Times New Roman" w:eastAsia="Times New Roman" w:hAnsi="Times New Roman" w:cs="Times New Roman"/>
                <w:sz w:val="1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AD1B" w14:textId="2F45FBDA" w:rsidR="00B40732" w:rsidRPr="00B40732" w:rsidRDefault="00B40732" w:rsidP="00B40732">
            <w:pPr>
              <w:spacing w:after="0" w:line="240" w:lineRule="auto"/>
              <w:jc w:val="center"/>
              <w:rPr>
                <w:rFonts w:ascii="Arial" w:eastAsia="Times New Roman" w:hAnsi="Arial" w:cs="Arial"/>
                <w:b/>
                <w:bCs/>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930C4DF" w14:textId="77777777" w:rsidR="00B40732" w:rsidRPr="00B40732" w:rsidRDefault="00B40732" w:rsidP="00B40732">
            <w:pPr>
              <w:spacing w:after="0" w:line="240" w:lineRule="auto"/>
              <w:ind w:left="113" w:right="113"/>
              <w:jc w:val="center"/>
              <w:rPr>
                <w:rFonts w:ascii="Arial" w:eastAsia="Times New Roman" w:hAnsi="Arial" w:cs="Arial"/>
                <w:b/>
                <w:bCs/>
                <w:sz w:val="12"/>
              </w:rPr>
            </w:pPr>
            <w:r w:rsidRPr="00B40732">
              <w:rPr>
                <w:rFonts w:ascii="Arial" w:eastAsia="Times New Roman" w:hAnsi="Arial" w:cs="Arial"/>
                <w:b/>
                <w:bCs/>
                <w:sz w:val="12"/>
              </w:rPr>
              <w:t>Increment</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EFD4D64" w14:textId="77777777" w:rsidR="00B40732" w:rsidRPr="00B40732" w:rsidRDefault="00B40732" w:rsidP="00B40732">
            <w:pPr>
              <w:spacing w:after="0" w:line="240" w:lineRule="auto"/>
              <w:ind w:left="113" w:right="113"/>
              <w:jc w:val="center"/>
              <w:rPr>
                <w:rFonts w:ascii="Arial" w:eastAsia="Times New Roman" w:hAnsi="Arial" w:cs="Arial"/>
                <w:b/>
                <w:bCs/>
                <w:sz w:val="12"/>
              </w:rPr>
            </w:pPr>
            <w:r w:rsidRPr="00B40732">
              <w:rPr>
                <w:rFonts w:ascii="Arial" w:eastAsia="Times New Roman" w:hAnsi="Arial" w:cs="Arial"/>
                <w:b/>
                <w:bCs/>
                <w:sz w:val="12"/>
              </w:rPr>
              <w:t>Target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EDFE0"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2015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799A"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2016</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F1FF"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2017</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89071"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2018 (P)</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9F980"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2019 (P)</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4AB0"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2020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1BB3"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2021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69318"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2022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DD3A"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2023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EE4A"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2024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635CC"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2025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8D55"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2026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AE86"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2027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030CF"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2028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3EC7"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2029 (P)</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405F" w14:textId="77777777" w:rsidR="00B40732" w:rsidRPr="00B40732" w:rsidRDefault="00B40732" w:rsidP="00B40732">
            <w:pPr>
              <w:spacing w:after="0" w:line="240" w:lineRule="auto"/>
              <w:jc w:val="center"/>
              <w:rPr>
                <w:rFonts w:ascii="Calibri" w:eastAsia="Times New Roman" w:hAnsi="Calibri" w:cs="Times New Roman"/>
                <w:b/>
                <w:bCs/>
                <w:sz w:val="12"/>
                <w:szCs w:val="18"/>
              </w:rPr>
            </w:pPr>
            <w:r w:rsidRPr="00B40732">
              <w:rPr>
                <w:rFonts w:ascii="Calibri" w:eastAsia="Times New Roman" w:hAnsi="Calibri" w:cs="Times New Roman"/>
                <w:b/>
                <w:bCs/>
                <w:sz w:val="12"/>
                <w:szCs w:val="18"/>
              </w:rPr>
              <w:t>2030 (P)</w:t>
            </w:r>
          </w:p>
        </w:tc>
      </w:tr>
      <w:tr w:rsidR="00B40732" w:rsidRPr="00B40732" w14:paraId="078CA10A" w14:textId="77777777" w:rsidTr="00B40732">
        <w:trPr>
          <w:trHeight w:val="41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07AAA" w14:textId="09484AAE"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Gross domestic product (USD bil</w:t>
            </w:r>
            <w:r w:rsidR="00FC701D">
              <w:rPr>
                <w:rFonts w:ascii="Arial" w:eastAsia="Times New Roman" w:hAnsi="Arial" w:cs="Arial"/>
                <w:sz w:val="12"/>
              </w:rPr>
              <w:t>lion</w:t>
            </w:r>
            <w:r w:rsidRPr="00B40732">
              <w:rPr>
                <w:rFonts w:ascii="Arial" w:eastAsia="Times New Roman" w:hAnsi="Arial" w:cs="Arial"/>
                <w:sz w:val="1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EC50F" w14:textId="77777777" w:rsidR="00B40732" w:rsidRPr="00B40732" w:rsidRDefault="00B40732" w:rsidP="00B40732">
            <w:pPr>
              <w:spacing w:after="0" w:line="240" w:lineRule="auto"/>
              <w:rPr>
                <w:rFonts w:ascii="Arial" w:eastAsia="Times New Roman" w:hAnsi="Arial" w:cs="Arial"/>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A9E00"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C3FC4"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70CE7"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45.6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6FDCA"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47.7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32298"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52.1 </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316EF"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55.6 </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39015"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60.3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B7DD8"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65.5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77D05D"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70.1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81543B"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74.9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892A1D"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79.8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21435F"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84.8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226D21"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90.0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C147C2"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95.2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EA9CDD"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100.5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0BDC1"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105.8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CC4511"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111.1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82809B" w14:textId="77777777" w:rsidR="00B40732" w:rsidRPr="00B40732" w:rsidRDefault="00B40732" w:rsidP="00B40732">
            <w:pPr>
              <w:spacing w:after="0" w:line="240" w:lineRule="auto"/>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 xml:space="preserve">     116.5 </w:t>
            </w:r>
          </w:p>
        </w:tc>
      </w:tr>
      <w:tr w:rsidR="00B40732" w:rsidRPr="00B40732" w14:paraId="2F6F9C71" w14:textId="77777777" w:rsidTr="00B40732">
        <w:trPr>
          <w:trHeight w:val="591"/>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AB14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Real GDP growth (percent)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0F1C6"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Assume growth starts to slow by a quarter % per annum after 2020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81D1C" w14:textId="77777777" w:rsidR="00B40732" w:rsidRPr="00B40732" w:rsidRDefault="00B40732" w:rsidP="00B40732">
            <w:pPr>
              <w:spacing w:after="0" w:line="240" w:lineRule="auto"/>
              <w:jc w:val="center"/>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-0.25%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18F63" w14:textId="77777777" w:rsidR="00B40732" w:rsidRPr="00B40732" w:rsidRDefault="00B40732" w:rsidP="00B40732">
            <w:pPr>
              <w:spacing w:after="0" w:line="240" w:lineRule="auto"/>
              <w:jc w:val="center"/>
              <w:rPr>
                <w:rFonts w:ascii="Calibri" w:eastAsia="Times New Roman" w:hAnsi="Calibri" w:cs="Times New Roman"/>
                <w:color w:val="000000"/>
                <w:sz w:val="1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6CF77"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7.0%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BD81"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7.0%</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FDD52"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6.0%</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A7C5C"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5.8%</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1D313"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B7146"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7.3%</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5B5372A"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7.1%</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120A98"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6.8%</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32D35DF"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6.6%</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787EE1"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6.3%</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1A879E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6.1%</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91F3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5.8%</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0F0600"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5.6%</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660E5C"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5.3%</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41A987"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5.1%</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116C2B"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4.8%</w:t>
            </w:r>
          </w:p>
        </w:tc>
      </w:tr>
      <w:tr w:rsidR="00B40732" w:rsidRPr="00B40732" w14:paraId="335FE580" w14:textId="77777777" w:rsidTr="00B40732">
        <w:trPr>
          <w:trHeight w:val="606"/>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16753"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General government total expenditure as a % of GDP</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5D7E8"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Assume remains constant after 2023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8C9AE" w14:textId="77777777" w:rsidR="00B40732" w:rsidRPr="00B40732" w:rsidRDefault="00B40732" w:rsidP="00B40732">
            <w:pPr>
              <w:spacing w:after="0" w:line="240" w:lineRule="auto"/>
              <w:rPr>
                <w:rFonts w:ascii="Arial" w:eastAsia="Times New Roman" w:hAnsi="Arial" w:cs="Arial"/>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DEF5B"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4330C"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17.8%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74E0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17.7%</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8D68D"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17.3%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BDD06"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18.8%</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B2E68"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20.1%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035F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19.9%</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BA50"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19.3%</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285BF"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1E5CC"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169B53A"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F5A3E0D"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40B333F"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CB9A60C"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23C9A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CFB63A7"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32AFE05"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18.9%</w:t>
            </w:r>
          </w:p>
        </w:tc>
      </w:tr>
      <w:tr w:rsidR="00B40732" w:rsidRPr="00B40732" w14:paraId="0267876F" w14:textId="77777777" w:rsidTr="00B40732">
        <w:trPr>
          <w:trHeight w:val="439"/>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4379F" w14:textId="2601E08E"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General government expenditure (USD </w:t>
            </w:r>
            <w:r w:rsidR="00FC701D">
              <w:rPr>
                <w:rFonts w:ascii="Arial" w:eastAsia="Times New Roman" w:hAnsi="Arial" w:cs="Arial"/>
                <w:sz w:val="12"/>
              </w:rPr>
              <w:t>billion</w:t>
            </w:r>
            <w:r w:rsidRPr="00B40732">
              <w:rPr>
                <w:rFonts w:ascii="Arial" w:eastAsia="Times New Roman" w:hAnsi="Arial" w:cs="Arial"/>
                <w:sz w:val="1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67341" w14:textId="77777777" w:rsidR="00B40732" w:rsidRPr="00B40732" w:rsidRDefault="00B40732" w:rsidP="00B40732">
            <w:pPr>
              <w:spacing w:after="0" w:line="240" w:lineRule="auto"/>
              <w:rPr>
                <w:rFonts w:ascii="Arial" w:eastAsia="Times New Roman" w:hAnsi="Arial" w:cs="Arial"/>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049B2"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82923"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6F0281"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8.1 </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BFB9B9"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8.4 </w:t>
            </w:r>
          </w:p>
        </w:tc>
        <w:tc>
          <w:tcPr>
            <w:tcW w:w="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44C427"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9.0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25CCC1"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10.5 </w:t>
            </w:r>
          </w:p>
        </w:tc>
        <w:tc>
          <w:tcPr>
            <w:tcW w:w="6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2CF7FB"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12.1 </w:t>
            </w:r>
          </w:p>
        </w:tc>
        <w:tc>
          <w:tcPr>
            <w:tcW w:w="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32394A"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13.0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CCB54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13.5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54610D"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14.1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1C2942"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15.1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67946D"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16.1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B6166D"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17.0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87451E"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18.0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734A90"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19.0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07F23"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20.0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1A08E6"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21.0 </w:t>
            </w:r>
          </w:p>
        </w:tc>
        <w:tc>
          <w:tcPr>
            <w:tcW w:w="6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D45FA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22.0 </w:t>
            </w:r>
          </w:p>
        </w:tc>
      </w:tr>
      <w:tr w:rsidR="00B40732" w:rsidRPr="00B40732" w14:paraId="3AC485B3" w14:textId="77777777" w:rsidTr="00B40732">
        <w:trPr>
          <w:trHeight w:val="567"/>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34C0B"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Domestic General Government Health Expenditure (GGHE-D) as % General Government Expenditure (GGE)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92DF8"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Assume 0.5% increase until threshold is achieved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56A1F" w14:textId="77777777" w:rsidR="00B40732" w:rsidRPr="00B40732" w:rsidRDefault="00B40732" w:rsidP="00B40732">
            <w:pPr>
              <w:spacing w:after="0" w:line="240" w:lineRule="auto"/>
              <w:jc w:val="center"/>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0.25%</w:t>
            </w:r>
          </w:p>
        </w:tc>
        <w:tc>
          <w:tcPr>
            <w:tcW w:w="5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C74F7BD"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0C448"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7.0%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6E7F4"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10.0%</w:t>
            </w:r>
          </w:p>
        </w:tc>
        <w:tc>
          <w:tcPr>
            <w:tcW w:w="53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17D67C4"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10.25%</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30281E0"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10.50%</w:t>
            </w:r>
          </w:p>
        </w:tc>
        <w:tc>
          <w:tcPr>
            <w:tcW w:w="6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23D46A4"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10.75%</w:t>
            </w:r>
          </w:p>
        </w:tc>
        <w:tc>
          <w:tcPr>
            <w:tcW w:w="68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3CBE5D6"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03CF792"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DF251B1"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34A8E0"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33F6E59"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378FF10"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3DDBB2A"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C62167E"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05D09D"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C210628"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c>
          <w:tcPr>
            <w:tcW w:w="6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9F5EE52"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11.00%</w:t>
            </w:r>
          </w:p>
        </w:tc>
      </w:tr>
      <w:tr w:rsidR="00B40732" w:rsidRPr="00B40732" w14:paraId="374C9DB5" w14:textId="77777777" w:rsidTr="00B40732">
        <w:trPr>
          <w:trHeight w:val="473"/>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9E990"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Domestic General Government Health Expenditure (GGHE-D) (USD mil)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025E" w14:textId="77777777" w:rsidR="00B40732" w:rsidRPr="00B40732" w:rsidRDefault="00B40732" w:rsidP="00B40732">
            <w:pPr>
              <w:spacing w:after="0" w:line="240" w:lineRule="auto"/>
              <w:rPr>
                <w:rFonts w:ascii="Arial" w:eastAsia="Times New Roman" w:hAnsi="Arial" w:cs="Arial"/>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1ADCF"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5B9FC"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CE5F1"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595.7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E2FE2"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801.4 </w:t>
            </w:r>
          </w:p>
        </w:tc>
        <w:tc>
          <w:tcPr>
            <w:tcW w:w="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AFC911"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923.5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C17474"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1,097.8 </w:t>
            </w:r>
          </w:p>
        </w:tc>
        <w:tc>
          <w:tcPr>
            <w:tcW w:w="6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9D79E9"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1,302.7 </w:t>
            </w:r>
          </w:p>
        </w:tc>
        <w:tc>
          <w:tcPr>
            <w:tcW w:w="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5A851C"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1,430.6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B1561E"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1,487.4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4199A9"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1,556.0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B0BD4A"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1,661.2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5A9202"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1,765.9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A00D33"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1,872.7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3963"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1,981.3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D17F54"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2,091.3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0E96CD"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2,202.1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BC15C9"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2,313.3 </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9C754B"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2,424.4 </w:t>
            </w:r>
          </w:p>
        </w:tc>
      </w:tr>
      <w:tr w:rsidR="00B40732" w:rsidRPr="00B40732" w14:paraId="62AF082B" w14:textId="77777777" w:rsidTr="00B40732">
        <w:trPr>
          <w:trHeight w:val="493"/>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AEBF8"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Domestic General Government Health Expenditure (GGHE-D) (USD mil) on </w:t>
            </w:r>
            <w:r w:rsidRPr="00B40732">
              <w:rPr>
                <w:rFonts w:ascii="Arial" w:eastAsia="Times New Roman" w:hAnsi="Arial" w:cs="Arial"/>
                <w:b/>
                <w:bCs/>
                <w:sz w:val="12"/>
              </w:rPr>
              <w:t>HIV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B39F3"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Adopted the GF funding landscape numbers for first couple of years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E33D" w14:textId="77777777" w:rsidR="00B40732" w:rsidRPr="00B40732" w:rsidRDefault="00B40732" w:rsidP="00B40732">
            <w:pPr>
              <w:spacing w:after="0" w:line="240" w:lineRule="auto"/>
              <w:rPr>
                <w:rFonts w:ascii="Arial" w:eastAsia="Times New Roman" w:hAnsi="Arial" w:cs="Arial"/>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C6B56"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E9A5B"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36.8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48646"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49.8 </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016F3"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52.3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D5B4A"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54.9 </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41F1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57.6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97D8"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66.9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FFA0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73.2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8DAF4"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80.5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4A3B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90.1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ABFCF"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100.2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D57D8"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110.9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FC5AB"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122.3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F26E8"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134.4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480CD"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147.0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E0F3E"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160.2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B7E09"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    173.9 </w:t>
            </w:r>
          </w:p>
        </w:tc>
      </w:tr>
      <w:tr w:rsidR="00B40732" w:rsidRPr="00B40732" w14:paraId="52C85F27" w14:textId="77777777" w:rsidTr="00B40732">
        <w:trPr>
          <w:trHeight w:val="79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93ED9"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xml:space="preserve">Domestic General Government Health Expenditure (GGHE-D) (USD mil) on </w:t>
            </w:r>
            <w:r w:rsidRPr="00B40732">
              <w:rPr>
                <w:rFonts w:ascii="Arial" w:eastAsia="Times New Roman" w:hAnsi="Arial" w:cs="Arial"/>
                <w:b/>
                <w:bCs/>
                <w:sz w:val="12"/>
              </w:rPr>
              <w:t>HIV</w:t>
            </w:r>
            <w:r w:rsidRPr="00B40732">
              <w:rPr>
                <w:rFonts w:ascii="Calibri" w:eastAsia="Times New Roman" w:hAnsi="Calibri" w:cs="Arial"/>
                <w:color w:val="000000"/>
                <w:sz w:val="12"/>
                <w:szCs w:val="22"/>
              </w:rPr>
              <w:t xml:space="preserve"> as  % of GGHE-D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CF3E1"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Assume we can advocate to get to where expenditure was before as a % - increase at 0.5% per annum starting 2020 budget year</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4F20E" w14:textId="77777777" w:rsidR="00B40732" w:rsidRPr="00B40732" w:rsidRDefault="00B40732" w:rsidP="00B40732">
            <w:pPr>
              <w:spacing w:after="0" w:line="240" w:lineRule="auto"/>
              <w:jc w:val="center"/>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0.25%</w:t>
            </w:r>
          </w:p>
        </w:tc>
        <w:tc>
          <w:tcPr>
            <w:tcW w:w="5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D36CB8B" w14:textId="77777777" w:rsidR="00B40732" w:rsidRPr="00B40732" w:rsidRDefault="00B40732" w:rsidP="00B40732">
            <w:pPr>
              <w:spacing w:after="0" w:line="240" w:lineRule="auto"/>
              <w:jc w:val="center"/>
              <w:rPr>
                <w:rFonts w:ascii="Arial" w:eastAsia="Times New Roman" w:hAnsi="Arial" w:cs="Arial"/>
                <w:sz w:val="12"/>
              </w:rPr>
            </w:pPr>
            <w:r w:rsidRPr="00B40732">
              <w:rPr>
                <w:rFonts w:ascii="Arial" w:eastAsia="Times New Roman" w:hAnsi="Arial" w:cs="Arial"/>
                <w:sz w:val="12"/>
              </w:rPr>
              <w:t>7.0%</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B5FC6"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6.2%</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060552"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6.2%</w:t>
            </w:r>
          </w:p>
        </w:tc>
        <w:tc>
          <w:tcPr>
            <w:tcW w:w="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07052F"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5.7%</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5ED99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5.0%</w:t>
            </w:r>
          </w:p>
        </w:tc>
        <w:tc>
          <w:tcPr>
            <w:tcW w:w="6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CDE631"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4.4%</w:t>
            </w:r>
          </w:p>
        </w:tc>
        <w:tc>
          <w:tcPr>
            <w:tcW w:w="68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204E76E"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4.7%</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2F23BB"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4.9%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87A7C5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5.2%</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004941"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5.4%</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07246F"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5.7%</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0D8200"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5.9%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6412560"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6.2%</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439284"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6.4%</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758A619"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6.7%</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E8E63F"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6.9%</w:t>
            </w:r>
          </w:p>
        </w:tc>
        <w:tc>
          <w:tcPr>
            <w:tcW w:w="6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D5DE92"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r w:rsidRPr="00B40732">
              <w:rPr>
                <w:rFonts w:ascii="Calibri" w:eastAsia="Times New Roman" w:hAnsi="Calibri" w:cs="Times New Roman"/>
                <w:color w:val="000000"/>
                <w:sz w:val="12"/>
                <w:szCs w:val="22"/>
              </w:rPr>
              <w:t>7.2%</w:t>
            </w:r>
          </w:p>
        </w:tc>
      </w:tr>
      <w:tr w:rsidR="00B40732" w:rsidRPr="00B40732" w14:paraId="2998164E" w14:textId="77777777" w:rsidTr="00B40732">
        <w:trPr>
          <w:trHeight w:val="242"/>
        </w:trPr>
        <w:tc>
          <w:tcPr>
            <w:tcW w:w="144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6BF74C62" w14:textId="77777777" w:rsidR="00B40732" w:rsidRPr="00B40732" w:rsidRDefault="00B40732" w:rsidP="00B40732">
            <w:pPr>
              <w:spacing w:after="0" w:line="240" w:lineRule="auto"/>
              <w:jc w:val="right"/>
              <w:rPr>
                <w:rFonts w:ascii="Calibri" w:eastAsia="Times New Roman" w:hAnsi="Calibri" w:cs="Times New Roman"/>
                <w:color w:val="000000"/>
                <w:sz w:val="12"/>
                <w:szCs w:val="22"/>
              </w:rPr>
            </w:pPr>
          </w:p>
        </w:tc>
        <w:tc>
          <w:tcPr>
            <w:tcW w:w="108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093A370D"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195EB37C"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611853A4"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7D4DB23C"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4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28BBAB13" w14:textId="77777777" w:rsidR="00B40732" w:rsidRPr="00B40732" w:rsidRDefault="00B40732" w:rsidP="00B40732">
            <w:pPr>
              <w:spacing w:after="0" w:line="240" w:lineRule="auto"/>
              <w:rPr>
                <w:rFonts w:ascii="Times New Roman" w:eastAsia="Times New Roman" w:hAnsi="Times New Roman" w:cs="Times New Roman"/>
                <w:sz w:val="12"/>
              </w:rPr>
            </w:pPr>
          </w:p>
        </w:tc>
        <w:tc>
          <w:tcPr>
            <w:tcW w:w="536"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429EB45F"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5D7A6A64"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6"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3C505BEA"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80" w:type="dxa"/>
            <w:tcBorders>
              <w:top w:val="single" w:sz="4" w:space="0" w:color="auto"/>
              <w:left w:val="single" w:sz="4" w:space="0" w:color="auto"/>
              <w:bottom w:val="dashed" w:sz="8" w:space="0" w:color="auto"/>
              <w:right w:val="single" w:sz="4" w:space="0" w:color="auto"/>
            </w:tcBorders>
            <w:shd w:val="clear" w:color="auto" w:fill="auto"/>
            <w:vAlign w:val="center"/>
            <w:hideMark/>
          </w:tcPr>
          <w:p w14:paraId="71E2F4D3"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2AD7342C"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1CF936A8"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1FB28720"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1EF6A407"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76FF6C5E"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3FED4B75"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0D74A458"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4ED17978"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552DBE98" w14:textId="77777777" w:rsidR="00B40732" w:rsidRPr="00B40732" w:rsidRDefault="00B40732" w:rsidP="00B40732">
            <w:pPr>
              <w:spacing w:after="0" w:line="240" w:lineRule="auto"/>
              <w:rPr>
                <w:rFonts w:ascii="Times New Roman" w:eastAsia="Times New Roman" w:hAnsi="Times New Roman" w:cs="Times New Roman"/>
                <w:sz w:val="12"/>
              </w:rPr>
            </w:pPr>
          </w:p>
        </w:tc>
        <w:tc>
          <w:tcPr>
            <w:tcW w:w="678" w:type="dxa"/>
            <w:tcBorders>
              <w:top w:val="single" w:sz="4" w:space="0" w:color="auto"/>
              <w:left w:val="single" w:sz="4" w:space="0" w:color="auto"/>
              <w:bottom w:val="dashed" w:sz="8" w:space="0" w:color="auto"/>
              <w:right w:val="single" w:sz="4" w:space="0" w:color="auto"/>
            </w:tcBorders>
            <w:shd w:val="clear" w:color="auto" w:fill="auto"/>
            <w:noWrap/>
            <w:vAlign w:val="center"/>
            <w:hideMark/>
          </w:tcPr>
          <w:p w14:paraId="56F5AA6E" w14:textId="77777777" w:rsidR="00B40732" w:rsidRPr="00B40732" w:rsidRDefault="00B40732" w:rsidP="00B40732">
            <w:pPr>
              <w:spacing w:after="0" w:line="240" w:lineRule="auto"/>
              <w:rPr>
                <w:rFonts w:ascii="Times New Roman" w:eastAsia="Times New Roman" w:hAnsi="Times New Roman" w:cs="Times New Roman"/>
                <w:sz w:val="12"/>
              </w:rPr>
            </w:pPr>
          </w:p>
        </w:tc>
      </w:tr>
      <w:tr w:rsidR="00B40732" w:rsidRPr="00B40732" w14:paraId="08BE8787" w14:textId="77777777" w:rsidTr="00B40732">
        <w:trPr>
          <w:trHeight w:val="347"/>
        </w:trPr>
        <w:tc>
          <w:tcPr>
            <w:tcW w:w="144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4A9C67BB"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Total increase in domestic spending (USD mil)</w:t>
            </w:r>
          </w:p>
        </w:tc>
        <w:tc>
          <w:tcPr>
            <w:tcW w:w="108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6D445004"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w:t>
            </w:r>
          </w:p>
        </w:tc>
        <w:tc>
          <w:tcPr>
            <w:tcW w:w="54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70BE968C"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w:t>
            </w:r>
          </w:p>
        </w:tc>
        <w:tc>
          <w:tcPr>
            <w:tcW w:w="54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5AA264AE"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w:t>
            </w:r>
          </w:p>
        </w:tc>
        <w:tc>
          <w:tcPr>
            <w:tcW w:w="54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22FD4FBD" w14:textId="77777777" w:rsidR="00B40732" w:rsidRPr="00B40732" w:rsidRDefault="00B40732" w:rsidP="00B40732">
            <w:pPr>
              <w:spacing w:after="0" w:line="240" w:lineRule="auto"/>
              <w:rPr>
                <w:rFonts w:ascii="Arial" w:eastAsia="Times New Roman" w:hAnsi="Arial" w:cs="Arial"/>
                <w:sz w:val="12"/>
              </w:rPr>
            </w:pPr>
            <w:r w:rsidRPr="00B40732">
              <w:rPr>
                <w:rFonts w:ascii="Arial" w:eastAsia="Times New Roman" w:hAnsi="Arial" w:cs="Arial"/>
                <w:sz w:val="12"/>
              </w:rPr>
              <w:t> </w:t>
            </w:r>
          </w:p>
        </w:tc>
        <w:tc>
          <w:tcPr>
            <w:tcW w:w="54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6AE8C80B"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13.01 </w:t>
            </w:r>
          </w:p>
        </w:tc>
        <w:tc>
          <w:tcPr>
            <w:tcW w:w="536"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7F4F4BA6"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2.49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201610AC"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2.61 </w:t>
            </w:r>
          </w:p>
        </w:tc>
        <w:tc>
          <w:tcPr>
            <w:tcW w:w="676"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098A6995"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2.74 </w:t>
            </w:r>
          </w:p>
        </w:tc>
        <w:tc>
          <w:tcPr>
            <w:tcW w:w="680"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1E013D77"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9.23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309FCAE2"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6.37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7D3712F8"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7.27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44DFB040"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9.60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54796057"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10.09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4F71C252"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10.74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5A38A006"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11.39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495FF705"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12.02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019469CA"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12.63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35AB1E3C"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13.21 </w:t>
            </w:r>
          </w:p>
        </w:tc>
        <w:tc>
          <w:tcPr>
            <w:tcW w:w="678" w:type="dxa"/>
            <w:tcBorders>
              <w:top w:val="dashed" w:sz="8" w:space="0" w:color="auto"/>
              <w:left w:val="single" w:sz="4" w:space="0" w:color="auto"/>
              <w:bottom w:val="single" w:sz="4" w:space="0" w:color="auto"/>
              <w:right w:val="single" w:sz="4" w:space="0" w:color="auto"/>
            </w:tcBorders>
            <w:shd w:val="clear" w:color="auto" w:fill="FBE4D5" w:themeFill="accent2" w:themeFillTint="33"/>
            <w:vAlign w:val="center"/>
            <w:hideMark/>
          </w:tcPr>
          <w:p w14:paraId="00B3B1F4" w14:textId="77777777" w:rsidR="00B40732" w:rsidRPr="00B40732" w:rsidRDefault="00B40732" w:rsidP="00B40732">
            <w:pPr>
              <w:spacing w:after="0" w:line="240" w:lineRule="auto"/>
              <w:rPr>
                <w:rFonts w:ascii="Arial" w:eastAsia="Times New Roman" w:hAnsi="Arial" w:cs="Arial"/>
                <w:b/>
                <w:sz w:val="12"/>
              </w:rPr>
            </w:pPr>
            <w:r w:rsidRPr="00B40732">
              <w:rPr>
                <w:rFonts w:ascii="Arial" w:eastAsia="Times New Roman" w:hAnsi="Arial" w:cs="Arial"/>
                <w:b/>
                <w:sz w:val="12"/>
              </w:rPr>
              <w:t xml:space="preserve">    13.75 </w:t>
            </w:r>
          </w:p>
        </w:tc>
      </w:tr>
    </w:tbl>
    <w:p w14:paraId="7DA39DF0" w14:textId="53B270DD" w:rsidR="00F220ED" w:rsidRDefault="00F220ED" w:rsidP="00CC53DD">
      <w:pPr>
        <w:spacing w:after="0"/>
        <w:rPr>
          <w:rFonts w:ascii="Arial" w:hAnsi="Arial" w:cs="Arial"/>
          <w:b/>
          <w:color w:val="4472C4" w:themeColor="accent1"/>
        </w:rPr>
      </w:pPr>
    </w:p>
    <w:p w14:paraId="094DE98B" w14:textId="77777777" w:rsidR="00650F2B" w:rsidRDefault="00650F2B" w:rsidP="000A76B3">
      <w:pPr>
        <w:pStyle w:val="Heading1"/>
        <w:rPr>
          <w:rFonts w:ascii="Arial" w:hAnsi="Arial" w:cs="Arial"/>
          <w:b/>
          <w:color w:val="C00000"/>
        </w:rPr>
        <w:sectPr w:rsidR="00650F2B" w:rsidSect="00F220ED">
          <w:pgSz w:w="15840" w:h="12240" w:orient="landscape"/>
          <w:pgMar w:top="1440" w:right="1440" w:bottom="1440" w:left="1440" w:header="720" w:footer="720" w:gutter="0"/>
          <w:cols w:space="720"/>
          <w:docGrid w:linePitch="360"/>
        </w:sectPr>
      </w:pPr>
    </w:p>
    <w:p w14:paraId="23452342" w14:textId="140004B5" w:rsidR="005A468B" w:rsidRDefault="00534FF7" w:rsidP="000A76B3">
      <w:pPr>
        <w:pStyle w:val="Heading1"/>
        <w:rPr>
          <w:rFonts w:ascii="Arial" w:hAnsi="Arial" w:cs="Arial"/>
          <w:b/>
          <w:color w:val="C00000"/>
        </w:rPr>
      </w:pPr>
      <w:bookmarkStart w:id="150" w:name="_Toc57035243"/>
      <w:r>
        <w:rPr>
          <w:rFonts w:ascii="Arial" w:hAnsi="Arial" w:cs="Arial"/>
          <w:b/>
          <w:color w:val="C00000"/>
        </w:rPr>
        <w:t>REFERENCES</w:t>
      </w:r>
      <w:bookmarkEnd w:id="150"/>
    </w:p>
    <w:p w14:paraId="1741089B" w14:textId="34F3DA81" w:rsidR="00607E5F" w:rsidRPr="00607E5F" w:rsidRDefault="00607E5F" w:rsidP="00607E5F">
      <w:pPr>
        <w:rPr>
          <w:rFonts w:ascii="Arial" w:hAnsi="Arial" w:cs="Arial"/>
          <w:sz w:val="22"/>
        </w:rPr>
      </w:pPr>
    </w:p>
    <w:p w14:paraId="3AFBB164" w14:textId="18F058B5" w:rsidR="003944CA" w:rsidRPr="00607E5F" w:rsidRDefault="00607E5F" w:rsidP="00121628">
      <w:pPr>
        <w:rPr>
          <w:rFonts w:ascii="Arial" w:hAnsi="Arial" w:cs="Arial"/>
        </w:rPr>
      </w:pPr>
      <w:r w:rsidRPr="005A3BB7">
        <w:rPr>
          <w:rFonts w:ascii="Arial" w:hAnsi="Arial" w:cs="Arial"/>
          <w:sz w:val="18"/>
          <w:lang w:val="en-ZA"/>
        </w:rPr>
        <w:t xml:space="preserve">African Union and Global Fund (2018). </w:t>
      </w:r>
      <w:r w:rsidRPr="005A3BB7">
        <w:rPr>
          <w:rFonts w:ascii="Arial" w:hAnsi="Arial" w:cs="Arial"/>
          <w:sz w:val="18"/>
        </w:rPr>
        <w:t>Africa Scorecard on Domestic Financing for Health.</w:t>
      </w:r>
    </w:p>
    <w:p w14:paraId="407AEC1B" w14:textId="47A383D2" w:rsidR="003944CA" w:rsidRPr="00BA2636" w:rsidRDefault="003944CA" w:rsidP="003944CA">
      <w:pPr>
        <w:pStyle w:val="EndnoteText"/>
        <w:rPr>
          <w:rFonts w:ascii="Arial" w:hAnsi="Arial" w:cs="Arial"/>
          <w:sz w:val="18"/>
          <w:lang w:val="fr-FR"/>
        </w:rPr>
      </w:pPr>
      <w:r w:rsidRPr="00BA2636">
        <w:rPr>
          <w:rFonts w:ascii="Arial" w:hAnsi="Arial" w:cs="Arial"/>
          <w:sz w:val="18"/>
        </w:rPr>
        <w:t xml:space="preserve">Attia S, Egger M, Muller M, Zwahlen M, Low N (2009). Sexual transmission of HIV according to viral load and antiretroviral therapy:  systematic review and meta-analysis. </w:t>
      </w:r>
      <w:r w:rsidRPr="00BA2636">
        <w:rPr>
          <w:rFonts w:ascii="Arial" w:hAnsi="Arial" w:cs="Arial"/>
          <w:sz w:val="18"/>
          <w:lang w:val="fr-FR"/>
        </w:rPr>
        <w:t>AIDS: 23:1-8.</w:t>
      </w:r>
    </w:p>
    <w:p w14:paraId="32B0B776" w14:textId="77777777" w:rsidR="003944CA" w:rsidRPr="00BA2636" w:rsidRDefault="003944CA" w:rsidP="003944CA">
      <w:pPr>
        <w:pStyle w:val="EndnoteText"/>
        <w:rPr>
          <w:rFonts w:ascii="Arial" w:hAnsi="Arial" w:cs="Arial"/>
          <w:sz w:val="18"/>
          <w:lang w:val="fr-FR"/>
        </w:rPr>
      </w:pPr>
    </w:p>
    <w:p w14:paraId="2A882829" w14:textId="78A15BE5" w:rsidR="003944CA" w:rsidRPr="00BA2636" w:rsidRDefault="003944CA" w:rsidP="003944CA">
      <w:pPr>
        <w:rPr>
          <w:rFonts w:ascii="Arial" w:hAnsi="Arial" w:cs="Arial"/>
          <w:noProof/>
          <w:sz w:val="18"/>
        </w:rPr>
      </w:pPr>
      <w:r w:rsidRPr="00BA2636">
        <w:rPr>
          <w:rFonts w:ascii="Arial" w:hAnsi="Arial" w:cs="Arial"/>
          <w:noProof/>
          <w:sz w:val="18"/>
          <w:lang w:val="es-419"/>
        </w:rPr>
        <w:t xml:space="preserve">Auvert B, Puren A, Taljaard D, Lagarde E, JoëlleTambekou-Sobngwi, RémiSitta (2005). </w:t>
      </w:r>
      <w:r w:rsidRPr="00BA2636">
        <w:rPr>
          <w:rFonts w:ascii="Arial" w:hAnsi="Arial" w:cs="Arial"/>
          <w:noProof/>
          <w:sz w:val="18"/>
        </w:rPr>
        <w:t>The impact of male circumcision on the female-to-male transmission of HIV : Results of the intervention trial : ANRS 1265.  IAS 2005: INSERM, France.</w:t>
      </w:r>
    </w:p>
    <w:p w14:paraId="21A1E6F0" w14:textId="3F23DC83" w:rsidR="003944CA" w:rsidRPr="00BA2636" w:rsidRDefault="003944CA" w:rsidP="006E0321">
      <w:pPr>
        <w:rPr>
          <w:rFonts w:ascii="Arial" w:hAnsi="Arial" w:cs="Arial"/>
          <w:noProof/>
          <w:sz w:val="18"/>
        </w:rPr>
      </w:pPr>
      <w:r w:rsidRPr="00BA2636">
        <w:rPr>
          <w:rFonts w:ascii="Arial" w:hAnsi="Arial" w:cs="Arial"/>
          <w:noProof/>
          <w:sz w:val="18"/>
        </w:rPr>
        <w:t xml:space="preserve">Baggaley RF, Fraser C (2010). Modelling sexual transmission of HIV: testing the assumptions, validating the predictions. Curr Opin HIV AIDS: </w:t>
      </w:r>
      <w:r w:rsidRPr="00BA2636">
        <w:rPr>
          <w:rFonts w:ascii="Arial" w:hAnsi="Arial" w:cs="Arial"/>
          <w:b/>
          <w:noProof/>
          <w:sz w:val="18"/>
        </w:rPr>
        <w:t>5</w:t>
      </w:r>
      <w:r w:rsidRPr="00BA2636">
        <w:rPr>
          <w:rFonts w:ascii="Arial" w:hAnsi="Arial" w:cs="Arial"/>
          <w:noProof/>
          <w:sz w:val="18"/>
        </w:rPr>
        <w:t>(4): 269-76</w:t>
      </w:r>
    </w:p>
    <w:p w14:paraId="5B2559EE" w14:textId="637B18B2" w:rsidR="003944CA" w:rsidRPr="00BA2636" w:rsidRDefault="003944CA" w:rsidP="003944CA">
      <w:pPr>
        <w:spacing w:after="0" w:line="240" w:lineRule="auto"/>
        <w:rPr>
          <w:rFonts w:ascii="Arial" w:hAnsi="Arial" w:cs="Arial"/>
          <w:sz w:val="18"/>
        </w:rPr>
      </w:pPr>
      <w:r w:rsidRPr="00BA2636">
        <w:rPr>
          <w:rFonts w:ascii="Arial" w:hAnsi="Arial" w:cs="Arial"/>
          <w:sz w:val="18"/>
        </w:rPr>
        <w:t>Bailey RC, Moses S, Parker CB, Agot K, Maclean I, Krieger JN, et al (2007). Male circumcision for HIV prevention in young men in Kisumu, Kenya: a randomised controlled trial. Lancet: 369(9562): 643-56.</w:t>
      </w:r>
    </w:p>
    <w:p w14:paraId="58E5C578" w14:textId="01D56204" w:rsidR="003944CA" w:rsidRPr="00BA2636" w:rsidRDefault="003944CA" w:rsidP="003944CA">
      <w:pPr>
        <w:spacing w:after="0" w:line="240" w:lineRule="auto"/>
        <w:rPr>
          <w:rFonts w:ascii="Arial" w:hAnsi="Arial" w:cs="Arial"/>
          <w:sz w:val="18"/>
        </w:rPr>
      </w:pPr>
    </w:p>
    <w:p w14:paraId="721DE9A0" w14:textId="1C4B1A46" w:rsidR="003944CA" w:rsidRDefault="003944CA" w:rsidP="003944CA">
      <w:pPr>
        <w:spacing w:after="0" w:line="240" w:lineRule="auto"/>
        <w:rPr>
          <w:rFonts w:ascii="Arial" w:hAnsi="Arial" w:cs="Arial"/>
          <w:sz w:val="18"/>
        </w:rPr>
      </w:pPr>
      <w:r w:rsidRPr="00BA2636">
        <w:rPr>
          <w:rFonts w:ascii="Arial" w:hAnsi="Arial" w:cs="Arial"/>
          <w:sz w:val="18"/>
        </w:rPr>
        <w:t>Boily MC, Baggaley RF, Wang L, Masse B, White RG, Hayes RJ, Alary M (2009). Heterosexual risk of HIV-1 infection per sexual act: systematic review and meta-analysis of observational studies. Lancet Infect Dis; 9: 118-29.</w:t>
      </w:r>
    </w:p>
    <w:p w14:paraId="083BAD8D" w14:textId="747D9D96" w:rsidR="006E0321" w:rsidRDefault="006E0321" w:rsidP="003944CA">
      <w:pPr>
        <w:spacing w:after="0" w:line="240" w:lineRule="auto"/>
        <w:rPr>
          <w:rFonts w:ascii="Arial" w:hAnsi="Arial" w:cs="Arial"/>
          <w:sz w:val="18"/>
        </w:rPr>
      </w:pPr>
    </w:p>
    <w:p w14:paraId="12137982" w14:textId="5787DB1D" w:rsidR="006E0321" w:rsidRDefault="006E0321" w:rsidP="003944CA">
      <w:pPr>
        <w:spacing w:after="0" w:line="240" w:lineRule="auto"/>
        <w:rPr>
          <w:rFonts w:ascii="Arial" w:hAnsi="Arial" w:cs="Arial"/>
          <w:sz w:val="18"/>
        </w:rPr>
      </w:pPr>
      <w:r w:rsidRPr="00993DF6">
        <w:rPr>
          <w:rFonts w:ascii="Arial" w:hAnsi="Arial" w:cs="Arial"/>
          <w:sz w:val="18"/>
        </w:rPr>
        <w:t xml:space="preserve">Bollinger LA, How can we calculate the “E” in “CEA” </w:t>
      </w:r>
      <w:r w:rsidR="005E174E">
        <w:rPr>
          <w:rFonts w:ascii="Arial" w:hAnsi="Arial" w:cs="Arial"/>
          <w:sz w:val="18"/>
        </w:rPr>
        <w:t xml:space="preserve">(2008). </w:t>
      </w:r>
      <w:r w:rsidRPr="005E174E">
        <w:rPr>
          <w:rFonts w:ascii="Arial" w:hAnsi="Arial" w:cs="Arial"/>
          <w:sz w:val="18"/>
        </w:rPr>
        <w:t>AIDS</w:t>
      </w:r>
      <w:r w:rsidR="005E174E" w:rsidRPr="005E174E">
        <w:rPr>
          <w:rFonts w:ascii="Arial" w:hAnsi="Arial" w:cs="Arial"/>
          <w:sz w:val="18"/>
        </w:rPr>
        <w:t>.</w:t>
      </w:r>
      <w:r w:rsidRPr="00993DF6">
        <w:rPr>
          <w:rFonts w:ascii="Arial" w:hAnsi="Arial" w:cs="Arial"/>
          <w:sz w:val="18"/>
        </w:rPr>
        <w:t xml:space="preserve"> 22(suppl 1): S51-S57.</w:t>
      </w:r>
    </w:p>
    <w:p w14:paraId="11EDCCB1" w14:textId="6AD25E04" w:rsidR="00121628" w:rsidRDefault="00121628" w:rsidP="003944CA">
      <w:pPr>
        <w:spacing w:after="0" w:line="240" w:lineRule="auto"/>
        <w:rPr>
          <w:rFonts w:ascii="Arial" w:hAnsi="Arial" w:cs="Arial"/>
          <w:sz w:val="18"/>
        </w:rPr>
      </w:pPr>
    </w:p>
    <w:p w14:paraId="236DB6BE" w14:textId="4F2B0FBB" w:rsidR="00121628" w:rsidRPr="00BA2636" w:rsidRDefault="00121628" w:rsidP="003944CA">
      <w:pPr>
        <w:spacing w:after="0" w:line="240" w:lineRule="auto"/>
        <w:rPr>
          <w:rFonts w:ascii="Arial" w:hAnsi="Arial" w:cs="Arial"/>
          <w:sz w:val="18"/>
        </w:rPr>
      </w:pPr>
      <w:r w:rsidRPr="00121628">
        <w:rPr>
          <w:rFonts w:ascii="Arial" w:hAnsi="Arial" w:cs="Arial"/>
          <w:sz w:val="18"/>
        </w:rPr>
        <w:t>Chang</w:t>
      </w:r>
      <w:r>
        <w:rPr>
          <w:rFonts w:ascii="Arial" w:hAnsi="Arial" w:cs="Arial"/>
          <w:sz w:val="18"/>
        </w:rPr>
        <w:t xml:space="preserve"> W, et al</w:t>
      </w:r>
      <w:r w:rsidRPr="00121628">
        <w:rPr>
          <w:rFonts w:ascii="Arial" w:hAnsi="Arial" w:cs="Arial"/>
          <w:sz w:val="18"/>
        </w:rPr>
        <w:t>. (2016). Implementation and Operational Research: Cost and Efficiency of a Hybrid Mobile Multidisease Testing Approach With High HIV Testing Coverage in East Africa. </w:t>
      </w:r>
      <w:r w:rsidRPr="00121628">
        <w:rPr>
          <w:rFonts w:ascii="Arial" w:hAnsi="Arial" w:cs="Arial"/>
          <w:iCs/>
          <w:sz w:val="18"/>
        </w:rPr>
        <w:t>Journal of acquired immune deficiency syndromes (1999)</w:t>
      </w:r>
      <w:r w:rsidRPr="00121628">
        <w:rPr>
          <w:rFonts w:ascii="Arial" w:hAnsi="Arial" w:cs="Arial"/>
          <w:sz w:val="18"/>
        </w:rPr>
        <w:t>, </w:t>
      </w:r>
      <w:r w:rsidRPr="00121628">
        <w:rPr>
          <w:rFonts w:ascii="Arial" w:hAnsi="Arial" w:cs="Arial"/>
          <w:i/>
          <w:iCs/>
          <w:sz w:val="18"/>
        </w:rPr>
        <w:t>73</w:t>
      </w:r>
      <w:r w:rsidRPr="00121628">
        <w:rPr>
          <w:rFonts w:ascii="Arial" w:hAnsi="Arial" w:cs="Arial"/>
          <w:sz w:val="18"/>
        </w:rPr>
        <w:t xml:space="preserve">(3), e39–e45. </w:t>
      </w:r>
    </w:p>
    <w:p w14:paraId="51C449D2" w14:textId="77777777" w:rsidR="003944CA" w:rsidRPr="00BA2636" w:rsidRDefault="003944CA" w:rsidP="003944CA">
      <w:pPr>
        <w:spacing w:after="0"/>
        <w:rPr>
          <w:rFonts w:ascii="Arial" w:hAnsi="Arial" w:cs="Arial"/>
          <w:sz w:val="18"/>
        </w:rPr>
      </w:pPr>
    </w:p>
    <w:p w14:paraId="2E665DF7" w14:textId="02A958C1" w:rsidR="005A468B" w:rsidRPr="00BA2636" w:rsidRDefault="005A468B" w:rsidP="003944CA">
      <w:pPr>
        <w:spacing w:after="0"/>
        <w:rPr>
          <w:rFonts w:ascii="Arial" w:hAnsi="Arial" w:cs="Arial"/>
          <w:sz w:val="18"/>
        </w:rPr>
      </w:pPr>
      <w:r w:rsidRPr="00BA2636">
        <w:rPr>
          <w:rFonts w:ascii="Arial" w:hAnsi="Arial" w:cs="Arial"/>
          <w:sz w:val="18"/>
        </w:rPr>
        <w:t>C</w:t>
      </w:r>
      <w:r w:rsidR="00053050">
        <w:rPr>
          <w:rFonts w:ascii="Arial" w:hAnsi="Arial" w:cs="Arial"/>
          <w:sz w:val="18"/>
        </w:rPr>
        <w:t>ountry Coordinating Mechanism (CCM),</w:t>
      </w:r>
      <w:r w:rsidRPr="00BA2636">
        <w:rPr>
          <w:rFonts w:ascii="Arial" w:hAnsi="Arial" w:cs="Arial"/>
          <w:sz w:val="18"/>
        </w:rPr>
        <w:t xml:space="preserve"> Tanzania</w:t>
      </w:r>
      <w:r w:rsidR="003944CA" w:rsidRPr="00BA2636">
        <w:rPr>
          <w:rFonts w:ascii="Arial" w:hAnsi="Arial" w:cs="Arial"/>
          <w:sz w:val="18"/>
        </w:rPr>
        <w:t xml:space="preserve"> (2017)</w:t>
      </w:r>
      <w:r w:rsidRPr="00BA2636">
        <w:rPr>
          <w:rFonts w:ascii="Arial" w:hAnsi="Arial" w:cs="Arial"/>
          <w:sz w:val="18"/>
        </w:rPr>
        <w:t xml:space="preserve">. Global Fund Funding Request: Full Review. </w:t>
      </w:r>
    </w:p>
    <w:p w14:paraId="6477273B" w14:textId="4A28FC0B" w:rsidR="003944CA" w:rsidRPr="00BA2636" w:rsidRDefault="003944CA" w:rsidP="003944CA">
      <w:pPr>
        <w:spacing w:after="0"/>
        <w:rPr>
          <w:rFonts w:ascii="Arial" w:hAnsi="Arial" w:cs="Arial"/>
          <w:sz w:val="18"/>
        </w:rPr>
      </w:pPr>
    </w:p>
    <w:p w14:paraId="65320E9C" w14:textId="735D766E" w:rsidR="005E174E" w:rsidRDefault="003944CA" w:rsidP="003944CA">
      <w:pPr>
        <w:pStyle w:val="EndnoteText"/>
        <w:rPr>
          <w:rFonts w:ascii="Arial" w:hAnsi="Arial" w:cs="Arial"/>
          <w:sz w:val="18"/>
        </w:rPr>
      </w:pPr>
      <w:r w:rsidRPr="00BA2636">
        <w:rPr>
          <w:rFonts w:ascii="Arial" w:hAnsi="Arial" w:cs="Arial"/>
          <w:sz w:val="18"/>
          <w:lang w:val="fr-FR"/>
        </w:rPr>
        <w:t>Cohen MS, Chen YQ, McCauley M, Gamble T, Hosseinipour MC, Kumarasamy N, et al</w:t>
      </w:r>
      <w:r w:rsidRPr="00BA2636">
        <w:rPr>
          <w:rFonts w:ascii="Arial" w:hAnsi="Arial" w:cs="Arial"/>
          <w:i/>
          <w:sz w:val="18"/>
          <w:lang w:val="fr-FR"/>
        </w:rPr>
        <w:t xml:space="preserve"> </w:t>
      </w:r>
      <w:r w:rsidRPr="00BA2636">
        <w:rPr>
          <w:rFonts w:ascii="Arial" w:hAnsi="Arial" w:cs="Arial"/>
          <w:sz w:val="18"/>
          <w:lang w:val="fr-FR"/>
        </w:rPr>
        <w:t xml:space="preserve">(2011). </w:t>
      </w:r>
      <w:r w:rsidRPr="00BA2636">
        <w:rPr>
          <w:rFonts w:ascii="Arial" w:hAnsi="Arial" w:cs="Arial"/>
          <w:sz w:val="18"/>
        </w:rPr>
        <w:t xml:space="preserve">Prevention of HIV-1 Infection with Early Antriretroviral Therapy N Engl J Med: 10.1056/NEJMoa1105243. </w:t>
      </w:r>
    </w:p>
    <w:p w14:paraId="63954E35" w14:textId="71E63CAA" w:rsidR="00121628" w:rsidRDefault="00121628" w:rsidP="003944CA">
      <w:pPr>
        <w:pStyle w:val="EndnoteText"/>
        <w:rPr>
          <w:rFonts w:ascii="Arial" w:hAnsi="Arial" w:cs="Arial"/>
          <w:sz w:val="18"/>
        </w:rPr>
      </w:pPr>
    </w:p>
    <w:p w14:paraId="28B237CD" w14:textId="309B5812" w:rsidR="00121628" w:rsidRDefault="00121628" w:rsidP="003944CA">
      <w:pPr>
        <w:pStyle w:val="EndnoteText"/>
        <w:rPr>
          <w:rFonts w:ascii="Arial" w:hAnsi="Arial" w:cs="Arial"/>
          <w:sz w:val="18"/>
        </w:rPr>
      </w:pPr>
      <w:r w:rsidRPr="00121628">
        <w:rPr>
          <w:rFonts w:ascii="Arial" w:hAnsi="Arial" w:cs="Arial"/>
          <w:sz w:val="18"/>
        </w:rPr>
        <w:t xml:space="preserve">Forsythe, S., B. Lee, K. Tarimo, B. Silvan, M. Balampama, J. Chitty, and Sara Bowsky </w:t>
      </w:r>
      <w:r>
        <w:rPr>
          <w:rFonts w:ascii="Arial" w:hAnsi="Arial" w:cs="Arial"/>
          <w:sz w:val="18"/>
        </w:rPr>
        <w:t>(</w:t>
      </w:r>
      <w:r w:rsidRPr="00121628">
        <w:rPr>
          <w:rFonts w:ascii="Arial" w:hAnsi="Arial" w:cs="Arial"/>
          <w:sz w:val="18"/>
        </w:rPr>
        <w:t>2018</w:t>
      </w:r>
      <w:r>
        <w:rPr>
          <w:rFonts w:ascii="Arial" w:hAnsi="Arial" w:cs="Arial"/>
          <w:sz w:val="18"/>
        </w:rPr>
        <w:t>).</w:t>
      </w:r>
      <w:r w:rsidRPr="00121628">
        <w:rPr>
          <w:rFonts w:ascii="Arial" w:hAnsi="Arial" w:cs="Arial"/>
          <w:sz w:val="18"/>
        </w:rPr>
        <w:t xml:space="preserve"> Efficiency Analysis of HIV Treatment Support Services at the Facility and the Community Levels. Washington, DC: Palladium, Health Policy Plus</w:t>
      </w:r>
      <w:r>
        <w:rPr>
          <w:rFonts w:ascii="Arial" w:hAnsi="Arial" w:cs="Arial"/>
          <w:sz w:val="18"/>
        </w:rPr>
        <w:t>. [DRAFT]</w:t>
      </w:r>
    </w:p>
    <w:p w14:paraId="17D983F0" w14:textId="77777777" w:rsidR="005E174E" w:rsidRPr="00BA2636" w:rsidRDefault="005E174E" w:rsidP="005E174E">
      <w:pPr>
        <w:spacing w:after="0"/>
        <w:rPr>
          <w:rFonts w:ascii="Arial" w:hAnsi="Arial" w:cs="Arial"/>
          <w:sz w:val="18"/>
        </w:rPr>
      </w:pPr>
    </w:p>
    <w:p w14:paraId="4032D6B1" w14:textId="00811709" w:rsidR="00121628" w:rsidRDefault="005E174E" w:rsidP="005E174E">
      <w:pPr>
        <w:spacing w:after="0"/>
        <w:rPr>
          <w:rFonts w:ascii="Arial" w:hAnsi="Arial" w:cs="Arial"/>
          <w:sz w:val="18"/>
        </w:rPr>
      </w:pPr>
      <w:r w:rsidRPr="00BA2636">
        <w:rPr>
          <w:rFonts w:ascii="Arial" w:hAnsi="Arial" w:cs="Arial"/>
          <w:sz w:val="18"/>
        </w:rPr>
        <w:t xml:space="preserve">Forsythe </w:t>
      </w:r>
      <w:r>
        <w:rPr>
          <w:rFonts w:ascii="Arial" w:hAnsi="Arial" w:cs="Arial"/>
          <w:sz w:val="18"/>
        </w:rPr>
        <w:t>S, Lee B, Dutta A, and Barker C</w:t>
      </w:r>
      <w:r w:rsidRPr="00BA2636">
        <w:rPr>
          <w:rFonts w:ascii="Arial" w:hAnsi="Arial" w:cs="Arial"/>
          <w:sz w:val="18"/>
        </w:rPr>
        <w:t xml:space="preserve"> (2016). ART Resource Requirements and Potential Efficiency Gains in Tanzania. ART Resource Requirements and Potential Efficiency Gains in Tanzania</w:t>
      </w:r>
      <w:r>
        <w:rPr>
          <w:rFonts w:ascii="Arial" w:hAnsi="Arial" w:cs="Arial"/>
          <w:sz w:val="18"/>
        </w:rPr>
        <w:t>. Presentation at IAEN 2016.</w:t>
      </w:r>
    </w:p>
    <w:p w14:paraId="2B259A5E" w14:textId="5C9FDBB1" w:rsidR="00121628" w:rsidRDefault="00121628" w:rsidP="005E174E">
      <w:pPr>
        <w:spacing w:after="0"/>
        <w:rPr>
          <w:rFonts w:ascii="Arial" w:hAnsi="Arial" w:cs="Arial"/>
          <w:sz w:val="18"/>
        </w:rPr>
      </w:pPr>
    </w:p>
    <w:p w14:paraId="4B3DBFCA" w14:textId="64C5F792" w:rsidR="00121628" w:rsidRPr="00121628" w:rsidRDefault="00121628" w:rsidP="00121628">
      <w:pPr>
        <w:spacing w:after="0"/>
        <w:rPr>
          <w:rFonts w:ascii="Arial" w:hAnsi="Arial" w:cs="Arial"/>
          <w:bCs/>
          <w:color w:val="000000" w:themeColor="text1"/>
        </w:rPr>
      </w:pPr>
      <w:r w:rsidRPr="00121628">
        <w:rPr>
          <w:rFonts w:ascii="Arial" w:hAnsi="Arial" w:cs="Arial"/>
          <w:color w:val="000000" w:themeColor="text1"/>
          <w:sz w:val="18"/>
        </w:rPr>
        <w:t>Forsythe S, et al</w:t>
      </w:r>
      <w:r>
        <w:rPr>
          <w:rFonts w:ascii="Arial" w:hAnsi="Arial" w:cs="Arial"/>
          <w:color w:val="000000" w:themeColor="text1"/>
          <w:sz w:val="18"/>
        </w:rPr>
        <w:t xml:space="preserve"> (2002). </w:t>
      </w:r>
      <w:r w:rsidRPr="00121628">
        <w:rPr>
          <w:rFonts w:ascii="Arial" w:hAnsi="Arial" w:cs="Arial"/>
          <w:bCs/>
          <w:color w:val="000000" w:themeColor="text1"/>
          <w:sz w:val="18"/>
        </w:rPr>
        <w:t xml:space="preserve">Assessing the cost and willingness to pay for voluntary HIV counselling and testing in Kenya. </w:t>
      </w:r>
      <w:hyperlink r:id="rId70" w:tooltip="Health policy and planning." w:history="1">
        <w:r w:rsidRPr="00121628">
          <w:rPr>
            <w:rStyle w:val="Hyperlink"/>
            <w:rFonts w:ascii="Arial" w:hAnsi="Arial" w:cs="Arial"/>
            <w:color w:val="000000" w:themeColor="text1"/>
            <w:sz w:val="18"/>
            <w:szCs w:val="17"/>
            <w:u w:val="none"/>
            <w:shd w:val="clear" w:color="auto" w:fill="FFFFFF"/>
          </w:rPr>
          <w:t>Health Policy Plan</w:t>
        </w:r>
      </w:hyperlink>
      <w:r w:rsidRPr="00121628">
        <w:rPr>
          <w:rFonts w:ascii="Arial" w:hAnsi="Arial" w:cs="Arial"/>
          <w:color w:val="000000" w:themeColor="text1"/>
          <w:sz w:val="18"/>
          <w:szCs w:val="17"/>
          <w:shd w:val="clear" w:color="auto" w:fill="FFFFFF"/>
        </w:rPr>
        <w:t>;17(2):187-95.</w:t>
      </w:r>
    </w:p>
    <w:p w14:paraId="16592B4F" w14:textId="75DF450C" w:rsidR="003944CA" w:rsidRPr="00BA2636" w:rsidRDefault="003944CA" w:rsidP="003944CA">
      <w:pPr>
        <w:pStyle w:val="EndnoteText"/>
        <w:rPr>
          <w:rFonts w:ascii="Arial" w:hAnsi="Arial" w:cs="Arial"/>
          <w:sz w:val="18"/>
        </w:rPr>
      </w:pPr>
    </w:p>
    <w:p w14:paraId="1168C4EA" w14:textId="110EFC2A" w:rsidR="003944CA" w:rsidRDefault="003944CA" w:rsidP="003944CA">
      <w:pPr>
        <w:pStyle w:val="EndnoteText"/>
        <w:rPr>
          <w:rFonts w:ascii="Arial" w:hAnsi="Arial" w:cs="Arial"/>
          <w:sz w:val="18"/>
        </w:rPr>
      </w:pPr>
      <w:r w:rsidRPr="00BA2636">
        <w:rPr>
          <w:rFonts w:ascii="Arial" w:hAnsi="Arial" w:cs="Arial"/>
          <w:sz w:val="18"/>
        </w:rPr>
        <w:t>Galvin and Cohen (2004). "The Role of Sexually Transmitted Diseases in HIV Transmission" Nature Reviews Microbiology Volume 3, January 2004, pps. 33-42.</w:t>
      </w:r>
    </w:p>
    <w:p w14:paraId="06EC9022" w14:textId="3C6216A8" w:rsidR="00012C5C" w:rsidRDefault="00012C5C" w:rsidP="003944CA">
      <w:pPr>
        <w:pStyle w:val="EndnoteText"/>
        <w:rPr>
          <w:rFonts w:ascii="Arial" w:hAnsi="Arial" w:cs="Arial"/>
          <w:sz w:val="18"/>
        </w:rPr>
      </w:pPr>
    </w:p>
    <w:p w14:paraId="1A0C0E9D" w14:textId="5AB8AD40" w:rsidR="00012C5C" w:rsidRDefault="00012C5C" w:rsidP="003944CA">
      <w:pPr>
        <w:pStyle w:val="EndnoteText"/>
        <w:rPr>
          <w:rFonts w:ascii="Arial" w:hAnsi="Arial" w:cs="Arial"/>
          <w:sz w:val="18"/>
        </w:rPr>
      </w:pPr>
      <w:r>
        <w:rPr>
          <w:rFonts w:ascii="Arial" w:hAnsi="Arial" w:cs="Arial"/>
          <w:sz w:val="18"/>
        </w:rPr>
        <w:t>Global Fund (2018a). National Funding Landscape Analysis.</w:t>
      </w:r>
    </w:p>
    <w:p w14:paraId="1D31C7E3" w14:textId="19CE03C4" w:rsidR="00012C5C" w:rsidRDefault="00012C5C" w:rsidP="003944CA">
      <w:pPr>
        <w:pStyle w:val="EndnoteText"/>
        <w:rPr>
          <w:rFonts w:ascii="Arial" w:hAnsi="Arial" w:cs="Arial"/>
          <w:sz w:val="18"/>
        </w:rPr>
      </w:pPr>
    </w:p>
    <w:p w14:paraId="0F7347CE" w14:textId="66D37EE9" w:rsidR="00012C5C" w:rsidRDefault="00012C5C" w:rsidP="003944CA">
      <w:pPr>
        <w:pStyle w:val="EndnoteText"/>
        <w:rPr>
          <w:rFonts w:ascii="Arial" w:hAnsi="Arial" w:cs="Arial"/>
          <w:sz w:val="18"/>
        </w:rPr>
      </w:pPr>
      <w:r>
        <w:rPr>
          <w:rFonts w:ascii="Arial" w:hAnsi="Arial" w:cs="Arial"/>
          <w:sz w:val="18"/>
        </w:rPr>
        <w:t>Global Fund (2018b). Global Fund Expenditure Report 2017.</w:t>
      </w:r>
    </w:p>
    <w:p w14:paraId="76CD9CF6" w14:textId="490B8992" w:rsidR="003944CA" w:rsidRPr="00BA2636" w:rsidRDefault="003944CA" w:rsidP="003944CA">
      <w:pPr>
        <w:spacing w:after="0"/>
        <w:rPr>
          <w:rFonts w:ascii="Arial" w:hAnsi="Arial" w:cs="Arial"/>
          <w:sz w:val="18"/>
        </w:rPr>
      </w:pPr>
    </w:p>
    <w:p w14:paraId="5B11C3D3" w14:textId="3953F4EA" w:rsidR="005E174E" w:rsidRDefault="003944CA" w:rsidP="003944CA">
      <w:pPr>
        <w:spacing w:after="0"/>
        <w:rPr>
          <w:rFonts w:ascii="Arial" w:hAnsi="Arial" w:cs="Arial"/>
          <w:sz w:val="18"/>
        </w:rPr>
      </w:pPr>
      <w:r w:rsidRPr="00BA2636">
        <w:rPr>
          <w:rFonts w:ascii="Arial" w:hAnsi="Arial" w:cs="Arial"/>
          <w:sz w:val="18"/>
        </w:rPr>
        <w:t>Grant RM, Lama JR, Anderson PL, McMahan V, Liu AY, Vargas L (2010). Preexposure Chemoprophylaxis for HIV Prevention in Men Who Have Sex with Men New Engl J Med: 10.1056/NEJMoa1011205.</w:t>
      </w:r>
    </w:p>
    <w:p w14:paraId="64E799A2" w14:textId="77777777" w:rsidR="00F07840" w:rsidRDefault="00F07840" w:rsidP="003944CA">
      <w:pPr>
        <w:spacing w:after="0"/>
        <w:rPr>
          <w:rFonts w:ascii="Arial" w:hAnsi="Arial" w:cs="Arial"/>
          <w:sz w:val="18"/>
        </w:rPr>
      </w:pPr>
    </w:p>
    <w:p w14:paraId="0120B953" w14:textId="6ED185A1" w:rsidR="001332DF" w:rsidRDefault="005E174E" w:rsidP="001332DF">
      <w:pPr>
        <w:spacing w:after="0"/>
        <w:rPr>
          <w:rFonts w:ascii="Arial" w:hAnsi="Arial" w:cs="Arial"/>
          <w:color w:val="000000"/>
          <w:sz w:val="18"/>
          <w:szCs w:val="18"/>
          <w:shd w:val="clear" w:color="auto" w:fill="FFFFFF"/>
        </w:rPr>
      </w:pPr>
      <w:r w:rsidRPr="00F07840">
        <w:rPr>
          <w:rFonts w:ascii="Arial" w:hAnsi="Arial" w:cs="Arial"/>
          <w:sz w:val="18"/>
        </w:rPr>
        <w:t xml:space="preserve">Gray RH et al (2000). Male circumcision and HIV acquisition and transmission: cohort studies in Rakai, Uganda. Rakai Project Team. </w:t>
      </w:r>
      <w:hyperlink r:id="rId71" w:tooltip="AIDS (London, England)." w:history="1">
        <w:r w:rsidRPr="00F07840">
          <w:rPr>
            <w:rStyle w:val="Hyperlink"/>
            <w:rFonts w:ascii="Arial" w:hAnsi="Arial" w:cs="Arial"/>
            <w:color w:val="000000" w:themeColor="text1"/>
            <w:sz w:val="16"/>
            <w:szCs w:val="18"/>
            <w:u w:val="none"/>
            <w:shd w:val="clear" w:color="auto" w:fill="FFFFFF"/>
          </w:rPr>
          <w:t>AIDS</w:t>
        </w:r>
      </w:hyperlink>
      <w:r w:rsidRPr="00F07840">
        <w:rPr>
          <w:rFonts w:ascii="Arial" w:hAnsi="Arial" w:cs="Arial"/>
          <w:color w:val="000000"/>
          <w:sz w:val="18"/>
          <w:szCs w:val="18"/>
          <w:shd w:val="clear" w:color="auto" w:fill="FFFFFF"/>
        </w:rPr>
        <w:t>;14(15):2371-81.</w:t>
      </w:r>
    </w:p>
    <w:p w14:paraId="77006B2B" w14:textId="77777777" w:rsidR="001332DF" w:rsidRDefault="001332DF" w:rsidP="001332DF">
      <w:pPr>
        <w:spacing w:after="0"/>
        <w:rPr>
          <w:rFonts w:ascii="Arial" w:hAnsi="Arial" w:cs="Arial"/>
          <w:color w:val="000000"/>
          <w:sz w:val="18"/>
          <w:szCs w:val="18"/>
          <w:shd w:val="clear" w:color="auto" w:fill="FFFFFF"/>
        </w:rPr>
      </w:pPr>
    </w:p>
    <w:p w14:paraId="3F9C9739" w14:textId="2F324114" w:rsidR="001332DF" w:rsidRPr="001332DF" w:rsidRDefault="001332DF" w:rsidP="001332DF">
      <w:pPr>
        <w:spacing w:after="0"/>
        <w:rPr>
          <w:rFonts w:ascii="Arial" w:hAnsi="Arial" w:cs="Arial"/>
          <w:color w:val="000000"/>
        </w:rPr>
      </w:pPr>
      <w:r w:rsidRPr="001332DF">
        <w:rPr>
          <w:rFonts w:ascii="Arial" w:hAnsi="Arial" w:cs="Arial"/>
          <w:sz w:val="18"/>
        </w:rPr>
        <w:t>Health Policy Plus (2018). Sustainable Financing Initiative for HIV in Tanzania: Key Achievements. HP+ Policy Brief.</w:t>
      </w:r>
    </w:p>
    <w:p w14:paraId="1A86F1B3" w14:textId="45F32E2D" w:rsidR="005E174E" w:rsidRDefault="005E174E" w:rsidP="001332DF">
      <w:pPr>
        <w:spacing w:after="0"/>
        <w:rPr>
          <w:rFonts w:ascii="Arial" w:hAnsi="Arial" w:cs="Arial"/>
          <w:sz w:val="18"/>
        </w:rPr>
      </w:pPr>
    </w:p>
    <w:p w14:paraId="1D3F5F7F" w14:textId="787CC7B5" w:rsidR="005E174E" w:rsidRDefault="005E174E" w:rsidP="001332DF">
      <w:pPr>
        <w:spacing w:after="0"/>
        <w:rPr>
          <w:rFonts w:ascii="Arial" w:hAnsi="Arial" w:cs="Arial"/>
          <w:sz w:val="18"/>
        </w:rPr>
      </w:pPr>
      <w:r>
        <w:rPr>
          <w:rFonts w:ascii="Arial" w:hAnsi="Arial" w:cs="Arial"/>
          <w:sz w:val="18"/>
        </w:rPr>
        <w:t xml:space="preserve">ICAP et al. </w:t>
      </w:r>
      <w:r w:rsidRPr="00BA2636">
        <w:rPr>
          <w:rFonts w:ascii="Arial" w:hAnsi="Arial" w:cs="Arial"/>
          <w:sz w:val="18"/>
        </w:rPr>
        <w:t xml:space="preserve">Tanzania HIV Impact Survey (THIS) 2016-2017 (2017). Summary sheet: Preliminary Results.  </w:t>
      </w:r>
    </w:p>
    <w:p w14:paraId="660654ED" w14:textId="1BF4F0C6" w:rsidR="005A3BB7" w:rsidRDefault="005A3BB7" w:rsidP="001332DF">
      <w:pPr>
        <w:spacing w:after="0"/>
        <w:rPr>
          <w:rFonts w:ascii="Arial" w:hAnsi="Arial" w:cs="Arial"/>
          <w:sz w:val="18"/>
        </w:rPr>
      </w:pPr>
    </w:p>
    <w:p w14:paraId="1EC5AC41" w14:textId="46461B25" w:rsidR="005A3BB7" w:rsidRPr="005A3BB7" w:rsidRDefault="005A3BB7" w:rsidP="001332DF">
      <w:pPr>
        <w:pStyle w:val="CommentText"/>
        <w:spacing w:after="0"/>
        <w:rPr>
          <w:rFonts w:ascii="Arial" w:hAnsi="Arial" w:cs="Arial"/>
          <w:sz w:val="18"/>
        </w:rPr>
      </w:pPr>
      <w:r w:rsidRPr="005A3BB7">
        <w:rPr>
          <w:rFonts w:ascii="Arial" w:hAnsi="Arial" w:cs="Arial"/>
          <w:sz w:val="18"/>
          <w:lang w:val="en-ZA"/>
        </w:rPr>
        <w:t>International Monetary Fund (IMF (2018). Word Economic Outlook Database.</w:t>
      </w:r>
    </w:p>
    <w:p w14:paraId="6E0569CE" w14:textId="60B8E611" w:rsidR="003944CA" w:rsidRPr="00BA2636" w:rsidRDefault="003944CA" w:rsidP="003944CA">
      <w:pPr>
        <w:spacing w:after="0"/>
        <w:rPr>
          <w:rFonts w:ascii="Arial" w:hAnsi="Arial" w:cs="Arial"/>
          <w:sz w:val="18"/>
        </w:rPr>
      </w:pPr>
    </w:p>
    <w:p w14:paraId="32ADD497" w14:textId="7F707E3F" w:rsidR="00993DF6" w:rsidRDefault="003944CA" w:rsidP="003944CA">
      <w:pPr>
        <w:pStyle w:val="EndnoteText"/>
        <w:rPr>
          <w:rFonts w:ascii="Arial" w:hAnsi="Arial" w:cs="Arial"/>
          <w:sz w:val="18"/>
        </w:rPr>
      </w:pPr>
      <w:r w:rsidRPr="00911FE3">
        <w:rPr>
          <w:rFonts w:ascii="Arial" w:hAnsi="Arial" w:cs="Arial"/>
          <w:sz w:val="18"/>
          <w:lang w:val="fr-FR"/>
        </w:rPr>
        <w:t xml:space="preserve">Karim QA, Karim SSA, Frohlich J, Grobler AC, Baxter C, Mansoor LE, et al (2010). </w:t>
      </w:r>
      <w:r w:rsidRPr="00BA2636">
        <w:rPr>
          <w:rFonts w:ascii="Arial" w:hAnsi="Arial" w:cs="Arial"/>
          <w:sz w:val="18"/>
        </w:rPr>
        <w:t xml:space="preserve">Effectiveness and Safety of Tenofovir Gel, an Antoretroviral  Microbicide, for the Prevention of HIV Infection in Women. </w:t>
      </w:r>
      <w:r w:rsidRPr="00BA2636">
        <w:rPr>
          <w:rFonts w:ascii="Arial" w:hAnsi="Arial" w:cs="Arial"/>
          <w:i/>
          <w:sz w:val="18"/>
        </w:rPr>
        <w:t>Science</w:t>
      </w:r>
      <w:r w:rsidRPr="00BA2636">
        <w:rPr>
          <w:rFonts w:ascii="Arial" w:hAnsi="Arial" w:cs="Arial"/>
          <w:sz w:val="18"/>
        </w:rPr>
        <w:t xml:space="preserve"> 329; 1168-1174.</w:t>
      </w:r>
    </w:p>
    <w:p w14:paraId="19A8208A" w14:textId="61F5061A" w:rsidR="00993DF6" w:rsidRDefault="00993DF6" w:rsidP="003944CA">
      <w:pPr>
        <w:pStyle w:val="EndnoteText"/>
        <w:rPr>
          <w:rFonts w:ascii="Arial" w:hAnsi="Arial" w:cs="Arial"/>
          <w:sz w:val="18"/>
        </w:rPr>
      </w:pPr>
    </w:p>
    <w:p w14:paraId="0FF80796" w14:textId="0684CBB7" w:rsidR="00993DF6" w:rsidRPr="00993DF6" w:rsidRDefault="00993DF6" w:rsidP="003944CA">
      <w:pPr>
        <w:pStyle w:val="EndnoteText"/>
        <w:rPr>
          <w:rFonts w:ascii="Arial" w:hAnsi="Arial" w:cs="Arial"/>
          <w:sz w:val="16"/>
        </w:rPr>
      </w:pPr>
      <w:r w:rsidRPr="00993DF6">
        <w:rPr>
          <w:rFonts w:ascii="Arial" w:hAnsi="Arial" w:cs="Arial"/>
          <w:sz w:val="18"/>
        </w:rPr>
        <w:t>Lamontagne E, Over M, Stover J. The economic returns of ending the AIDS epidemic as a public health threat (2019).  Health Policy;123 :104-108.</w:t>
      </w:r>
    </w:p>
    <w:p w14:paraId="0E39989F" w14:textId="52A0C229" w:rsidR="00BA2636" w:rsidRDefault="00BA2636" w:rsidP="003944CA">
      <w:pPr>
        <w:pStyle w:val="EndnoteText"/>
        <w:rPr>
          <w:rFonts w:ascii="Arial" w:hAnsi="Arial" w:cs="Arial"/>
          <w:sz w:val="18"/>
        </w:rPr>
      </w:pPr>
    </w:p>
    <w:p w14:paraId="06A54625" w14:textId="0875D9B2" w:rsidR="00053050" w:rsidRDefault="00BA2636" w:rsidP="00993DF6">
      <w:pPr>
        <w:pStyle w:val="EndnoteText"/>
        <w:rPr>
          <w:rFonts w:ascii="Arial" w:hAnsi="Arial" w:cs="Arial"/>
          <w:color w:val="333333"/>
          <w:sz w:val="18"/>
          <w:szCs w:val="18"/>
          <w:shd w:val="clear" w:color="auto" w:fill="FFFFFF"/>
        </w:rPr>
      </w:pPr>
      <w:r w:rsidRPr="00422204">
        <w:rPr>
          <w:rFonts w:ascii="Arial" w:hAnsi="Arial" w:cs="Arial"/>
          <w:color w:val="333333"/>
          <w:sz w:val="18"/>
          <w:szCs w:val="18"/>
          <w:shd w:val="clear" w:color="auto" w:fill="FFFFFF"/>
        </w:rPr>
        <w:t xml:space="preserve">MacPherson P, Lalloo DG, Webb EL, et al. </w:t>
      </w:r>
      <w:r w:rsidRPr="00993DF6">
        <w:rPr>
          <w:rFonts w:ascii="Arial" w:hAnsi="Arial" w:cs="Arial"/>
          <w:color w:val="333333"/>
          <w:sz w:val="18"/>
          <w:szCs w:val="18"/>
          <w:shd w:val="clear" w:color="auto" w:fill="FFFFFF"/>
        </w:rPr>
        <w:t>Effect of Optional Home Initiation of HIV Care Following HIV Self-testing on Antiretroviral Therapy Initiation Among Adults in Malawi</w:t>
      </w:r>
      <w:r w:rsidRPr="00993DF6">
        <w:rPr>
          <w:rStyle w:val="colon-for-citation-subtitle"/>
          <w:rFonts w:ascii="Arial" w:hAnsi="Arial" w:cs="Arial"/>
          <w:color w:val="333333"/>
          <w:sz w:val="18"/>
          <w:szCs w:val="18"/>
          <w:shd w:val="clear" w:color="auto" w:fill="FFFFFF"/>
        </w:rPr>
        <w:t>: </w:t>
      </w:r>
      <w:r w:rsidRPr="00993DF6">
        <w:rPr>
          <w:rStyle w:val="Subtitle1"/>
          <w:rFonts w:ascii="Arial" w:hAnsi="Arial" w:cs="Arial"/>
          <w:color w:val="333333"/>
          <w:sz w:val="18"/>
          <w:szCs w:val="18"/>
          <w:shd w:val="clear" w:color="auto" w:fill="FFFFFF"/>
        </w:rPr>
        <w:t>A Randomized Clinical Trial</w:t>
      </w:r>
      <w:r w:rsidRPr="00993DF6">
        <w:rPr>
          <w:rFonts w:ascii="Arial" w:hAnsi="Arial" w:cs="Arial"/>
          <w:color w:val="333333"/>
          <w:sz w:val="18"/>
          <w:szCs w:val="18"/>
          <w:shd w:val="clear" w:color="auto" w:fill="FFFFFF"/>
        </w:rPr>
        <w:t>. </w:t>
      </w:r>
      <w:r w:rsidRPr="00993DF6">
        <w:rPr>
          <w:rStyle w:val="Emphasis"/>
          <w:rFonts w:ascii="Arial" w:hAnsi="Arial" w:cs="Arial"/>
          <w:color w:val="333333"/>
          <w:sz w:val="18"/>
          <w:szCs w:val="18"/>
          <w:shd w:val="clear" w:color="auto" w:fill="FFFFFF"/>
        </w:rPr>
        <w:t>JAMA.</w:t>
      </w:r>
      <w:r w:rsidRPr="00993DF6">
        <w:rPr>
          <w:rFonts w:ascii="Arial" w:hAnsi="Arial" w:cs="Arial"/>
          <w:color w:val="333333"/>
          <w:sz w:val="18"/>
          <w:szCs w:val="18"/>
          <w:shd w:val="clear" w:color="auto" w:fill="FFFFFF"/>
        </w:rPr>
        <w:t>2014;312(4):372–379. doi:10.1001/jama.2014.6493</w:t>
      </w:r>
    </w:p>
    <w:p w14:paraId="2C2D2CE6" w14:textId="5C2045F9" w:rsidR="00121628" w:rsidRDefault="00121628" w:rsidP="00993DF6">
      <w:pPr>
        <w:pStyle w:val="EndnoteText"/>
        <w:rPr>
          <w:rFonts w:ascii="Arial" w:hAnsi="Arial" w:cs="Arial"/>
          <w:color w:val="333333"/>
          <w:sz w:val="18"/>
          <w:szCs w:val="18"/>
          <w:shd w:val="clear" w:color="auto" w:fill="FFFFFF"/>
        </w:rPr>
      </w:pPr>
    </w:p>
    <w:p w14:paraId="75333B54" w14:textId="467A0AB5" w:rsidR="00121628" w:rsidRDefault="00121628" w:rsidP="00993DF6">
      <w:pPr>
        <w:pStyle w:val="EndnoteText"/>
        <w:rPr>
          <w:rFonts w:ascii="Arial" w:hAnsi="Arial" w:cs="Arial"/>
          <w:color w:val="333333"/>
          <w:sz w:val="18"/>
          <w:szCs w:val="18"/>
          <w:shd w:val="clear" w:color="auto" w:fill="FFFFFF"/>
        </w:rPr>
      </w:pPr>
      <w:r>
        <w:rPr>
          <w:rFonts w:ascii="Arial" w:hAnsi="Arial" w:cs="Arial"/>
          <w:color w:val="333333"/>
          <w:sz w:val="18"/>
          <w:szCs w:val="18"/>
          <w:shd w:val="clear" w:color="auto" w:fill="FFFFFF"/>
        </w:rPr>
        <w:t>Mangena</w:t>
      </w:r>
      <w:r w:rsidR="001F098A">
        <w:rPr>
          <w:rFonts w:ascii="Arial" w:hAnsi="Arial" w:cs="Arial"/>
          <w:color w:val="333333"/>
          <w:sz w:val="18"/>
          <w:szCs w:val="18"/>
          <w:shd w:val="clear" w:color="auto" w:fill="FFFFFF"/>
        </w:rPr>
        <w:t xml:space="preserve">h C et al (2017). </w:t>
      </w:r>
      <w:r>
        <w:rPr>
          <w:rFonts w:ascii="Arial" w:hAnsi="Arial" w:cs="Arial"/>
          <w:color w:val="333333"/>
          <w:sz w:val="18"/>
          <w:szCs w:val="18"/>
          <w:shd w:val="clear" w:color="auto" w:fill="FFFFFF"/>
        </w:rPr>
        <w:t xml:space="preserve">The costs of community-based HIV self test (HIVST) kit distribution: Results from 3 districts in Zimbabwe. </w:t>
      </w:r>
      <w:r w:rsidR="001F098A">
        <w:rPr>
          <w:rFonts w:ascii="Arial" w:hAnsi="Arial" w:cs="Arial"/>
          <w:color w:val="333333"/>
          <w:sz w:val="18"/>
          <w:szCs w:val="18"/>
          <w:shd w:val="clear" w:color="auto" w:fill="FFFFFF"/>
        </w:rPr>
        <w:t>Presentation for START project. Available at:</w:t>
      </w:r>
      <w:r w:rsidR="001F098A" w:rsidRPr="001F098A">
        <w:rPr>
          <w:rFonts w:ascii="Arial" w:hAnsi="Arial" w:cs="Arial"/>
          <w:color w:val="333333"/>
          <w:sz w:val="16"/>
          <w:szCs w:val="18"/>
          <w:shd w:val="clear" w:color="auto" w:fill="FFFFFF"/>
        </w:rPr>
        <w:t xml:space="preserve"> </w:t>
      </w:r>
      <w:hyperlink r:id="rId72" w:history="1">
        <w:r w:rsidR="001F098A" w:rsidRPr="001F098A">
          <w:rPr>
            <w:rStyle w:val="Hyperlink"/>
            <w:rFonts w:ascii="Arial" w:hAnsi="Arial" w:cs="Arial"/>
            <w:sz w:val="18"/>
          </w:rPr>
          <w:t>http://regist2.virology-education.com/2017/INTEREST/12_Mangenah.pdf</w:t>
        </w:r>
      </w:hyperlink>
    </w:p>
    <w:p w14:paraId="1E6E0355" w14:textId="7D8291C4" w:rsidR="002F7FD7" w:rsidRDefault="002F7FD7" w:rsidP="00993DF6">
      <w:pPr>
        <w:pStyle w:val="EndnoteText"/>
        <w:rPr>
          <w:rFonts w:ascii="Arial" w:hAnsi="Arial" w:cs="Arial"/>
          <w:color w:val="333333"/>
          <w:sz w:val="18"/>
          <w:szCs w:val="18"/>
          <w:shd w:val="clear" w:color="auto" w:fill="FFFFFF"/>
        </w:rPr>
      </w:pPr>
    </w:p>
    <w:p w14:paraId="151F0DC2" w14:textId="62DDE175" w:rsidR="002F7FD7" w:rsidRPr="00053050" w:rsidRDefault="002F7FD7" w:rsidP="00993DF6">
      <w:pPr>
        <w:pStyle w:val="EndnoteText"/>
        <w:rPr>
          <w:rFonts w:ascii="Arial" w:hAnsi="Arial" w:cs="Arial"/>
          <w:sz w:val="18"/>
          <w:szCs w:val="18"/>
        </w:rPr>
      </w:pPr>
      <w:r>
        <w:rPr>
          <w:rFonts w:ascii="Arial" w:hAnsi="Arial" w:cs="Arial"/>
          <w:color w:val="333333"/>
          <w:sz w:val="18"/>
          <w:szCs w:val="18"/>
          <w:shd w:val="clear" w:color="auto" w:fill="FFFFFF"/>
        </w:rPr>
        <w:t xml:space="preserve">National AIDS Control Program (2014). </w:t>
      </w:r>
      <w:r w:rsidRPr="00BA2636">
        <w:rPr>
          <w:rFonts w:ascii="Arial" w:hAnsi="Arial" w:cs="Arial"/>
          <w:sz w:val="18"/>
        </w:rPr>
        <w:t xml:space="preserve">Health Sector HIV and AIDS Strategic Plan (HSHSP </w:t>
      </w:r>
      <w:r>
        <w:rPr>
          <w:rFonts w:ascii="Arial" w:hAnsi="Arial" w:cs="Arial"/>
          <w:sz w:val="18"/>
        </w:rPr>
        <w:t>II</w:t>
      </w:r>
      <w:r w:rsidRPr="00BA2636">
        <w:rPr>
          <w:rFonts w:ascii="Arial" w:hAnsi="Arial" w:cs="Arial"/>
          <w:sz w:val="18"/>
        </w:rPr>
        <w:t>) 201</w:t>
      </w:r>
      <w:r>
        <w:rPr>
          <w:rFonts w:ascii="Arial" w:hAnsi="Arial" w:cs="Arial"/>
          <w:sz w:val="18"/>
        </w:rPr>
        <w:t>3-2017.</w:t>
      </w:r>
    </w:p>
    <w:p w14:paraId="56BCF975" w14:textId="7BA70869" w:rsidR="00993DF6" w:rsidRDefault="00993DF6" w:rsidP="003944CA">
      <w:pPr>
        <w:pStyle w:val="EndnoteText"/>
        <w:rPr>
          <w:rFonts w:ascii="Arial" w:hAnsi="Arial" w:cs="Arial"/>
          <w:sz w:val="18"/>
        </w:rPr>
      </w:pPr>
    </w:p>
    <w:p w14:paraId="0BCB3542" w14:textId="3C7B58C5" w:rsidR="003944CA" w:rsidRDefault="003944CA" w:rsidP="003944CA">
      <w:pPr>
        <w:spacing w:after="0"/>
        <w:rPr>
          <w:rFonts w:ascii="Arial" w:hAnsi="Arial" w:cs="Arial"/>
          <w:sz w:val="18"/>
        </w:rPr>
      </w:pPr>
      <w:r w:rsidRPr="00BA2636">
        <w:rPr>
          <w:rFonts w:ascii="Arial" w:hAnsi="Arial" w:cs="Arial"/>
          <w:sz w:val="18"/>
        </w:rPr>
        <w:t xml:space="preserve">National AIDS Control Program (2017). Health Sector HIV and AIDS Strategic Plan (HSHSP IV) 2017-2022. </w:t>
      </w:r>
    </w:p>
    <w:p w14:paraId="630964C7" w14:textId="7A6C1B54" w:rsidR="00121628" w:rsidRDefault="00121628" w:rsidP="003944CA">
      <w:pPr>
        <w:spacing w:after="0"/>
        <w:rPr>
          <w:rFonts w:ascii="Arial" w:hAnsi="Arial" w:cs="Arial"/>
          <w:sz w:val="18"/>
        </w:rPr>
      </w:pPr>
    </w:p>
    <w:p w14:paraId="20615B15" w14:textId="2027C459" w:rsidR="00121628" w:rsidRPr="00BA2636" w:rsidRDefault="00121628" w:rsidP="003944CA">
      <w:pPr>
        <w:spacing w:after="0"/>
        <w:rPr>
          <w:rFonts w:ascii="Arial" w:hAnsi="Arial" w:cs="Arial"/>
          <w:sz w:val="18"/>
        </w:rPr>
      </w:pPr>
      <w:r w:rsidRPr="00121628">
        <w:rPr>
          <w:rFonts w:ascii="Arial" w:hAnsi="Arial" w:cs="Arial"/>
          <w:sz w:val="18"/>
        </w:rPr>
        <w:t>Mwenge L, Sande L, Mangenah C, Ahmed N, Kanema S, d’Elbée M, et al</w:t>
      </w:r>
      <w:r>
        <w:rPr>
          <w:rFonts w:ascii="Arial" w:hAnsi="Arial" w:cs="Arial"/>
          <w:sz w:val="18"/>
        </w:rPr>
        <w:t xml:space="preserve"> </w:t>
      </w:r>
      <w:r w:rsidRPr="00121628">
        <w:rPr>
          <w:rFonts w:ascii="Arial" w:hAnsi="Arial" w:cs="Arial"/>
          <w:sz w:val="18"/>
        </w:rPr>
        <w:t xml:space="preserve">(2017) Costs of facility-based HIV testing in Malawi, Zambia and Zimbabwe. PLoS ONE 12(10): e0185740. </w:t>
      </w:r>
    </w:p>
    <w:p w14:paraId="7F17C2FB" w14:textId="4DA00EEB" w:rsidR="003944CA" w:rsidRPr="00BA2636" w:rsidRDefault="003944CA" w:rsidP="003944CA">
      <w:pPr>
        <w:spacing w:after="0"/>
        <w:rPr>
          <w:rFonts w:ascii="Arial" w:hAnsi="Arial" w:cs="Arial"/>
          <w:sz w:val="18"/>
        </w:rPr>
      </w:pPr>
    </w:p>
    <w:p w14:paraId="5D06A8F5" w14:textId="04414A73" w:rsidR="003944CA" w:rsidRDefault="003944CA" w:rsidP="003944CA">
      <w:pPr>
        <w:spacing w:after="0"/>
        <w:rPr>
          <w:rFonts w:ascii="Arial" w:hAnsi="Arial" w:cs="Arial"/>
          <w:sz w:val="18"/>
        </w:rPr>
      </w:pPr>
      <w:r w:rsidRPr="00121628">
        <w:rPr>
          <w:rFonts w:ascii="Arial" w:hAnsi="Arial" w:cs="Arial"/>
          <w:sz w:val="18"/>
        </w:rPr>
        <w:t xml:space="preserve">NACP (2019). </w:t>
      </w:r>
      <w:r w:rsidRPr="00BA2636">
        <w:rPr>
          <w:rFonts w:ascii="Arial" w:hAnsi="Arial" w:cs="Arial"/>
          <w:sz w:val="18"/>
        </w:rPr>
        <w:t>National HIV Testing and Counseling Strategy. [DRAFT]</w:t>
      </w:r>
    </w:p>
    <w:p w14:paraId="57D1D6A6" w14:textId="77777777" w:rsidR="00E46860" w:rsidRDefault="00E46860" w:rsidP="003944CA">
      <w:pPr>
        <w:spacing w:after="0"/>
        <w:rPr>
          <w:rFonts w:ascii="Arial" w:hAnsi="Arial" w:cs="Arial"/>
          <w:sz w:val="18"/>
        </w:rPr>
      </w:pPr>
    </w:p>
    <w:p w14:paraId="0F42A1DA" w14:textId="0A47EC4F" w:rsidR="00E46860" w:rsidRDefault="00E46860" w:rsidP="003944CA">
      <w:pPr>
        <w:spacing w:after="0"/>
        <w:rPr>
          <w:rFonts w:ascii="Arial" w:hAnsi="Arial" w:cs="Arial"/>
          <w:sz w:val="18"/>
        </w:rPr>
      </w:pPr>
      <w:r>
        <w:rPr>
          <w:rFonts w:ascii="Arial" w:hAnsi="Arial" w:cs="Arial"/>
          <w:sz w:val="18"/>
        </w:rPr>
        <w:t xml:space="preserve">PEPFAR (2016). Tanzania Country Operational Plan (COP). </w:t>
      </w:r>
      <w:r w:rsidRPr="00BA2636">
        <w:rPr>
          <w:rFonts w:ascii="Arial" w:hAnsi="Arial" w:cs="Arial"/>
          <w:sz w:val="18"/>
        </w:rPr>
        <w:t>Strategic Direction Summary.</w:t>
      </w:r>
    </w:p>
    <w:p w14:paraId="6DD575FD" w14:textId="311C6C8A" w:rsidR="00053050" w:rsidRDefault="00053050" w:rsidP="003944CA">
      <w:pPr>
        <w:spacing w:after="0"/>
        <w:rPr>
          <w:rFonts w:ascii="Arial" w:hAnsi="Arial" w:cs="Arial"/>
          <w:sz w:val="18"/>
        </w:rPr>
      </w:pPr>
    </w:p>
    <w:p w14:paraId="2A7CA6E7" w14:textId="506C4ABB" w:rsidR="00053050" w:rsidRPr="00BA2636" w:rsidRDefault="00053050" w:rsidP="003944CA">
      <w:pPr>
        <w:spacing w:after="0"/>
        <w:rPr>
          <w:rFonts w:ascii="Arial" w:hAnsi="Arial" w:cs="Arial"/>
          <w:sz w:val="18"/>
        </w:rPr>
      </w:pPr>
      <w:r>
        <w:rPr>
          <w:rFonts w:ascii="Arial" w:hAnsi="Arial" w:cs="Arial"/>
          <w:sz w:val="18"/>
        </w:rPr>
        <w:t>PEPFAR</w:t>
      </w:r>
      <w:r w:rsidR="00D06DB6">
        <w:rPr>
          <w:rFonts w:ascii="Arial" w:hAnsi="Arial" w:cs="Arial"/>
          <w:sz w:val="18"/>
        </w:rPr>
        <w:t xml:space="preserve"> (2017)</w:t>
      </w:r>
      <w:r>
        <w:rPr>
          <w:rFonts w:ascii="Arial" w:hAnsi="Arial" w:cs="Arial"/>
          <w:sz w:val="18"/>
        </w:rPr>
        <w:t>. Expenditure Report</w:t>
      </w:r>
      <w:r w:rsidR="00D06DB6">
        <w:rPr>
          <w:rFonts w:ascii="Arial" w:hAnsi="Arial" w:cs="Arial"/>
          <w:sz w:val="18"/>
        </w:rPr>
        <w:t xml:space="preserve">. </w:t>
      </w:r>
    </w:p>
    <w:p w14:paraId="638CBA09" w14:textId="77777777" w:rsidR="003944CA" w:rsidRPr="00BA2636" w:rsidRDefault="003944CA" w:rsidP="003944CA">
      <w:pPr>
        <w:spacing w:after="0"/>
        <w:ind w:left="360"/>
        <w:rPr>
          <w:rFonts w:ascii="Arial" w:hAnsi="Arial" w:cs="Arial"/>
          <w:sz w:val="18"/>
        </w:rPr>
      </w:pPr>
    </w:p>
    <w:p w14:paraId="61ADA102" w14:textId="61114408" w:rsidR="003944CA" w:rsidRPr="00BA2636" w:rsidRDefault="003944CA" w:rsidP="003944CA">
      <w:pPr>
        <w:spacing w:after="0"/>
        <w:rPr>
          <w:rFonts w:ascii="Arial" w:hAnsi="Arial" w:cs="Arial"/>
          <w:sz w:val="18"/>
        </w:rPr>
      </w:pPr>
      <w:r w:rsidRPr="00BA2636">
        <w:rPr>
          <w:rFonts w:ascii="Arial" w:hAnsi="Arial" w:cs="Arial"/>
          <w:sz w:val="18"/>
        </w:rPr>
        <w:t xml:space="preserve">PEPFAR DREAMS Brief (2019). Tanzania DREAMS Overview 2016-2019. </w:t>
      </w:r>
      <w:hyperlink r:id="rId73" w:history="1">
        <w:r w:rsidRPr="00BA2636">
          <w:rPr>
            <w:rStyle w:val="Hyperlink"/>
            <w:rFonts w:ascii="Arial" w:hAnsi="Arial" w:cs="Arial"/>
            <w:sz w:val="18"/>
          </w:rPr>
          <w:t>https://www.pepfar.gov/documents/organization/253960.pdf</w:t>
        </w:r>
      </w:hyperlink>
    </w:p>
    <w:p w14:paraId="5F285F52" w14:textId="77777777" w:rsidR="003944CA" w:rsidRPr="00BA2636" w:rsidRDefault="003944CA" w:rsidP="00C759BF">
      <w:pPr>
        <w:spacing w:after="0"/>
        <w:ind w:left="360"/>
        <w:rPr>
          <w:rFonts w:ascii="Arial" w:hAnsi="Arial" w:cs="Arial"/>
          <w:sz w:val="18"/>
        </w:rPr>
      </w:pPr>
    </w:p>
    <w:p w14:paraId="4E9FAECB" w14:textId="282472FA" w:rsidR="00DC1917" w:rsidRDefault="005A468B" w:rsidP="003944CA">
      <w:pPr>
        <w:spacing w:after="0"/>
        <w:rPr>
          <w:rFonts w:ascii="Arial" w:hAnsi="Arial" w:cs="Arial"/>
          <w:sz w:val="18"/>
        </w:rPr>
      </w:pPr>
      <w:r w:rsidRPr="00BA2636">
        <w:rPr>
          <w:rFonts w:ascii="Arial" w:hAnsi="Arial" w:cs="Arial"/>
          <w:sz w:val="18"/>
        </w:rPr>
        <w:t>PEPFAR</w:t>
      </w:r>
      <w:r w:rsidR="005A6258">
        <w:rPr>
          <w:rFonts w:ascii="Arial" w:hAnsi="Arial" w:cs="Arial"/>
          <w:sz w:val="18"/>
        </w:rPr>
        <w:t xml:space="preserve"> (2018</w:t>
      </w:r>
      <w:r w:rsidR="00E46860">
        <w:rPr>
          <w:rFonts w:ascii="Arial" w:hAnsi="Arial" w:cs="Arial"/>
          <w:sz w:val="18"/>
        </w:rPr>
        <w:t>a</w:t>
      </w:r>
      <w:r w:rsidR="005A6258">
        <w:rPr>
          <w:rFonts w:ascii="Arial" w:hAnsi="Arial" w:cs="Arial"/>
          <w:sz w:val="18"/>
        </w:rPr>
        <w:t>)</w:t>
      </w:r>
      <w:r w:rsidRPr="00BA2636">
        <w:rPr>
          <w:rFonts w:ascii="Arial" w:hAnsi="Arial" w:cs="Arial"/>
          <w:sz w:val="18"/>
        </w:rPr>
        <w:t>. Tanzania Country Operation</w:t>
      </w:r>
      <w:r w:rsidR="005A6258">
        <w:rPr>
          <w:rFonts w:ascii="Arial" w:hAnsi="Arial" w:cs="Arial"/>
          <w:sz w:val="18"/>
        </w:rPr>
        <w:t xml:space="preserve">al </w:t>
      </w:r>
      <w:r w:rsidRPr="00BA2636">
        <w:rPr>
          <w:rFonts w:ascii="Arial" w:hAnsi="Arial" w:cs="Arial"/>
          <w:sz w:val="18"/>
        </w:rPr>
        <w:t xml:space="preserve">Plan </w:t>
      </w:r>
      <w:r w:rsidR="005A6258">
        <w:rPr>
          <w:rFonts w:ascii="Arial" w:hAnsi="Arial" w:cs="Arial"/>
          <w:sz w:val="18"/>
        </w:rPr>
        <w:t>(</w:t>
      </w:r>
      <w:r w:rsidRPr="00BA2636">
        <w:rPr>
          <w:rFonts w:ascii="Arial" w:hAnsi="Arial" w:cs="Arial"/>
          <w:sz w:val="18"/>
        </w:rPr>
        <w:t>COP</w:t>
      </w:r>
      <w:r w:rsidR="005A6258">
        <w:rPr>
          <w:rFonts w:ascii="Arial" w:hAnsi="Arial" w:cs="Arial"/>
          <w:sz w:val="18"/>
        </w:rPr>
        <w:t xml:space="preserve">). </w:t>
      </w:r>
      <w:r w:rsidRPr="00BA2636">
        <w:rPr>
          <w:rFonts w:ascii="Arial" w:hAnsi="Arial" w:cs="Arial"/>
          <w:sz w:val="18"/>
        </w:rPr>
        <w:t xml:space="preserve">Strategic Direction Summary. </w:t>
      </w:r>
    </w:p>
    <w:p w14:paraId="3E702040" w14:textId="6E92003A" w:rsidR="00E46860" w:rsidRDefault="00E46860" w:rsidP="003944CA">
      <w:pPr>
        <w:spacing w:after="0"/>
        <w:rPr>
          <w:rFonts w:ascii="Arial" w:hAnsi="Arial" w:cs="Arial"/>
          <w:sz w:val="18"/>
        </w:rPr>
      </w:pPr>
    </w:p>
    <w:p w14:paraId="0F20C25A" w14:textId="4E1EC09F" w:rsidR="005A6258" w:rsidRDefault="00E46860" w:rsidP="003944CA">
      <w:pPr>
        <w:spacing w:after="0"/>
        <w:rPr>
          <w:rFonts w:ascii="Arial" w:hAnsi="Arial" w:cs="Arial"/>
          <w:sz w:val="18"/>
        </w:rPr>
      </w:pPr>
      <w:r w:rsidRPr="00276364">
        <w:rPr>
          <w:rFonts w:ascii="Arial" w:hAnsi="Arial" w:cs="Arial"/>
          <w:sz w:val="18"/>
          <w:szCs w:val="18"/>
        </w:rPr>
        <w:t>PEPFAR (2018</w:t>
      </w:r>
      <w:r>
        <w:rPr>
          <w:rFonts w:ascii="Arial" w:hAnsi="Arial" w:cs="Arial"/>
          <w:sz w:val="18"/>
          <w:szCs w:val="18"/>
        </w:rPr>
        <w:t>b</w:t>
      </w:r>
      <w:r w:rsidRPr="00276364">
        <w:rPr>
          <w:rFonts w:ascii="Arial" w:hAnsi="Arial" w:cs="Arial"/>
          <w:sz w:val="18"/>
          <w:szCs w:val="18"/>
        </w:rPr>
        <w:t>). Dreaming of an AIDS-Free Future.</w:t>
      </w:r>
    </w:p>
    <w:p w14:paraId="2EBF6452" w14:textId="7F786F9B" w:rsidR="002F7FD7" w:rsidRDefault="002F7FD7" w:rsidP="005A6258">
      <w:pPr>
        <w:spacing w:after="0"/>
        <w:rPr>
          <w:rFonts w:ascii="Arial" w:hAnsi="Arial" w:cs="Arial"/>
          <w:sz w:val="18"/>
        </w:rPr>
      </w:pPr>
    </w:p>
    <w:p w14:paraId="35334D06" w14:textId="714D303A" w:rsidR="002F7FD7" w:rsidRDefault="002F7FD7" w:rsidP="005A6258">
      <w:pPr>
        <w:spacing w:after="0"/>
      </w:pPr>
      <w:r>
        <w:rPr>
          <w:rFonts w:ascii="Arial" w:hAnsi="Arial" w:cs="Arial"/>
          <w:sz w:val="18"/>
        </w:rPr>
        <w:t xml:space="preserve">PEPFAR (2019a). </w:t>
      </w:r>
      <w:r w:rsidRPr="002F7FD7">
        <w:rPr>
          <w:rFonts w:ascii="Arial" w:hAnsi="Arial" w:cs="Arial"/>
          <w:sz w:val="18"/>
        </w:rPr>
        <w:t>PEPFAR 2019 Country Operational Plan Guidance for all PEPFAR Countries.</w:t>
      </w:r>
    </w:p>
    <w:p w14:paraId="39400241" w14:textId="77777777" w:rsidR="002F7FD7" w:rsidRDefault="002F7FD7" w:rsidP="005A6258">
      <w:pPr>
        <w:spacing w:after="0"/>
        <w:rPr>
          <w:rFonts w:ascii="Arial" w:hAnsi="Arial" w:cs="Arial"/>
          <w:sz w:val="18"/>
        </w:rPr>
      </w:pPr>
    </w:p>
    <w:p w14:paraId="0FEC5AAB" w14:textId="23914DCE" w:rsidR="002F7FD7" w:rsidRDefault="002F7FD7" w:rsidP="005A6258">
      <w:pPr>
        <w:spacing w:after="0"/>
        <w:rPr>
          <w:rFonts w:ascii="Arial" w:hAnsi="Arial" w:cs="Arial"/>
          <w:sz w:val="18"/>
        </w:rPr>
      </w:pPr>
      <w:r>
        <w:rPr>
          <w:rFonts w:ascii="Arial" w:hAnsi="Arial" w:cs="Arial"/>
          <w:sz w:val="18"/>
        </w:rPr>
        <w:t xml:space="preserve">PEPFAR (2019b). </w:t>
      </w:r>
      <w:r w:rsidRPr="002F7FD7">
        <w:rPr>
          <w:rFonts w:ascii="Arial" w:hAnsi="Arial" w:cs="Arial"/>
          <w:sz w:val="18"/>
        </w:rPr>
        <w:t>FY 2019 PEPFAR Planned Allocation and Strategic Direction</w:t>
      </w:r>
      <w:r>
        <w:rPr>
          <w:rFonts w:ascii="Arial" w:hAnsi="Arial" w:cs="Arial"/>
          <w:sz w:val="18"/>
        </w:rPr>
        <w:t>. Letter from Ambassodor Birx. [COP 19 Planning letter].</w:t>
      </w:r>
    </w:p>
    <w:p w14:paraId="37F20CE8" w14:textId="5BE5FFBD" w:rsidR="003944CA" w:rsidRPr="00BA2636" w:rsidRDefault="003944CA" w:rsidP="003944CA">
      <w:pPr>
        <w:spacing w:after="0"/>
        <w:rPr>
          <w:rFonts w:ascii="Arial" w:hAnsi="Arial" w:cs="Arial"/>
          <w:sz w:val="18"/>
        </w:rPr>
      </w:pPr>
    </w:p>
    <w:p w14:paraId="4DD0D803" w14:textId="788ABC60" w:rsidR="003944CA" w:rsidRPr="00BA2636" w:rsidRDefault="003944CA" w:rsidP="003944CA">
      <w:pPr>
        <w:pStyle w:val="EndnoteText"/>
        <w:rPr>
          <w:rFonts w:ascii="Arial" w:hAnsi="Arial" w:cs="Arial"/>
          <w:sz w:val="18"/>
        </w:rPr>
      </w:pPr>
      <w:r w:rsidRPr="00BA2636">
        <w:rPr>
          <w:rFonts w:ascii="Arial" w:hAnsi="Arial" w:cs="Arial"/>
          <w:noProof/>
          <w:sz w:val="18"/>
        </w:rPr>
        <w:t xml:space="preserve">Pinkerton SD. Probability of HIV transmission during acute infection in Rakai, Uganda (2008). AIDS Behav: </w:t>
      </w:r>
      <w:r w:rsidRPr="00BA2636">
        <w:rPr>
          <w:rFonts w:ascii="Arial" w:hAnsi="Arial" w:cs="Arial"/>
          <w:b/>
          <w:noProof/>
          <w:sz w:val="18"/>
        </w:rPr>
        <w:t>12</w:t>
      </w:r>
      <w:r w:rsidRPr="00BA2636">
        <w:rPr>
          <w:rFonts w:ascii="Arial" w:hAnsi="Arial" w:cs="Arial"/>
          <w:noProof/>
          <w:sz w:val="18"/>
        </w:rPr>
        <w:t>(5): 677-84.</w:t>
      </w:r>
    </w:p>
    <w:p w14:paraId="0AC70F92" w14:textId="731AB319" w:rsidR="003944CA" w:rsidRPr="00BA2636" w:rsidRDefault="003944CA" w:rsidP="003944CA">
      <w:pPr>
        <w:pStyle w:val="EndnoteText"/>
        <w:rPr>
          <w:rFonts w:ascii="Arial" w:hAnsi="Arial" w:cs="Arial"/>
          <w:sz w:val="18"/>
        </w:rPr>
      </w:pPr>
    </w:p>
    <w:p w14:paraId="6255BABE" w14:textId="115AB71A" w:rsidR="003944CA" w:rsidRPr="00BA2636" w:rsidRDefault="003944CA" w:rsidP="003944CA">
      <w:pPr>
        <w:pStyle w:val="EndnoteText"/>
        <w:rPr>
          <w:rFonts w:ascii="Arial" w:hAnsi="Arial" w:cs="Arial"/>
          <w:sz w:val="18"/>
        </w:rPr>
      </w:pPr>
      <w:r w:rsidRPr="00BA2636">
        <w:rPr>
          <w:rFonts w:ascii="Arial" w:hAnsi="Arial" w:cs="Arial"/>
          <w:sz w:val="18"/>
        </w:rPr>
        <w:t xml:space="preserve">Powers KA, Poole C, Pettifor AE, Cohen MS </w:t>
      </w:r>
      <w:r w:rsidR="006E0321">
        <w:rPr>
          <w:rFonts w:ascii="Arial" w:hAnsi="Arial" w:cs="Arial"/>
          <w:sz w:val="18"/>
        </w:rPr>
        <w:t xml:space="preserve">(2008). </w:t>
      </w:r>
      <w:r w:rsidRPr="00BA2636">
        <w:rPr>
          <w:rFonts w:ascii="Arial" w:hAnsi="Arial" w:cs="Arial"/>
          <w:sz w:val="18"/>
        </w:rPr>
        <w:t>Rethinking the heterosexual infectivity of HIV-1: a systematic review and meta-analysis</w:t>
      </w:r>
      <w:r w:rsidR="006E0321">
        <w:rPr>
          <w:rFonts w:ascii="Arial" w:hAnsi="Arial" w:cs="Arial"/>
          <w:sz w:val="18"/>
        </w:rPr>
        <w:t>.</w:t>
      </w:r>
      <w:r w:rsidRPr="00BA2636">
        <w:rPr>
          <w:rFonts w:ascii="Arial" w:hAnsi="Arial" w:cs="Arial"/>
          <w:sz w:val="18"/>
        </w:rPr>
        <w:t xml:space="preserve"> The Lancet Published on line August 5, 2008 DOI:10.1016/S1273-3099(08)70156-7.</w:t>
      </w:r>
    </w:p>
    <w:p w14:paraId="5643F940" w14:textId="08BDE651" w:rsidR="003944CA" w:rsidRPr="00BA2636" w:rsidRDefault="003944CA" w:rsidP="003944CA">
      <w:pPr>
        <w:spacing w:after="0"/>
        <w:rPr>
          <w:rFonts w:ascii="Arial" w:hAnsi="Arial" w:cs="Arial"/>
          <w:sz w:val="18"/>
        </w:rPr>
      </w:pPr>
    </w:p>
    <w:p w14:paraId="783971A3" w14:textId="151B8CDD" w:rsidR="003944CA" w:rsidRDefault="003944CA" w:rsidP="003944CA">
      <w:pPr>
        <w:spacing w:after="0"/>
        <w:rPr>
          <w:rFonts w:ascii="Arial" w:hAnsi="Arial" w:cs="Arial"/>
          <w:color w:val="000000" w:themeColor="text1"/>
          <w:sz w:val="18"/>
        </w:rPr>
      </w:pPr>
      <w:r w:rsidRPr="00BA2636">
        <w:rPr>
          <w:rFonts w:ascii="Arial" w:hAnsi="Arial" w:cs="Arial"/>
          <w:color w:val="000000" w:themeColor="text1"/>
          <w:sz w:val="18"/>
        </w:rPr>
        <w:t xml:space="preserve">Remme M, Vassall A, Lutz B, Luna J, Watts C (2014). Financing structural interventions: going beyond HIV-only value for money assessments </w:t>
      </w:r>
      <w:r w:rsidRPr="00BA2636">
        <w:rPr>
          <w:rFonts w:ascii="Arial" w:hAnsi="Arial" w:cs="Arial"/>
          <w:i/>
          <w:iCs/>
          <w:color w:val="000000" w:themeColor="text1"/>
          <w:sz w:val="18"/>
        </w:rPr>
        <w:t>AIDS</w:t>
      </w:r>
      <w:r w:rsidRPr="00BA2636">
        <w:rPr>
          <w:rFonts w:ascii="Arial" w:hAnsi="Arial" w:cs="Arial"/>
          <w:color w:val="000000" w:themeColor="text1"/>
          <w:sz w:val="18"/>
        </w:rPr>
        <w:t>, 28:425-434.</w:t>
      </w:r>
    </w:p>
    <w:p w14:paraId="7D89D811" w14:textId="2C330ECB" w:rsidR="00993DF6" w:rsidRDefault="00993DF6" w:rsidP="003944CA">
      <w:pPr>
        <w:spacing w:after="0"/>
        <w:rPr>
          <w:rFonts w:ascii="Arial" w:hAnsi="Arial" w:cs="Arial"/>
          <w:color w:val="000000" w:themeColor="text1"/>
          <w:sz w:val="18"/>
        </w:rPr>
      </w:pPr>
    </w:p>
    <w:p w14:paraId="3DBED894" w14:textId="2CED10E4" w:rsidR="00993DF6" w:rsidRPr="00993DF6" w:rsidRDefault="00993DF6" w:rsidP="00993DF6">
      <w:pPr>
        <w:pStyle w:val="EndnoteText"/>
        <w:rPr>
          <w:rFonts w:ascii="Arial" w:hAnsi="Arial" w:cs="Arial"/>
        </w:rPr>
      </w:pPr>
      <w:r w:rsidRPr="00993DF6">
        <w:rPr>
          <w:rFonts w:ascii="Arial" w:hAnsi="Arial" w:cs="Arial"/>
          <w:sz w:val="18"/>
          <w:lang w:val="en-ZA"/>
        </w:rPr>
        <w:t>Results for Development (2017). Sustaining Effective Coverage for HIV, Tuberculosis and Malaria in the Context of Transition in Tanzania.</w:t>
      </w:r>
    </w:p>
    <w:p w14:paraId="03A6B50F" w14:textId="77777777" w:rsidR="003944CA" w:rsidRPr="00BA2636" w:rsidRDefault="003944CA" w:rsidP="003944CA">
      <w:pPr>
        <w:spacing w:after="0"/>
        <w:rPr>
          <w:rFonts w:ascii="Arial" w:hAnsi="Arial" w:cs="Arial"/>
          <w:color w:val="000000" w:themeColor="text1"/>
          <w:sz w:val="18"/>
        </w:rPr>
      </w:pPr>
    </w:p>
    <w:p w14:paraId="2D7C9FFF" w14:textId="4BC50E4D" w:rsidR="003944CA" w:rsidRPr="00BA2636" w:rsidRDefault="003944CA" w:rsidP="003944CA">
      <w:pPr>
        <w:spacing w:after="0"/>
        <w:rPr>
          <w:rFonts w:ascii="Arial" w:hAnsi="Arial" w:cs="Arial"/>
          <w:color w:val="000000" w:themeColor="text1"/>
          <w:sz w:val="18"/>
        </w:rPr>
      </w:pPr>
      <w:r w:rsidRPr="00BA2636">
        <w:rPr>
          <w:rFonts w:ascii="Arial" w:hAnsi="Arial" w:cs="Arial"/>
          <w:color w:val="000000" w:themeColor="text1"/>
          <w:sz w:val="18"/>
        </w:rPr>
        <w:t>Saul J, Bachman G, Allen S, Toiv NF, Cooney C, Beamon T (2018) The DREAMS core package of interventions: A comprehensive approach to preventing HIV among adolescent girls and young women. PLoS ONE 13(12): e0208167</w:t>
      </w:r>
    </w:p>
    <w:p w14:paraId="5B414D35" w14:textId="77777777" w:rsidR="003944CA" w:rsidRPr="00BA2636" w:rsidRDefault="003944CA" w:rsidP="003944CA">
      <w:pPr>
        <w:spacing w:after="0"/>
        <w:rPr>
          <w:rFonts w:ascii="Arial" w:hAnsi="Arial" w:cs="Arial"/>
          <w:color w:val="000000" w:themeColor="text1"/>
          <w:sz w:val="18"/>
        </w:rPr>
      </w:pPr>
    </w:p>
    <w:p w14:paraId="31261E41" w14:textId="59986842" w:rsidR="003944CA" w:rsidRPr="00BA2636" w:rsidRDefault="003944CA" w:rsidP="003944CA">
      <w:pPr>
        <w:spacing w:after="0"/>
        <w:rPr>
          <w:rFonts w:ascii="Arial" w:hAnsi="Arial" w:cs="Arial"/>
          <w:color w:val="000000" w:themeColor="text1"/>
          <w:sz w:val="18"/>
        </w:rPr>
      </w:pPr>
      <w:r w:rsidRPr="00BA2636">
        <w:rPr>
          <w:rFonts w:ascii="Arial" w:hAnsi="Arial" w:cs="Arial"/>
          <w:color w:val="000000" w:themeColor="text1"/>
          <w:sz w:val="18"/>
        </w:rPr>
        <w:t>Stoner M, Kilburn K, Pettifor A (2019). Cash transfers for HIV prevention: What do we know? March 27, 2019, presented to UNAIDS Consultation on HIV Prevention.</w:t>
      </w:r>
    </w:p>
    <w:p w14:paraId="673CC40A" w14:textId="2CC36C1A" w:rsidR="003944CA" w:rsidRDefault="003944CA" w:rsidP="003944CA">
      <w:pPr>
        <w:spacing w:after="0"/>
        <w:rPr>
          <w:rFonts w:ascii="Arial" w:hAnsi="Arial" w:cs="Arial"/>
          <w:color w:val="000000" w:themeColor="text1"/>
          <w:sz w:val="18"/>
        </w:rPr>
      </w:pPr>
    </w:p>
    <w:p w14:paraId="69E73164" w14:textId="672A03A5" w:rsidR="00993DF6" w:rsidRPr="00993DF6" w:rsidRDefault="00993DF6" w:rsidP="00993DF6">
      <w:pPr>
        <w:pStyle w:val="FootnoteText"/>
        <w:rPr>
          <w:rFonts w:ascii="Arial" w:hAnsi="Arial" w:cs="Arial"/>
          <w:sz w:val="18"/>
        </w:rPr>
      </w:pPr>
      <w:r w:rsidRPr="00993DF6">
        <w:rPr>
          <w:rFonts w:ascii="Arial" w:hAnsi="Arial" w:cs="Arial"/>
          <w:sz w:val="18"/>
        </w:rPr>
        <w:t>Stover J, Hallett TB, Wu Z, Warren M, Gopalappa C, Pretorius, et al (2014a). How Can We Get Close to Zero? The Potential Contribution of Biomedical Prevention and the Investment Framework towards an Effective Response to HIV. PLoS One 9(11):e111956. doi:10.1371/journal.pone.0111956.</w:t>
      </w:r>
    </w:p>
    <w:p w14:paraId="4560596A" w14:textId="77777777" w:rsidR="00993DF6" w:rsidRPr="00993DF6" w:rsidRDefault="00993DF6" w:rsidP="00993DF6">
      <w:pPr>
        <w:pStyle w:val="FootnoteText"/>
        <w:rPr>
          <w:rFonts w:ascii="Arial" w:hAnsi="Arial" w:cs="Arial"/>
          <w:sz w:val="18"/>
        </w:rPr>
      </w:pPr>
    </w:p>
    <w:p w14:paraId="6016E8A0" w14:textId="215F47E9" w:rsidR="00993DF6" w:rsidRPr="00993DF6" w:rsidRDefault="00993DF6" w:rsidP="00993DF6">
      <w:pPr>
        <w:spacing w:after="0"/>
        <w:rPr>
          <w:rFonts w:ascii="Arial" w:hAnsi="Arial" w:cs="Arial"/>
          <w:sz w:val="18"/>
        </w:rPr>
      </w:pPr>
      <w:r w:rsidRPr="00993DF6">
        <w:rPr>
          <w:rFonts w:ascii="Arial" w:hAnsi="Arial" w:cs="Arial"/>
          <w:sz w:val="18"/>
        </w:rPr>
        <w:t>Stover J, Andreev K, Slaymaker E, Gopalappa C, Sabin K, Velasquez C et al (2014b). Updates to the Spectrum model to estimate key HIV indicators for adults and children AIDS 2014 28 (Suppl 4):S427-S434.</w:t>
      </w:r>
    </w:p>
    <w:p w14:paraId="3C00BBA8" w14:textId="77777777" w:rsidR="00993DF6" w:rsidRPr="00BA2636" w:rsidRDefault="00993DF6" w:rsidP="00993DF6">
      <w:pPr>
        <w:spacing w:after="0"/>
        <w:rPr>
          <w:rFonts w:ascii="Arial" w:hAnsi="Arial" w:cs="Arial"/>
          <w:color w:val="000000" w:themeColor="text1"/>
          <w:sz w:val="18"/>
        </w:rPr>
      </w:pPr>
    </w:p>
    <w:p w14:paraId="337B8E69" w14:textId="77777777" w:rsidR="00DC1917" w:rsidRPr="00BA2636" w:rsidRDefault="00DC1917" w:rsidP="003944CA">
      <w:pPr>
        <w:spacing w:after="0"/>
        <w:rPr>
          <w:rFonts w:ascii="Arial" w:hAnsi="Arial" w:cs="Arial"/>
          <w:sz w:val="18"/>
        </w:rPr>
      </w:pPr>
      <w:r w:rsidRPr="00BA2636">
        <w:rPr>
          <w:rFonts w:ascii="Arial" w:hAnsi="Arial" w:cs="Arial"/>
          <w:sz w:val="18"/>
        </w:rPr>
        <w:t>Stover J, et al. (2006) The global impact of scaling up HIV/AIDS prevention programs in low- and middle-income countries. Science 311: 1474–1476.</w:t>
      </w:r>
    </w:p>
    <w:p w14:paraId="20D79699" w14:textId="77777777" w:rsidR="00DC1917" w:rsidRPr="00BA2636" w:rsidRDefault="00DC1917" w:rsidP="00DC1917">
      <w:pPr>
        <w:spacing w:after="0"/>
        <w:ind w:left="720"/>
        <w:rPr>
          <w:rFonts w:ascii="Arial" w:hAnsi="Arial" w:cs="Arial"/>
          <w:sz w:val="18"/>
        </w:rPr>
      </w:pPr>
    </w:p>
    <w:p w14:paraId="55DB0794" w14:textId="3959570A" w:rsidR="00DC1917" w:rsidRDefault="00DC1917" w:rsidP="003944CA">
      <w:pPr>
        <w:spacing w:after="0"/>
        <w:rPr>
          <w:rFonts w:ascii="Arial" w:hAnsi="Arial" w:cs="Arial"/>
          <w:sz w:val="18"/>
        </w:rPr>
      </w:pPr>
      <w:r w:rsidRPr="00BA2636">
        <w:rPr>
          <w:rFonts w:ascii="Arial" w:hAnsi="Arial" w:cs="Arial"/>
          <w:sz w:val="18"/>
        </w:rPr>
        <w:t>Stover J (2011). Goals Manual: A Model for Estimating the Effects of Interventions and Resource Allocation on HIV Infections and Deaths. Futures Institute Glastonbury.</w:t>
      </w:r>
    </w:p>
    <w:p w14:paraId="336CE4E4" w14:textId="7395BDFD" w:rsidR="006E0321" w:rsidRDefault="006E0321" w:rsidP="003944CA">
      <w:pPr>
        <w:spacing w:after="0"/>
        <w:rPr>
          <w:rFonts w:ascii="Arial" w:hAnsi="Arial" w:cs="Arial"/>
          <w:sz w:val="18"/>
        </w:rPr>
      </w:pPr>
    </w:p>
    <w:p w14:paraId="52A697D5" w14:textId="15065BB5" w:rsidR="006E0321" w:rsidRPr="00993DF6" w:rsidRDefault="006E0321" w:rsidP="003944CA">
      <w:pPr>
        <w:spacing w:after="0"/>
        <w:rPr>
          <w:rFonts w:ascii="Arial" w:hAnsi="Arial" w:cs="Arial"/>
          <w:sz w:val="18"/>
          <w:szCs w:val="18"/>
        </w:rPr>
      </w:pPr>
      <w:r w:rsidRPr="00993DF6">
        <w:rPr>
          <w:rFonts w:ascii="Arial" w:hAnsi="Arial" w:cs="Arial"/>
          <w:sz w:val="18"/>
          <w:szCs w:val="18"/>
        </w:rPr>
        <w:t>Stover J, Hallett TB, Wu Z, Warren M, Gopalappa C, Pretorius, et al</w:t>
      </w:r>
      <w:r w:rsidR="00993DF6">
        <w:rPr>
          <w:rFonts w:ascii="Arial" w:hAnsi="Arial" w:cs="Arial"/>
          <w:sz w:val="18"/>
          <w:szCs w:val="18"/>
        </w:rPr>
        <w:t xml:space="preserve"> (2014)</w:t>
      </w:r>
      <w:r w:rsidRPr="00993DF6">
        <w:rPr>
          <w:rFonts w:ascii="Arial" w:hAnsi="Arial" w:cs="Arial"/>
          <w:sz w:val="18"/>
          <w:szCs w:val="18"/>
        </w:rPr>
        <w:t>. How Can We Get Close to Zero? The Potential Contribution of Biomedical Prevention and the Investment Framework towards an Effective Response to HIV</w:t>
      </w:r>
      <w:r w:rsidR="00993DF6">
        <w:rPr>
          <w:rFonts w:ascii="Arial" w:hAnsi="Arial" w:cs="Arial"/>
          <w:sz w:val="18"/>
          <w:szCs w:val="18"/>
        </w:rPr>
        <w:t>.</w:t>
      </w:r>
      <w:r w:rsidRPr="00993DF6">
        <w:rPr>
          <w:rFonts w:ascii="Arial" w:hAnsi="Arial" w:cs="Arial"/>
          <w:sz w:val="18"/>
          <w:szCs w:val="18"/>
        </w:rPr>
        <w:t xml:space="preserve"> PLoS One 9(11):e111956. </w:t>
      </w:r>
    </w:p>
    <w:p w14:paraId="3BAF454A" w14:textId="4E020ACA" w:rsidR="003944CA" w:rsidRPr="00BA2636" w:rsidRDefault="003944CA" w:rsidP="003944CA">
      <w:pPr>
        <w:spacing w:after="0"/>
        <w:rPr>
          <w:rFonts w:ascii="Arial" w:hAnsi="Arial" w:cs="Arial"/>
          <w:sz w:val="18"/>
        </w:rPr>
      </w:pPr>
    </w:p>
    <w:p w14:paraId="15FC88E7" w14:textId="15CE4CDE" w:rsidR="003944CA" w:rsidRPr="00BA2636" w:rsidRDefault="003944CA" w:rsidP="003944CA">
      <w:pPr>
        <w:spacing w:after="0"/>
        <w:rPr>
          <w:rFonts w:ascii="Arial" w:hAnsi="Arial" w:cs="Arial"/>
          <w:sz w:val="18"/>
        </w:rPr>
      </w:pPr>
      <w:r w:rsidRPr="00BA2636">
        <w:rPr>
          <w:rFonts w:ascii="Arial" w:hAnsi="Arial" w:cs="Arial"/>
          <w:sz w:val="18"/>
        </w:rPr>
        <w:t xml:space="preserve">TACAIDS (2013). Tanzania Third National Multi-Sectoral Strategic Framework for HIV and AIDS (2013/14-2017/18). </w:t>
      </w:r>
    </w:p>
    <w:p w14:paraId="16C6EFA9" w14:textId="77777777" w:rsidR="005A468B" w:rsidRPr="00BA2636" w:rsidRDefault="005A468B" w:rsidP="003944CA">
      <w:pPr>
        <w:spacing w:after="0"/>
        <w:rPr>
          <w:rFonts w:ascii="Arial" w:hAnsi="Arial" w:cs="Arial"/>
          <w:sz w:val="18"/>
        </w:rPr>
      </w:pPr>
    </w:p>
    <w:p w14:paraId="68E4D5D2" w14:textId="5862FF18" w:rsidR="005A468B" w:rsidRPr="00BA2636" w:rsidRDefault="005A468B" w:rsidP="003944CA">
      <w:pPr>
        <w:spacing w:after="0"/>
        <w:rPr>
          <w:rFonts w:ascii="Arial" w:hAnsi="Arial" w:cs="Arial"/>
          <w:sz w:val="18"/>
          <w:lang w:val="en-GB"/>
        </w:rPr>
      </w:pPr>
      <w:r w:rsidRPr="00BA2636">
        <w:rPr>
          <w:rFonts w:ascii="Arial" w:hAnsi="Arial" w:cs="Arial"/>
          <w:sz w:val="18"/>
          <w:lang w:val="en-GB"/>
        </w:rPr>
        <w:t>TACAIDS</w:t>
      </w:r>
      <w:r w:rsidR="003944CA" w:rsidRPr="00BA2636">
        <w:rPr>
          <w:rFonts w:ascii="Arial" w:hAnsi="Arial" w:cs="Arial"/>
          <w:sz w:val="18"/>
          <w:lang w:val="en-GB"/>
        </w:rPr>
        <w:t xml:space="preserve"> (2018)</w:t>
      </w:r>
      <w:r w:rsidRPr="00BA2636">
        <w:rPr>
          <w:rFonts w:ascii="Arial" w:hAnsi="Arial" w:cs="Arial"/>
          <w:sz w:val="18"/>
          <w:lang w:val="en-GB"/>
        </w:rPr>
        <w:t xml:space="preserve">. Tanzania National Multisectoral Strategic Framework for HIV and AIDS 2018/19 to 2022/23. </w:t>
      </w:r>
    </w:p>
    <w:p w14:paraId="2DEBD8AB" w14:textId="77777777" w:rsidR="005A468B" w:rsidRPr="00BA2636" w:rsidRDefault="005A468B" w:rsidP="00C759BF">
      <w:pPr>
        <w:spacing w:after="0"/>
        <w:ind w:left="360"/>
        <w:rPr>
          <w:rFonts w:ascii="Arial" w:hAnsi="Arial" w:cs="Arial"/>
          <w:sz w:val="18"/>
          <w:lang w:val="en-GB"/>
        </w:rPr>
      </w:pPr>
    </w:p>
    <w:p w14:paraId="4BE3E9DE" w14:textId="44C8A1DC" w:rsidR="005A468B" w:rsidRDefault="005A468B" w:rsidP="003944CA">
      <w:pPr>
        <w:spacing w:after="0"/>
        <w:rPr>
          <w:rFonts w:ascii="Arial" w:hAnsi="Arial" w:cs="Arial"/>
          <w:sz w:val="18"/>
        </w:rPr>
      </w:pPr>
      <w:r w:rsidRPr="00BA2636">
        <w:rPr>
          <w:rFonts w:ascii="Arial" w:hAnsi="Arial" w:cs="Arial"/>
          <w:sz w:val="18"/>
        </w:rPr>
        <w:t>TACAIDS and UNAIDS</w:t>
      </w:r>
      <w:r w:rsidR="003944CA" w:rsidRPr="00BA2636">
        <w:rPr>
          <w:rFonts w:ascii="Arial" w:hAnsi="Arial" w:cs="Arial"/>
          <w:sz w:val="18"/>
        </w:rPr>
        <w:t xml:space="preserve"> (2016)</w:t>
      </w:r>
      <w:r w:rsidRPr="00BA2636">
        <w:rPr>
          <w:rFonts w:ascii="Arial" w:hAnsi="Arial" w:cs="Arial"/>
          <w:sz w:val="18"/>
        </w:rPr>
        <w:t>. Tanzania HIV Investment Case Reference Report.</w:t>
      </w:r>
    </w:p>
    <w:p w14:paraId="5FF6544E" w14:textId="080D16F2" w:rsidR="00A31889" w:rsidRDefault="00A31889" w:rsidP="003944CA">
      <w:pPr>
        <w:spacing w:after="0"/>
        <w:rPr>
          <w:rFonts w:ascii="Arial" w:hAnsi="Arial" w:cs="Arial"/>
          <w:sz w:val="18"/>
        </w:rPr>
      </w:pPr>
    </w:p>
    <w:p w14:paraId="7935F6E3" w14:textId="3D005EEF" w:rsidR="00A31889" w:rsidRPr="00444084" w:rsidRDefault="00A31889" w:rsidP="003944CA">
      <w:pPr>
        <w:spacing w:after="0"/>
        <w:rPr>
          <w:rFonts w:ascii="Arial" w:hAnsi="Arial" w:cs="Arial"/>
          <w:sz w:val="16"/>
        </w:rPr>
      </w:pPr>
      <w:r w:rsidRPr="00444084">
        <w:rPr>
          <w:rFonts w:ascii="Arial" w:hAnsi="Arial" w:cs="Arial"/>
          <w:sz w:val="18"/>
        </w:rPr>
        <w:t>Tanzania Commission for AIDS (TACAIDS), National Bureau of Statistics (NBS), and ORC Macro (2005</w:t>
      </w:r>
      <w:r w:rsidR="00C441A3" w:rsidRPr="00444084">
        <w:rPr>
          <w:rFonts w:ascii="Arial" w:hAnsi="Arial" w:cs="Arial"/>
          <w:sz w:val="18"/>
        </w:rPr>
        <w:t>)</w:t>
      </w:r>
      <w:r w:rsidRPr="00444084">
        <w:rPr>
          <w:rFonts w:ascii="Arial" w:hAnsi="Arial" w:cs="Arial"/>
          <w:sz w:val="18"/>
        </w:rPr>
        <w:t>. Tanzania HIV/AIDS Indicator Survey 2003-04. Calverton, Maryland, USA: TACAIDS, NBS, and ORC Macro.</w:t>
      </w:r>
    </w:p>
    <w:p w14:paraId="13A170F8" w14:textId="33778999" w:rsidR="00053050" w:rsidRDefault="00053050" w:rsidP="003944CA">
      <w:pPr>
        <w:spacing w:after="0"/>
        <w:rPr>
          <w:rFonts w:ascii="Arial" w:hAnsi="Arial" w:cs="Arial"/>
          <w:sz w:val="18"/>
        </w:rPr>
      </w:pPr>
    </w:p>
    <w:p w14:paraId="2791924E" w14:textId="50ECC1B2" w:rsidR="00053050" w:rsidRDefault="00053050" w:rsidP="00053050">
      <w:pPr>
        <w:pStyle w:val="EndnoteText"/>
        <w:rPr>
          <w:rFonts w:ascii="Arial" w:hAnsi="Arial" w:cs="Arial"/>
          <w:sz w:val="18"/>
          <w:szCs w:val="16"/>
        </w:rPr>
      </w:pPr>
      <w:r>
        <w:rPr>
          <w:rFonts w:ascii="Arial" w:hAnsi="Arial" w:cs="Arial"/>
          <w:sz w:val="18"/>
          <w:szCs w:val="16"/>
        </w:rPr>
        <w:t xml:space="preserve">Tanzania </w:t>
      </w:r>
      <w:r w:rsidRPr="00993DF6">
        <w:rPr>
          <w:rFonts w:ascii="Arial" w:hAnsi="Arial" w:cs="Arial"/>
          <w:sz w:val="18"/>
          <w:szCs w:val="16"/>
        </w:rPr>
        <w:t>Ministry of Health, Community Development, Gender, Elderly and Children (MoHCDGEC), Directorate of Policy and Planning (2018</w:t>
      </w:r>
      <w:r w:rsidR="00607E5F">
        <w:rPr>
          <w:rFonts w:ascii="Arial" w:hAnsi="Arial" w:cs="Arial"/>
          <w:sz w:val="18"/>
          <w:szCs w:val="16"/>
        </w:rPr>
        <w:t>a</w:t>
      </w:r>
      <w:r w:rsidRPr="00993DF6">
        <w:rPr>
          <w:rFonts w:ascii="Arial" w:hAnsi="Arial" w:cs="Arial"/>
          <w:sz w:val="18"/>
          <w:szCs w:val="16"/>
        </w:rPr>
        <w:t>). Health Sector Public Expenditure Review.</w:t>
      </w:r>
    </w:p>
    <w:p w14:paraId="16A674B5" w14:textId="77777777" w:rsidR="00053050" w:rsidRPr="00053050" w:rsidRDefault="00053050" w:rsidP="00053050">
      <w:pPr>
        <w:pStyle w:val="EndnoteText"/>
        <w:rPr>
          <w:rFonts w:ascii="Arial" w:hAnsi="Arial" w:cs="Arial"/>
          <w:sz w:val="16"/>
          <w:szCs w:val="16"/>
        </w:rPr>
      </w:pPr>
    </w:p>
    <w:p w14:paraId="6A53016B" w14:textId="191B0429" w:rsidR="00121628" w:rsidRDefault="00053050" w:rsidP="00053050">
      <w:pPr>
        <w:spacing w:after="0"/>
        <w:rPr>
          <w:rFonts w:ascii="Arial" w:hAnsi="Arial" w:cs="Arial"/>
          <w:sz w:val="18"/>
        </w:rPr>
      </w:pPr>
      <w:r w:rsidRPr="00053050">
        <w:rPr>
          <w:rFonts w:ascii="Arial" w:hAnsi="Arial" w:cs="Arial"/>
          <w:sz w:val="18"/>
        </w:rPr>
        <w:t>Tanzania Ministry of Health, Community Development, Gender, Elderly, and Children, U.S. Centers for Disease Control and Prevention, and ICF International. (2016</w:t>
      </w:r>
      <w:r w:rsidR="00585D67">
        <w:rPr>
          <w:rFonts w:ascii="Arial" w:hAnsi="Arial" w:cs="Arial"/>
          <w:sz w:val="18"/>
        </w:rPr>
        <w:t>a</w:t>
      </w:r>
      <w:r w:rsidRPr="00053050">
        <w:rPr>
          <w:rFonts w:ascii="Arial" w:hAnsi="Arial" w:cs="Arial"/>
          <w:sz w:val="18"/>
        </w:rPr>
        <w:t>). The Cost of Comprehensive HIV Treatment in Tanzania. Dar es Salaam, Tanzania and Atlanta, GA (USA): U.S. Centers for Disease Control and Prevention</w:t>
      </w:r>
    </w:p>
    <w:p w14:paraId="77702F8F" w14:textId="77777777" w:rsidR="00121628" w:rsidRDefault="00121628" w:rsidP="00121628">
      <w:pPr>
        <w:pStyle w:val="EndnoteText"/>
        <w:rPr>
          <w:rFonts w:ascii="Arial" w:hAnsi="Arial" w:cs="Arial"/>
          <w:sz w:val="18"/>
          <w:szCs w:val="16"/>
        </w:rPr>
      </w:pPr>
    </w:p>
    <w:p w14:paraId="25DD717E" w14:textId="77777777" w:rsidR="00121628" w:rsidRDefault="00121628" w:rsidP="00121628">
      <w:pPr>
        <w:pStyle w:val="EndnoteText"/>
        <w:rPr>
          <w:rFonts w:ascii="Arial" w:hAnsi="Arial" w:cs="Arial"/>
          <w:sz w:val="18"/>
          <w:szCs w:val="16"/>
        </w:rPr>
      </w:pPr>
      <w:r w:rsidRPr="00585D67">
        <w:rPr>
          <w:rFonts w:ascii="Arial" w:hAnsi="Arial" w:cs="Arial"/>
          <w:sz w:val="18"/>
          <w:szCs w:val="16"/>
        </w:rPr>
        <w:t>Tanzania Ministry of Health, Community Development, Gender, Elderly and Children, U.S. Centers for Disease Control and Prevention, and ICF International. (2016</w:t>
      </w:r>
      <w:r>
        <w:rPr>
          <w:rFonts w:ascii="Arial" w:hAnsi="Arial" w:cs="Arial"/>
          <w:sz w:val="18"/>
          <w:szCs w:val="16"/>
        </w:rPr>
        <w:t>b</w:t>
      </w:r>
      <w:r w:rsidRPr="00585D67">
        <w:rPr>
          <w:rFonts w:ascii="Arial" w:hAnsi="Arial" w:cs="Arial"/>
          <w:sz w:val="18"/>
          <w:szCs w:val="16"/>
        </w:rPr>
        <w:t>). The Cost and Cost Effectiveness of HIV Testing and Counseling in Tanzania. Dar es Salaam, Tanzania and Atlanta, GA (USA): U.S. Centers for Disease Control and Prevention.</w:t>
      </w:r>
    </w:p>
    <w:p w14:paraId="65AFBE2C" w14:textId="221F7DE5" w:rsidR="00607E5F" w:rsidRDefault="00607E5F" w:rsidP="00053050">
      <w:pPr>
        <w:spacing w:after="0"/>
        <w:rPr>
          <w:rFonts w:ascii="Arial" w:hAnsi="Arial" w:cs="Arial"/>
          <w:sz w:val="18"/>
        </w:rPr>
      </w:pPr>
    </w:p>
    <w:p w14:paraId="7D60E797" w14:textId="06C044C6" w:rsidR="00585D67" w:rsidRPr="00607E5F" w:rsidRDefault="00607E5F" w:rsidP="00053050">
      <w:pPr>
        <w:spacing w:after="0"/>
        <w:rPr>
          <w:rFonts w:ascii="Arial" w:hAnsi="Arial" w:cs="Arial"/>
          <w:sz w:val="18"/>
        </w:rPr>
      </w:pPr>
      <w:r>
        <w:rPr>
          <w:rFonts w:ascii="Arial" w:hAnsi="Arial" w:cs="Arial"/>
          <w:sz w:val="18"/>
        </w:rPr>
        <w:t xml:space="preserve">Tanzania </w:t>
      </w:r>
      <w:r w:rsidRPr="00053050">
        <w:rPr>
          <w:rFonts w:ascii="Arial" w:hAnsi="Arial" w:cs="Arial"/>
          <w:sz w:val="18"/>
        </w:rPr>
        <w:t>Ministry of Health, Community Development, Gender, Elderly, and Children</w:t>
      </w:r>
      <w:r>
        <w:rPr>
          <w:rFonts w:ascii="Arial" w:hAnsi="Arial" w:cs="Arial"/>
          <w:sz w:val="18"/>
        </w:rPr>
        <w:t xml:space="preserve"> (MoHCDGEC) (2018b).</w:t>
      </w:r>
      <w:r w:rsidRPr="00607E5F">
        <w:rPr>
          <w:rFonts w:ascii="Arial" w:hAnsi="Arial" w:cs="Arial"/>
          <w:sz w:val="18"/>
        </w:rPr>
        <w:t>National Accelerated Action &amp; Investment Agenda for Adolescent Health &amp; Wellbeing 2019 – 2022</w:t>
      </w:r>
      <w:r>
        <w:rPr>
          <w:rFonts w:ascii="Arial" w:hAnsi="Arial" w:cs="Arial"/>
          <w:sz w:val="18"/>
        </w:rPr>
        <w:t>.</w:t>
      </w:r>
    </w:p>
    <w:p w14:paraId="4A89DCAD" w14:textId="25E3B982" w:rsidR="003944CA" w:rsidRPr="00BA2636" w:rsidRDefault="003944CA" w:rsidP="003944CA">
      <w:pPr>
        <w:spacing w:after="0"/>
        <w:rPr>
          <w:rFonts w:ascii="Arial" w:hAnsi="Arial" w:cs="Arial"/>
          <w:sz w:val="18"/>
        </w:rPr>
      </w:pPr>
    </w:p>
    <w:p w14:paraId="2C506FD8" w14:textId="603FCB87" w:rsidR="003944CA" w:rsidRPr="00BA2636" w:rsidRDefault="003944CA" w:rsidP="003944CA">
      <w:pPr>
        <w:spacing w:after="0"/>
        <w:rPr>
          <w:rFonts w:ascii="Arial" w:hAnsi="Arial" w:cs="Arial"/>
          <w:color w:val="000000" w:themeColor="text1"/>
          <w:sz w:val="18"/>
        </w:rPr>
      </w:pPr>
      <w:r w:rsidRPr="00BA2636">
        <w:rPr>
          <w:rFonts w:ascii="Arial" w:hAnsi="Arial" w:cs="Arial"/>
          <w:color w:val="000000" w:themeColor="text1"/>
          <w:sz w:val="18"/>
        </w:rPr>
        <w:t>Tanzania Social Action Fund, UNICEF</w:t>
      </w:r>
      <w:r w:rsidR="006339C7" w:rsidRPr="00BA2636">
        <w:rPr>
          <w:rFonts w:ascii="Arial" w:hAnsi="Arial" w:cs="Arial"/>
          <w:color w:val="000000" w:themeColor="text1"/>
          <w:sz w:val="18"/>
        </w:rPr>
        <w:t xml:space="preserve"> (2018).</w:t>
      </w:r>
      <w:r w:rsidRPr="00BA2636">
        <w:rPr>
          <w:rFonts w:ascii="Arial" w:hAnsi="Arial" w:cs="Arial"/>
          <w:color w:val="000000" w:themeColor="text1"/>
          <w:sz w:val="18"/>
        </w:rPr>
        <w:t xml:space="preserve"> Tanzania Youth Study of the Productive Social Safety Net (PPSN) Impact Evaluation: Endline Report</w:t>
      </w:r>
      <w:r w:rsidR="006339C7" w:rsidRPr="00BA2636">
        <w:rPr>
          <w:rFonts w:ascii="Arial" w:hAnsi="Arial" w:cs="Arial"/>
          <w:color w:val="000000" w:themeColor="text1"/>
          <w:sz w:val="18"/>
        </w:rPr>
        <w:t>.</w:t>
      </w:r>
    </w:p>
    <w:p w14:paraId="3F3DAC6E" w14:textId="3C0CCE81" w:rsidR="006339C7" w:rsidRPr="00BA2636" w:rsidRDefault="006339C7" w:rsidP="003944CA">
      <w:pPr>
        <w:spacing w:after="0"/>
        <w:rPr>
          <w:rFonts w:ascii="Arial" w:hAnsi="Arial" w:cs="Arial"/>
          <w:sz w:val="18"/>
        </w:rPr>
      </w:pPr>
    </w:p>
    <w:p w14:paraId="7D0F3793" w14:textId="397B5A3A" w:rsidR="003944CA" w:rsidRDefault="00BA2636" w:rsidP="003944CA">
      <w:pPr>
        <w:spacing w:after="0"/>
        <w:rPr>
          <w:rFonts w:ascii="Arial" w:hAnsi="Arial" w:cs="Arial"/>
          <w:sz w:val="18"/>
        </w:rPr>
      </w:pPr>
      <w:r w:rsidRPr="00BA2636">
        <w:rPr>
          <w:rFonts w:ascii="Arial" w:hAnsi="Arial" w:cs="Arial"/>
          <w:sz w:val="18"/>
        </w:rPr>
        <w:t xml:space="preserve">Tanzania Commission for AIDS (TACAIDS), Zanzibar AIDS Commission (ZAC) (2018). Tanzania HIV Impact Survey (THIS) 2016-2017: Final Report. Dar es Salaam, Tanzania. </w:t>
      </w:r>
    </w:p>
    <w:p w14:paraId="4C412F7F" w14:textId="7BC7FF76" w:rsidR="005A3BB7" w:rsidRDefault="005A3BB7" w:rsidP="003944CA">
      <w:pPr>
        <w:spacing w:after="0"/>
        <w:rPr>
          <w:rFonts w:ascii="Arial" w:hAnsi="Arial" w:cs="Arial"/>
          <w:sz w:val="18"/>
        </w:rPr>
      </w:pPr>
    </w:p>
    <w:p w14:paraId="42A05A63" w14:textId="11BA3D64" w:rsidR="005A3BB7" w:rsidRDefault="005A3BB7" w:rsidP="003944CA">
      <w:pPr>
        <w:spacing w:after="0"/>
        <w:rPr>
          <w:rFonts w:ascii="Arial" w:hAnsi="Arial" w:cs="Arial"/>
          <w:sz w:val="18"/>
        </w:rPr>
      </w:pPr>
      <w:r>
        <w:rPr>
          <w:rFonts w:ascii="Arial" w:hAnsi="Arial" w:cs="Arial"/>
          <w:sz w:val="18"/>
        </w:rPr>
        <w:t>Trading Economics (2019</w:t>
      </w:r>
      <w:r w:rsidRPr="005A3BB7">
        <w:rPr>
          <w:rFonts w:ascii="Arial" w:hAnsi="Arial" w:cs="Arial"/>
          <w:sz w:val="18"/>
        </w:rPr>
        <w:t xml:space="preserve">). </w:t>
      </w:r>
      <w:r w:rsidRPr="005A3BB7">
        <w:rPr>
          <w:rFonts w:ascii="Arial" w:hAnsi="Arial" w:cs="Arial"/>
          <w:bCs/>
          <w:sz w:val="18"/>
        </w:rPr>
        <w:t>Tanzania - Economic Forecasts - 2019-2021 Outlook</w:t>
      </w:r>
      <w:r>
        <w:rPr>
          <w:rFonts w:ascii="Arial" w:hAnsi="Arial" w:cs="Arial"/>
          <w:sz w:val="18"/>
        </w:rPr>
        <w:t>. Accessed 21 April 2019. Available at</w:t>
      </w:r>
      <w:r w:rsidRPr="005A3BB7">
        <w:rPr>
          <w:rFonts w:ascii="Arial" w:hAnsi="Arial" w:cs="Arial"/>
          <w:sz w:val="16"/>
        </w:rPr>
        <w:t xml:space="preserve">: </w:t>
      </w:r>
      <w:r w:rsidRPr="005A3BB7">
        <w:rPr>
          <w:rFonts w:ascii="Arial" w:hAnsi="Arial" w:cs="Arial"/>
          <w:sz w:val="18"/>
          <w:lang w:val="en-ZA"/>
        </w:rPr>
        <w:t>https://tradingeconomics.com/tanzania/forecast</w:t>
      </w:r>
      <w:r>
        <w:rPr>
          <w:rFonts w:ascii="Arial" w:hAnsi="Arial" w:cs="Arial"/>
          <w:sz w:val="18"/>
          <w:lang w:val="en-ZA"/>
        </w:rPr>
        <w:t>.</w:t>
      </w:r>
    </w:p>
    <w:p w14:paraId="045B186A" w14:textId="35C43FE6" w:rsidR="00053050" w:rsidRDefault="00053050" w:rsidP="003944CA">
      <w:pPr>
        <w:spacing w:after="0"/>
        <w:rPr>
          <w:rFonts w:ascii="Arial" w:hAnsi="Arial" w:cs="Arial"/>
          <w:sz w:val="18"/>
        </w:rPr>
      </w:pPr>
    </w:p>
    <w:p w14:paraId="44D42688" w14:textId="11C03889" w:rsidR="00053050" w:rsidRPr="00053050" w:rsidRDefault="00053050" w:rsidP="003944CA">
      <w:pPr>
        <w:spacing w:after="0"/>
        <w:rPr>
          <w:rFonts w:ascii="Arial" w:hAnsi="Arial" w:cs="Arial"/>
          <w:sz w:val="16"/>
        </w:rPr>
      </w:pPr>
      <w:r>
        <w:rPr>
          <w:rFonts w:ascii="Arial" w:hAnsi="Arial" w:cs="Arial"/>
          <w:sz w:val="18"/>
        </w:rPr>
        <w:t xml:space="preserve">UNAIDS (2012). </w:t>
      </w:r>
      <w:r w:rsidRPr="00053050">
        <w:rPr>
          <w:rFonts w:ascii="Arial" w:hAnsi="Arial" w:cs="Arial"/>
          <w:sz w:val="18"/>
        </w:rPr>
        <w:t>Investing for results. Results for people. A people-centered investment tool towards ending AIDS.</w:t>
      </w:r>
    </w:p>
    <w:p w14:paraId="20C78CE5" w14:textId="77777777" w:rsidR="00BA2636" w:rsidRPr="00BA2636" w:rsidRDefault="00BA2636" w:rsidP="003944CA">
      <w:pPr>
        <w:spacing w:after="0"/>
        <w:rPr>
          <w:rFonts w:ascii="Arial" w:hAnsi="Arial" w:cs="Arial"/>
          <w:sz w:val="18"/>
        </w:rPr>
      </w:pPr>
    </w:p>
    <w:p w14:paraId="085B6A6F" w14:textId="07686C31" w:rsidR="003944CA" w:rsidRDefault="003944CA" w:rsidP="003944CA">
      <w:pPr>
        <w:spacing w:after="0"/>
        <w:rPr>
          <w:rFonts w:ascii="Arial" w:hAnsi="Arial" w:cs="Arial"/>
          <w:sz w:val="18"/>
        </w:rPr>
      </w:pPr>
      <w:r w:rsidRPr="00BA2636">
        <w:rPr>
          <w:rStyle w:val="Hyperlink"/>
          <w:rFonts w:ascii="Arial" w:hAnsi="Arial" w:cs="Arial"/>
          <w:color w:val="000000" w:themeColor="text1"/>
          <w:sz w:val="18"/>
          <w:u w:val="none"/>
        </w:rPr>
        <w:t xml:space="preserve">UNAIDS (2017). </w:t>
      </w:r>
      <w:r w:rsidRPr="000B0734">
        <w:rPr>
          <w:rStyle w:val="Hyperlink"/>
          <w:rFonts w:ascii="Arial" w:hAnsi="Arial" w:cs="Arial"/>
          <w:color w:val="000000" w:themeColor="text1"/>
          <w:sz w:val="18"/>
          <w:u w:val="none"/>
        </w:rPr>
        <w:t xml:space="preserve">DTG Q&amp;A. </w:t>
      </w:r>
      <w:r w:rsidR="000B0734" w:rsidRPr="000B0734">
        <w:rPr>
          <w:rStyle w:val="Hyperlink"/>
          <w:rFonts w:ascii="Arial" w:hAnsi="Arial" w:cs="Arial"/>
          <w:color w:val="000000" w:themeColor="text1"/>
          <w:sz w:val="18"/>
          <w:u w:val="none"/>
        </w:rPr>
        <w:t xml:space="preserve">Available at : </w:t>
      </w:r>
      <w:hyperlink r:id="rId74" w:history="1">
        <w:r w:rsidR="000B0734" w:rsidRPr="000D309E">
          <w:rPr>
            <w:rStyle w:val="Hyperlink"/>
            <w:rFonts w:ascii="Arial" w:hAnsi="Arial" w:cs="Arial"/>
            <w:sz w:val="18"/>
          </w:rPr>
          <w:t>https://www.unaids.org/sites/default/files/media_asset/UNA17026_Annoucement_QA_009.pdf</w:t>
        </w:r>
      </w:hyperlink>
    </w:p>
    <w:p w14:paraId="4C0B40D5" w14:textId="66C30B96" w:rsidR="001332DF" w:rsidRDefault="001332DF" w:rsidP="003944CA">
      <w:pPr>
        <w:spacing w:after="0"/>
        <w:rPr>
          <w:rFonts w:ascii="Arial" w:hAnsi="Arial" w:cs="Arial"/>
          <w:sz w:val="18"/>
        </w:rPr>
      </w:pPr>
    </w:p>
    <w:p w14:paraId="63A05C05" w14:textId="6F7AFBDE" w:rsidR="001332DF" w:rsidRDefault="001332DF" w:rsidP="003944CA">
      <w:pPr>
        <w:spacing w:after="0"/>
        <w:rPr>
          <w:rFonts w:ascii="Arial" w:hAnsi="Arial" w:cs="Arial"/>
          <w:sz w:val="18"/>
        </w:rPr>
      </w:pPr>
      <w:r>
        <w:rPr>
          <w:rFonts w:ascii="Arial" w:hAnsi="Arial" w:cs="Arial"/>
          <w:sz w:val="18"/>
        </w:rPr>
        <w:t xml:space="preserve">UNICEF (2018). </w:t>
      </w:r>
      <w:r w:rsidRPr="001332DF">
        <w:rPr>
          <w:rFonts w:ascii="Arial" w:hAnsi="Arial" w:cs="Arial"/>
          <w:sz w:val="18"/>
        </w:rPr>
        <w:t>HIV estimates dashboard</w:t>
      </w:r>
      <w:r>
        <w:rPr>
          <w:rFonts w:ascii="Arial" w:hAnsi="Arial" w:cs="Arial"/>
        </w:rPr>
        <w:t>.</w:t>
      </w:r>
    </w:p>
    <w:p w14:paraId="1688BD9C" w14:textId="16DEC95D" w:rsidR="001332DF" w:rsidRDefault="001332DF" w:rsidP="003944CA">
      <w:pPr>
        <w:spacing w:after="0"/>
        <w:rPr>
          <w:rFonts w:ascii="Arial" w:hAnsi="Arial" w:cs="Arial"/>
          <w:sz w:val="18"/>
        </w:rPr>
      </w:pPr>
    </w:p>
    <w:p w14:paraId="7BDFB765" w14:textId="1435AE65" w:rsidR="001332DF" w:rsidRPr="001332DF" w:rsidRDefault="001332DF" w:rsidP="003944CA">
      <w:pPr>
        <w:spacing w:after="0"/>
        <w:rPr>
          <w:rStyle w:val="Hyperlink"/>
          <w:rFonts w:ascii="Arial" w:hAnsi="Arial" w:cs="Arial"/>
          <w:color w:val="auto"/>
          <w:sz w:val="18"/>
          <w:u w:val="none"/>
        </w:rPr>
      </w:pPr>
      <w:r>
        <w:rPr>
          <w:rFonts w:ascii="Arial" w:hAnsi="Arial" w:cs="Arial"/>
          <w:sz w:val="18"/>
        </w:rPr>
        <w:t xml:space="preserve">UNAIDS (2019). Aidsinfo. </w:t>
      </w:r>
      <w:r w:rsidRPr="00053050">
        <w:rPr>
          <w:rFonts w:ascii="Arial" w:hAnsi="Arial" w:cs="Arial"/>
          <w:sz w:val="18"/>
        </w:rPr>
        <w:t xml:space="preserve">Available at : </w:t>
      </w:r>
      <w:hyperlink r:id="rId75" w:history="1">
        <w:r w:rsidRPr="000D309E">
          <w:rPr>
            <w:rStyle w:val="Hyperlink"/>
            <w:rFonts w:ascii="Arial" w:hAnsi="Arial" w:cs="Arial"/>
            <w:sz w:val="18"/>
          </w:rPr>
          <w:t>http://aidsinfo.unaids.org/</w:t>
        </w:r>
      </w:hyperlink>
    </w:p>
    <w:p w14:paraId="0116C408" w14:textId="616B0866" w:rsidR="003944CA" w:rsidRPr="000B0734" w:rsidRDefault="003944CA" w:rsidP="003944CA">
      <w:pPr>
        <w:spacing w:after="0"/>
        <w:rPr>
          <w:rStyle w:val="Hyperlink"/>
          <w:rFonts w:ascii="Arial" w:hAnsi="Arial" w:cs="Arial"/>
          <w:color w:val="000000" w:themeColor="text1"/>
          <w:sz w:val="18"/>
          <w:u w:val="none"/>
        </w:rPr>
      </w:pPr>
    </w:p>
    <w:p w14:paraId="622E1250" w14:textId="64F789A5" w:rsidR="003944CA" w:rsidRPr="00BA2636" w:rsidRDefault="003944CA" w:rsidP="003944CA">
      <w:pPr>
        <w:spacing w:after="0"/>
        <w:rPr>
          <w:rFonts w:ascii="Arial" w:hAnsi="Arial" w:cs="Arial"/>
          <w:sz w:val="18"/>
        </w:rPr>
      </w:pPr>
      <w:r w:rsidRPr="00BA2636">
        <w:rPr>
          <w:rFonts w:ascii="Arial" w:hAnsi="Arial" w:cs="Arial"/>
          <w:sz w:val="18"/>
        </w:rPr>
        <w:t xml:space="preserve">UNICEF and </w:t>
      </w:r>
      <w:r w:rsidR="001332DF">
        <w:rPr>
          <w:rFonts w:ascii="Arial" w:hAnsi="Arial" w:cs="Arial"/>
          <w:sz w:val="18"/>
        </w:rPr>
        <w:t>MoHCDGEC</w:t>
      </w:r>
      <w:r w:rsidRPr="00BA2636">
        <w:rPr>
          <w:rFonts w:ascii="Arial" w:hAnsi="Arial" w:cs="Arial"/>
          <w:sz w:val="18"/>
        </w:rPr>
        <w:t xml:space="preserve"> (2018). HIV and AIDS Budget Brief 2018. </w:t>
      </w:r>
    </w:p>
    <w:p w14:paraId="673E816F" w14:textId="63F85A49" w:rsidR="001332DF" w:rsidRDefault="001332DF" w:rsidP="003944CA">
      <w:pPr>
        <w:spacing w:after="0"/>
        <w:rPr>
          <w:rFonts w:ascii="Arial" w:hAnsi="Arial" w:cs="Arial"/>
          <w:sz w:val="18"/>
        </w:rPr>
      </w:pPr>
    </w:p>
    <w:p w14:paraId="49AC8FFD" w14:textId="6B56DE99" w:rsidR="001332DF" w:rsidRDefault="001332DF" w:rsidP="003944CA">
      <w:pPr>
        <w:spacing w:after="0"/>
        <w:rPr>
          <w:rFonts w:ascii="Arial" w:hAnsi="Arial" w:cs="Arial"/>
          <w:sz w:val="18"/>
        </w:rPr>
      </w:pPr>
      <w:r>
        <w:rPr>
          <w:rFonts w:ascii="Arial" w:hAnsi="Arial" w:cs="Arial"/>
          <w:sz w:val="18"/>
        </w:rPr>
        <w:t xml:space="preserve">United Nations Economic Commission for Africa (UNECA) (2015). </w:t>
      </w:r>
      <w:r w:rsidRPr="001332DF">
        <w:rPr>
          <w:rFonts w:ascii="Arial" w:hAnsi="Arial" w:cs="Arial"/>
          <w:sz w:val="18"/>
        </w:rPr>
        <w:t>Industrializing through trade: Economic Report for Africa.</w:t>
      </w:r>
    </w:p>
    <w:p w14:paraId="00D2A1D8" w14:textId="77777777" w:rsidR="005A3BB7" w:rsidRPr="00053050" w:rsidRDefault="005A3BB7" w:rsidP="003944CA">
      <w:pPr>
        <w:spacing w:after="0"/>
        <w:rPr>
          <w:rFonts w:ascii="Arial" w:hAnsi="Arial" w:cs="Arial"/>
          <w:sz w:val="18"/>
        </w:rPr>
      </w:pPr>
    </w:p>
    <w:p w14:paraId="180675C2" w14:textId="214126BE" w:rsidR="003944CA" w:rsidRPr="00BA2636" w:rsidRDefault="003944CA" w:rsidP="003944CA">
      <w:pPr>
        <w:spacing w:after="0"/>
        <w:rPr>
          <w:rFonts w:ascii="Arial" w:hAnsi="Arial" w:cs="Arial"/>
          <w:sz w:val="18"/>
        </w:rPr>
      </w:pPr>
      <w:r w:rsidRPr="00BA2636">
        <w:rPr>
          <w:rFonts w:ascii="Arial" w:hAnsi="Arial" w:cs="Arial"/>
          <w:sz w:val="18"/>
        </w:rPr>
        <w:t>Vittinghoff E, Douglas J, Judson F, McKirnan D, MacQueen K, Buchbinder SP</w:t>
      </w:r>
      <w:r w:rsidR="00BA2636" w:rsidRPr="00BA2636">
        <w:rPr>
          <w:rFonts w:ascii="Arial" w:hAnsi="Arial" w:cs="Arial"/>
          <w:sz w:val="18"/>
        </w:rPr>
        <w:t xml:space="preserve"> (1999)</w:t>
      </w:r>
      <w:r w:rsidRPr="00BA2636">
        <w:rPr>
          <w:rFonts w:ascii="Arial" w:hAnsi="Arial" w:cs="Arial"/>
          <w:sz w:val="18"/>
        </w:rPr>
        <w:t>. Per-Contact Risk of Human Immunodeficiency Virus Transmission between Male Sexual Partners Am J Epidemiol</w:t>
      </w:r>
      <w:r w:rsidR="00BA2636" w:rsidRPr="00BA2636">
        <w:rPr>
          <w:rFonts w:ascii="Arial" w:hAnsi="Arial" w:cs="Arial"/>
          <w:sz w:val="18"/>
        </w:rPr>
        <w:t xml:space="preserve">: </w:t>
      </w:r>
      <w:r w:rsidRPr="00BA2636">
        <w:rPr>
          <w:rFonts w:ascii="Arial" w:hAnsi="Arial" w:cs="Arial"/>
          <w:sz w:val="18"/>
        </w:rPr>
        <w:t>150:3;306-31 suggests 0.0016/0.0011.</w:t>
      </w:r>
    </w:p>
    <w:p w14:paraId="530A7436" w14:textId="394ACBCB" w:rsidR="003944CA" w:rsidRDefault="003944CA" w:rsidP="003944CA">
      <w:pPr>
        <w:spacing w:after="0"/>
        <w:rPr>
          <w:rFonts w:ascii="Arial" w:hAnsi="Arial" w:cs="Arial"/>
          <w:sz w:val="18"/>
        </w:rPr>
      </w:pPr>
    </w:p>
    <w:p w14:paraId="032E08A1" w14:textId="4A601D1A" w:rsidR="003944CA" w:rsidRDefault="003944CA" w:rsidP="003944CA">
      <w:pPr>
        <w:pStyle w:val="EndnoteText"/>
        <w:rPr>
          <w:rFonts w:ascii="Arial" w:hAnsi="Arial" w:cs="Arial"/>
          <w:sz w:val="18"/>
        </w:rPr>
      </w:pPr>
      <w:r w:rsidRPr="00BA2636">
        <w:rPr>
          <w:rFonts w:ascii="Arial" w:hAnsi="Arial" w:cs="Arial"/>
          <w:sz w:val="18"/>
        </w:rPr>
        <w:t>Weller S</w:t>
      </w:r>
      <w:r w:rsidR="006E0321">
        <w:rPr>
          <w:rFonts w:ascii="Arial" w:hAnsi="Arial" w:cs="Arial"/>
          <w:sz w:val="18"/>
        </w:rPr>
        <w:t xml:space="preserve"> and </w:t>
      </w:r>
      <w:r w:rsidRPr="00BA2636">
        <w:rPr>
          <w:rFonts w:ascii="Arial" w:hAnsi="Arial" w:cs="Arial"/>
          <w:sz w:val="18"/>
        </w:rPr>
        <w:t>Davis, K. Condom effectiveness in reducing heterosexual HIV transmission (Cochrane Review)</w:t>
      </w:r>
      <w:r w:rsidR="00BA2636" w:rsidRPr="00BA2636">
        <w:rPr>
          <w:rFonts w:ascii="Arial" w:hAnsi="Arial" w:cs="Arial"/>
          <w:sz w:val="18"/>
        </w:rPr>
        <w:t xml:space="preserve"> (2004)</w:t>
      </w:r>
      <w:r w:rsidRPr="00BA2636">
        <w:rPr>
          <w:rFonts w:ascii="Arial" w:hAnsi="Arial" w:cs="Arial"/>
          <w:sz w:val="18"/>
        </w:rPr>
        <w:t>. In: The Cochrane Library, Issue 1</w:t>
      </w:r>
      <w:r w:rsidR="00BA2636" w:rsidRPr="00BA2636">
        <w:rPr>
          <w:rFonts w:ascii="Arial" w:hAnsi="Arial" w:cs="Arial"/>
          <w:sz w:val="18"/>
        </w:rPr>
        <w:t>:</w:t>
      </w:r>
      <w:r w:rsidRPr="00BA2636">
        <w:rPr>
          <w:rFonts w:ascii="Arial" w:hAnsi="Arial" w:cs="Arial"/>
          <w:sz w:val="18"/>
        </w:rPr>
        <w:t xml:space="preserve"> Chichester, UK: John Wiley &amp; Sons, Ltd.</w:t>
      </w:r>
    </w:p>
    <w:p w14:paraId="644942AA" w14:textId="698F53E3" w:rsidR="000A1997" w:rsidRDefault="000A1997" w:rsidP="003944CA">
      <w:pPr>
        <w:pStyle w:val="EndnoteText"/>
        <w:rPr>
          <w:rFonts w:ascii="Arial" w:hAnsi="Arial" w:cs="Arial"/>
          <w:sz w:val="18"/>
        </w:rPr>
      </w:pPr>
    </w:p>
    <w:p w14:paraId="3A922D64" w14:textId="22775988" w:rsidR="000A1997" w:rsidRDefault="000A1997" w:rsidP="003944CA">
      <w:pPr>
        <w:pStyle w:val="EndnoteText"/>
        <w:rPr>
          <w:rFonts w:ascii="Arial" w:hAnsi="Arial" w:cs="Arial"/>
          <w:sz w:val="18"/>
        </w:rPr>
      </w:pPr>
      <w:r w:rsidRPr="000A1997">
        <w:rPr>
          <w:rFonts w:ascii="Arial" w:hAnsi="Arial" w:cs="Arial"/>
          <w:sz w:val="18"/>
        </w:rPr>
        <w:t>Wang and Rose</w:t>
      </w:r>
      <w:r w:rsidR="00053050">
        <w:rPr>
          <w:rFonts w:ascii="Arial" w:hAnsi="Arial" w:cs="Arial"/>
          <w:sz w:val="18"/>
        </w:rPr>
        <w:t>m</w:t>
      </w:r>
      <w:r w:rsidRPr="000A1997">
        <w:rPr>
          <w:rFonts w:ascii="Arial" w:hAnsi="Arial" w:cs="Arial"/>
          <w:sz w:val="18"/>
        </w:rPr>
        <w:t>berg. (2018)</w:t>
      </w:r>
      <w:r w:rsidR="00053050">
        <w:rPr>
          <w:rFonts w:ascii="Arial" w:hAnsi="Arial" w:cs="Arial"/>
          <w:sz w:val="18"/>
        </w:rPr>
        <w:t>.</w:t>
      </w:r>
      <w:r w:rsidRPr="000A1997">
        <w:rPr>
          <w:rFonts w:ascii="Arial" w:hAnsi="Arial" w:cs="Arial"/>
          <w:sz w:val="18"/>
        </w:rPr>
        <w:t xml:space="preserve"> Universal Health Coverage in Low-Income Countries: Tanzania’s Efforts to Overcome Barriers to Equitable Health Service Access. The World Bank: Washington, DC.</w:t>
      </w:r>
    </w:p>
    <w:p w14:paraId="57B285AE" w14:textId="76BF44CA" w:rsidR="005A3BB7" w:rsidRDefault="005A3BB7" w:rsidP="003944CA">
      <w:pPr>
        <w:pStyle w:val="EndnoteText"/>
        <w:rPr>
          <w:rFonts w:ascii="Arial" w:hAnsi="Arial" w:cs="Arial"/>
          <w:sz w:val="18"/>
        </w:rPr>
      </w:pPr>
    </w:p>
    <w:p w14:paraId="22BEFEC2" w14:textId="0044D7FD" w:rsidR="005A3BB7" w:rsidRPr="005A3BB7" w:rsidRDefault="005A3BB7" w:rsidP="003944CA">
      <w:pPr>
        <w:pStyle w:val="EndnoteText"/>
        <w:rPr>
          <w:rFonts w:ascii="Arial" w:hAnsi="Arial" w:cs="Arial"/>
        </w:rPr>
      </w:pPr>
      <w:r>
        <w:rPr>
          <w:rFonts w:ascii="Arial" w:hAnsi="Arial" w:cs="Arial"/>
          <w:color w:val="000000"/>
          <w:sz w:val="18"/>
          <w:szCs w:val="18"/>
          <w:shd w:val="clear" w:color="auto" w:fill="FFFFFF"/>
        </w:rPr>
        <w:t xml:space="preserve">Wang, Huihui; Juma, Mariam Ally; Rosemberg, Nicolas; Ulisubisya, Mpoki M (2018). "Progressive Pathway to Universal Health Coverage in Tanzania : A Call for Preferential Resource Allocation Targeting the Poor </w:t>
      </w:r>
      <w:r w:rsidRPr="005A3BB7">
        <w:rPr>
          <w:rFonts w:ascii="Arial" w:hAnsi="Arial" w:cs="Arial"/>
          <w:color w:val="000000"/>
          <w:sz w:val="18"/>
          <w:szCs w:val="18"/>
          <w:shd w:val="clear" w:color="auto" w:fill="FFFFFF"/>
        </w:rPr>
        <w:t>(English)". </w:t>
      </w:r>
      <w:r w:rsidRPr="005A3BB7">
        <w:rPr>
          <w:rFonts w:ascii="Arial" w:hAnsi="Arial" w:cs="Arial"/>
          <w:iCs/>
          <w:color w:val="000000"/>
          <w:sz w:val="18"/>
          <w:szCs w:val="18"/>
          <w:bdr w:val="none" w:sz="0" w:space="0" w:color="auto" w:frame="1"/>
          <w:shd w:val="clear" w:color="auto" w:fill="FFFFFF"/>
        </w:rPr>
        <w:t>Health Systems and Reform. -- Vol.4, no.4, (2018), pp. 279-283</w:t>
      </w:r>
      <w:r w:rsidRPr="005A3BB7">
        <w:rPr>
          <w:rFonts w:ascii="Arial" w:hAnsi="Arial" w:cs="Arial"/>
          <w:color w:val="000000"/>
          <w:sz w:val="18"/>
          <w:szCs w:val="18"/>
          <w:shd w:val="clear" w:color="auto" w:fill="FFFFFF"/>
        </w:rPr>
        <w:t xml:space="preserve">. </w:t>
      </w:r>
    </w:p>
    <w:p w14:paraId="5B780ACC" w14:textId="2743119F" w:rsidR="00BA2636" w:rsidRDefault="00BA2636" w:rsidP="003944CA">
      <w:pPr>
        <w:pStyle w:val="EndnoteText"/>
        <w:rPr>
          <w:rFonts w:ascii="Arial" w:hAnsi="Arial" w:cs="Arial"/>
          <w:sz w:val="18"/>
        </w:rPr>
      </w:pPr>
    </w:p>
    <w:p w14:paraId="5307CE9D" w14:textId="59CE2EEB" w:rsidR="00BA2636" w:rsidRPr="00BA2636" w:rsidRDefault="00BA2636" w:rsidP="00BA2636">
      <w:pPr>
        <w:rPr>
          <w:rStyle w:val="Hyperlink"/>
          <w:rFonts w:ascii="Arial" w:hAnsi="Arial" w:cs="Arial"/>
          <w:color w:val="auto"/>
          <w:sz w:val="18"/>
          <w:u w:val="none"/>
        </w:rPr>
      </w:pPr>
      <w:r w:rsidRPr="00BA2636">
        <w:rPr>
          <w:rFonts w:ascii="Arial" w:hAnsi="Arial" w:cs="Arial"/>
          <w:sz w:val="18"/>
        </w:rPr>
        <w:t>World Bank (2016). Tanzania’s Conditional Cash Transfer Program Helps Reduce Extreme Poverty.</w:t>
      </w:r>
      <w:r>
        <w:rPr>
          <w:rFonts w:ascii="Arial" w:hAnsi="Arial" w:cs="Arial"/>
          <w:sz w:val="18"/>
        </w:rPr>
        <w:t xml:space="preserve"> </w:t>
      </w:r>
      <w:r w:rsidRPr="00BA2636">
        <w:rPr>
          <w:rFonts w:ascii="Arial" w:hAnsi="Arial" w:cs="Arial"/>
          <w:sz w:val="18"/>
        </w:rPr>
        <w:t xml:space="preserve">Available at: </w:t>
      </w:r>
      <w:hyperlink r:id="rId76" w:history="1">
        <w:r w:rsidRPr="00BA2636">
          <w:rPr>
            <w:rStyle w:val="Hyperlink"/>
            <w:rFonts w:ascii="Arial" w:hAnsi="Arial" w:cs="Arial"/>
            <w:color w:val="000000" w:themeColor="text1"/>
            <w:sz w:val="18"/>
          </w:rPr>
          <w:t>http://www.worldbank.org/en/news/feature/2016/11/18/tanzanias-conditional-cash-transfer-program-helps-reduce-extreme-poverty</w:t>
        </w:r>
      </w:hyperlink>
    </w:p>
    <w:p w14:paraId="0800E364" w14:textId="25202442" w:rsidR="00A821ED" w:rsidRPr="00BA2636" w:rsidRDefault="00A821ED" w:rsidP="003944CA">
      <w:pPr>
        <w:spacing w:after="0"/>
        <w:rPr>
          <w:rFonts w:ascii="Arial" w:hAnsi="Arial" w:cs="Arial"/>
          <w:sz w:val="18"/>
        </w:rPr>
      </w:pPr>
    </w:p>
    <w:p w14:paraId="74FA12CE" w14:textId="77777777" w:rsidR="00BA2636" w:rsidRPr="00BA2636" w:rsidRDefault="00A821ED" w:rsidP="003944CA">
      <w:pPr>
        <w:spacing w:after="0"/>
        <w:rPr>
          <w:rFonts w:ascii="Arial" w:hAnsi="Arial" w:cs="Arial"/>
          <w:sz w:val="18"/>
        </w:rPr>
      </w:pPr>
      <w:r w:rsidRPr="00BA2636">
        <w:rPr>
          <w:rFonts w:ascii="Arial" w:hAnsi="Arial" w:cs="Arial"/>
          <w:sz w:val="18"/>
        </w:rPr>
        <w:t xml:space="preserve">World Health Organization (2018). Policy Brief: UPDATED RECOMMENDATIONS ON FIRST-LINE AND SECOND-LINE ANTIRETROVIRAL REGIMENS AND POST-EXPOSURE PROPHYLAXIS AND RECOMMENDATIONS ON EARLY INFANT DIAGNOSIS OF HIV. </w:t>
      </w:r>
    </w:p>
    <w:p w14:paraId="5D1BC2E7" w14:textId="5280EB67" w:rsidR="00A821ED" w:rsidRDefault="00040C2B" w:rsidP="003944CA">
      <w:pPr>
        <w:spacing w:after="0"/>
        <w:rPr>
          <w:rFonts w:ascii="Arial" w:hAnsi="Arial" w:cs="Arial"/>
          <w:sz w:val="18"/>
        </w:rPr>
      </w:pPr>
      <w:hyperlink r:id="rId77" w:history="1">
        <w:r w:rsidR="00BA2636" w:rsidRPr="00BA2636">
          <w:rPr>
            <w:rStyle w:val="Hyperlink"/>
            <w:rFonts w:ascii="Arial" w:hAnsi="Arial" w:cs="Arial"/>
            <w:sz w:val="18"/>
          </w:rPr>
          <w:t>https://apps.who.int/iris/bitstream/handle/10665/273632/WHO-CDS-HIV-18.18-eng.pdf?ua=1</w:t>
        </w:r>
      </w:hyperlink>
    </w:p>
    <w:p w14:paraId="36D3A350" w14:textId="702D062E" w:rsidR="00BA2636" w:rsidRDefault="00BA2636" w:rsidP="003944CA">
      <w:pPr>
        <w:spacing w:after="0"/>
        <w:rPr>
          <w:rFonts w:ascii="Arial" w:hAnsi="Arial" w:cs="Arial"/>
          <w:sz w:val="18"/>
        </w:rPr>
      </w:pPr>
    </w:p>
    <w:p w14:paraId="6065A2A9" w14:textId="13689ED1" w:rsidR="00BA2636" w:rsidRDefault="00BA2636" w:rsidP="00BA2636">
      <w:pPr>
        <w:spacing w:after="0"/>
        <w:rPr>
          <w:rFonts w:ascii="Arial" w:hAnsi="Arial" w:cs="Arial"/>
          <w:color w:val="000000"/>
          <w:sz w:val="17"/>
          <w:szCs w:val="17"/>
          <w:shd w:val="clear" w:color="auto" w:fill="FFFFFF"/>
        </w:rPr>
      </w:pPr>
      <w:r>
        <w:rPr>
          <w:rFonts w:ascii="Arial" w:hAnsi="Arial" w:cs="Arial"/>
          <w:sz w:val="18"/>
        </w:rPr>
        <w:t xml:space="preserve">Zheng et al (2018). </w:t>
      </w:r>
      <w:r w:rsidRPr="00BA2636">
        <w:rPr>
          <w:rFonts w:ascii="Arial" w:hAnsi="Arial" w:cs="Arial"/>
          <w:bCs/>
          <w:sz w:val="18"/>
        </w:rPr>
        <w:t>The cost-effectiveness and budgetary impact of a dolutegravir-based regimen as first-line treatment of HIV infection in India.</w:t>
      </w:r>
      <w:r>
        <w:rPr>
          <w:rFonts w:ascii="Arial" w:hAnsi="Arial" w:cs="Arial"/>
          <w:b/>
          <w:bCs/>
          <w:sz w:val="18"/>
        </w:rPr>
        <w:t xml:space="preserve"> </w:t>
      </w:r>
      <w:hyperlink r:id="rId78" w:tooltip="Journal of the International AIDS Society." w:history="1">
        <w:r w:rsidRPr="00585D67">
          <w:rPr>
            <w:rStyle w:val="Hyperlink"/>
            <w:rFonts w:ascii="Arial" w:hAnsi="Arial" w:cs="Arial"/>
            <w:color w:val="000000" w:themeColor="text1"/>
            <w:sz w:val="18"/>
            <w:szCs w:val="17"/>
            <w:u w:val="none"/>
            <w:shd w:val="clear" w:color="auto" w:fill="FFFFFF"/>
          </w:rPr>
          <w:t>J Int AIDS Soc</w:t>
        </w:r>
      </w:hyperlink>
      <w:r w:rsidRPr="00585D67">
        <w:rPr>
          <w:rFonts w:ascii="Arial" w:hAnsi="Arial" w:cs="Arial"/>
          <w:color w:val="000000"/>
          <w:sz w:val="18"/>
          <w:szCs w:val="17"/>
          <w:shd w:val="clear" w:color="auto" w:fill="FFFFFF"/>
        </w:rPr>
        <w:t xml:space="preserve"> :Mar;21(3):e25085.</w:t>
      </w:r>
    </w:p>
    <w:p w14:paraId="2FA16961" w14:textId="5E548395" w:rsidR="00585D67" w:rsidRDefault="00585D67" w:rsidP="00BA2636">
      <w:pPr>
        <w:spacing w:after="0"/>
        <w:rPr>
          <w:rFonts w:ascii="Arial" w:hAnsi="Arial" w:cs="Arial"/>
          <w:color w:val="000000"/>
          <w:sz w:val="17"/>
          <w:szCs w:val="17"/>
          <w:shd w:val="clear" w:color="auto" w:fill="FFFFFF"/>
        </w:rPr>
      </w:pPr>
    </w:p>
    <w:p w14:paraId="0A5315EA" w14:textId="56E67CCF" w:rsidR="00BA2636" w:rsidRPr="00BA2636" w:rsidRDefault="00BA2636" w:rsidP="003944CA">
      <w:pPr>
        <w:spacing w:after="0"/>
        <w:rPr>
          <w:rStyle w:val="Hyperlink"/>
          <w:rFonts w:ascii="Arial" w:hAnsi="Arial" w:cs="Arial"/>
          <w:sz w:val="18"/>
        </w:rPr>
      </w:pPr>
    </w:p>
    <w:p w14:paraId="05130A74" w14:textId="17FCC250" w:rsidR="0005165F" w:rsidRDefault="0005165F" w:rsidP="00C759BF">
      <w:pPr>
        <w:spacing w:after="0"/>
        <w:ind w:left="360"/>
        <w:rPr>
          <w:rStyle w:val="Hyperlink"/>
        </w:rPr>
      </w:pPr>
    </w:p>
    <w:p w14:paraId="56B72FA2" w14:textId="4CAB3903" w:rsidR="005A3BB7" w:rsidRDefault="005A3BB7" w:rsidP="00C759BF">
      <w:pPr>
        <w:spacing w:after="0"/>
        <w:ind w:left="360"/>
        <w:rPr>
          <w:rStyle w:val="Hyperlink"/>
        </w:rPr>
      </w:pPr>
    </w:p>
    <w:p w14:paraId="5FB6F5CA" w14:textId="77777777" w:rsidR="005A3BB7" w:rsidRDefault="005A3BB7" w:rsidP="00C759BF">
      <w:pPr>
        <w:spacing w:after="0"/>
        <w:ind w:left="360"/>
        <w:rPr>
          <w:rStyle w:val="Hyperlink"/>
        </w:rPr>
      </w:pPr>
    </w:p>
    <w:p w14:paraId="412E2B6F" w14:textId="77777777" w:rsidR="005A468B" w:rsidRPr="004714DA" w:rsidRDefault="005A468B" w:rsidP="00C759BF">
      <w:pPr>
        <w:pStyle w:val="m-1191621147464783095msolistparagraph"/>
        <w:shd w:val="clear" w:color="auto" w:fill="FFFFFF"/>
        <w:spacing w:before="0" w:beforeAutospacing="0" w:after="0" w:afterAutospacing="0" w:line="233" w:lineRule="atLeast"/>
        <w:rPr>
          <w:rFonts w:ascii="Calibri" w:hAnsi="Calibri" w:cs="Arial"/>
          <w:color w:val="222222"/>
          <w:sz w:val="22"/>
          <w:szCs w:val="22"/>
        </w:rPr>
      </w:pPr>
    </w:p>
    <w:p w14:paraId="04D6A893" w14:textId="77777777" w:rsidR="00BE1BB4" w:rsidRPr="004714DA" w:rsidRDefault="00BE1BB4" w:rsidP="00C759BF">
      <w:pPr>
        <w:pStyle w:val="m-1191621147464783095msolistparagraph"/>
        <w:shd w:val="clear" w:color="auto" w:fill="FFFFFF"/>
        <w:spacing w:before="0" w:beforeAutospacing="0" w:after="0" w:afterAutospacing="0" w:line="233" w:lineRule="atLeast"/>
        <w:ind w:left="720"/>
        <w:rPr>
          <w:rFonts w:asciiTheme="minorHAnsi" w:hAnsiTheme="minorHAnsi" w:cs="Arial"/>
          <w:color w:val="222222"/>
          <w:sz w:val="20"/>
          <w:szCs w:val="22"/>
        </w:rPr>
      </w:pPr>
    </w:p>
    <w:p w14:paraId="3E0CCA87" w14:textId="77777777" w:rsidR="00FE6572" w:rsidRPr="004714DA" w:rsidRDefault="00FE6572" w:rsidP="00C759BF">
      <w:pPr>
        <w:spacing w:after="0"/>
      </w:pPr>
    </w:p>
    <w:sectPr w:rsidR="00FE6572" w:rsidRPr="004714DA" w:rsidSect="00650F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D11C4" w14:textId="77777777" w:rsidR="00040C2B" w:rsidRDefault="00040C2B" w:rsidP="0029141E">
      <w:pPr>
        <w:spacing w:after="0" w:line="240" w:lineRule="auto"/>
      </w:pPr>
      <w:r>
        <w:separator/>
      </w:r>
    </w:p>
  </w:endnote>
  <w:endnote w:type="continuationSeparator" w:id="0">
    <w:p w14:paraId="6029044D" w14:textId="77777777" w:rsidR="00040C2B" w:rsidRDefault="00040C2B" w:rsidP="00291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491402"/>
      <w:docPartObj>
        <w:docPartGallery w:val="Page Numbers (Bottom of Page)"/>
        <w:docPartUnique/>
      </w:docPartObj>
    </w:sdtPr>
    <w:sdtEndPr>
      <w:rPr>
        <w:rFonts w:ascii="Arial" w:hAnsi="Arial" w:cs="Arial"/>
        <w:noProof/>
      </w:rPr>
    </w:sdtEndPr>
    <w:sdtContent>
      <w:p w14:paraId="7640DBAB" w14:textId="3AB16D94" w:rsidR="00426F25" w:rsidRPr="005A3BB7" w:rsidRDefault="00426F25">
        <w:pPr>
          <w:pStyle w:val="Footer"/>
          <w:jc w:val="right"/>
          <w:rPr>
            <w:rFonts w:ascii="Arial" w:hAnsi="Arial" w:cs="Arial"/>
          </w:rPr>
        </w:pPr>
        <w:r w:rsidRPr="005A3BB7">
          <w:rPr>
            <w:rFonts w:ascii="Arial" w:hAnsi="Arial" w:cs="Arial"/>
          </w:rPr>
          <w:fldChar w:fldCharType="begin"/>
        </w:r>
        <w:r w:rsidRPr="005A3BB7">
          <w:rPr>
            <w:rFonts w:ascii="Arial" w:hAnsi="Arial" w:cs="Arial"/>
          </w:rPr>
          <w:instrText xml:space="preserve"> PAGE   \* MERGEFORMAT </w:instrText>
        </w:r>
        <w:r w:rsidRPr="005A3BB7">
          <w:rPr>
            <w:rFonts w:ascii="Arial" w:hAnsi="Arial" w:cs="Arial"/>
          </w:rPr>
          <w:fldChar w:fldCharType="separate"/>
        </w:r>
        <w:r w:rsidR="00653B24">
          <w:rPr>
            <w:rFonts w:ascii="Arial" w:hAnsi="Arial" w:cs="Arial"/>
            <w:noProof/>
          </w:rPr>
          <w:t>2</w:t>
        </w:r>
        <w:r w:rsidRPr="005A3BB7">
          <w:rPr>
            <w:rFonts w:ascii="Arial" w:hAnsi="Arial" w:cs="Arial"/>
            <w:noProof/>
          </w:rPr>
          <w:fldChar w:fldCharType="end"/>
        </w:r>
      </w:p>
    </w:sdtContent>
  </w:sdt>
  <w:p w14:paraId="67BA0A67" w14:textId="77777777" w:rsidR="00426F25" w:rsidRDefault="00426F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323DF" w14:textId="77777777" w:rsidR="00040C2B" w:rsidRDefault="00040C2B" w:rsidP="0029141E">
      <w:pPr>
        <w:spacing w:after="0" w:line="240" w:lineRule="auto"/>
      </w:pPr>
      <w:r>
        <w:separator/>
      </w:r>
    </w:p>
  </w:footnote>
  <w:footnote w:type="continuationSeparator" w:id="0">
    <w:p w14:paraId="683D420D" w14:textId="77777777" w:rsidR="00040C2B" w:rsidRDefault="00040C2B" w:rsidP="0029141E">
      <w:pPr>
        <w:spacing w:after="0" w:line="240" w:lineRule="auto"/>
      </w:pPr>
      <w:r>
        <w:continuationSeparator/>
      </w:r>
    </w:p>
  </w:footnote>
  <w:footnote w:id="1">
    <w:p w14:paraId="393A9DF4" w14:textId="4595F08D" w:rsidR="00426F25" w:rsidRPr="00276364" w:rsidRDefault="00426F25">
      <w:pPr>
        <w:pStyle w:val="FootnoteText"/>
        <w:rPr>
          <w:rFonts w:ascii="Arial" w:hAnsi="Arial" w:cs="Arial"/>
        </w:rPr>
      </w:pPr>
      <w:r w:rsidRPr="00276364">
        <w:rPr>
          <w:rStyle w:val="FootnoteReference"/>
          <w:rFonts w:ascii="Arial" w:hAnsi="Arial" w:cs="Arial"/>
          <w:sz w:val="16"/>
          <w:szCs w:val="16"/>
        </w:rPr>
        <w:footnoteRef/>
      </w:r>
      <w:r w:rsidRPr="00276364">
        <w:rPr>
          <w:rFonts w:ascii="Arial" w:hAnsi="Arial" w:cs="Arial"/>
          <w:sz w:val="16"/>
          <w:szCs w:val="16"/>
        </w:rPr>
        <w:t xml:space="preserve"> There are about 9 M AGYW in Tanzania.</w:t>
      </w:r>
    </w:p>
  </w:footnote>
  <w:footnote w:id="2">
    <w:p w14:paraId="1212EA72" w14:textId="77777777" w:rsidR="00426F25" w:rsidRPr="00B604EB" w:rsidRDefault="00426F25" w:rsidP="00A36AD2">
      <w:pPr>
        <w:pStyle w:val="FootnoteText"/>
        <w:rPr>
          <w:lang w:val="en-ZA"/>
        </w:rPr>
      </w:pPr>
      <w:r w:rsidRPr="008544A5">
        <w:rPr>
          <w:rStyle w:val="FootnoteReference"/>
          <w:sz w:val="18"/>
        </w:rPr>
        <w:footnoteRef/>
      </w:r>
      <w:r w:rsidRPr="008544A5">
        <w:rPr>
          <w:sz w:val="18"/>
        </w:rPr>
        <w:t xml:space="preserve"> </w:t>
      </w:r>
      <w:r w:rsidRPr="000A1997">
        <w:rPr>
          <w:rFonts w:ascii="Arial" w:hAnsi="Arial" w:cs="Arial"/>
          <w:sz w:val="16"/>
          <w:lang w:val="en-ZA"/>
        </w:rPr>
        <w:t>The significant difference between the 2015/16 expenditure and the January to December 2016 figure is due to significant expenditure in the second half of 2016 on treatment care and support included in the 2016 calendar year but excluded from the 2015/16 fiscal year.</w:t>
      </w:r>
      <w:r w:rsidRPr="000A1997">
        <w:rPr>
          <w:sz w:val="16"/>
          <w:lang w:val="en-ZA"/>
        </w:rPr>
        <w:t xml:space="preserve"> </w:t>
      </w:r>
    </w:p>
  </w:footnote>
  <w:footnote w:id="3">
    <w:p w14:paraId="6E7B1A52" w14:textId="65BB457B" w:rsidR="00426F25" w:rsidRPr="000E7E9D" w:rsidRDefault="00426F25">
      <w:pPr>
        <w:pStyle w:val="FootnoteText"/>
        <w:rPr>
          <w:rFonts w:ascii="Arial" w:hAnsi="Arial" w:cs="Arial"/>
        </w:rPr>
      </w:pPr>
      <w:r w:rsidRPr="000E7E9D">
        <w:rPr>
          <w:rStyle w:val="FootnoteReference"/>
          <w:rFonts w:ascii="Arial" w:hAnsi="Arial" w:cs="Arial"/>
          <w:sz w:val="18"/>
        </w:rPr>
        <w:footnoteRef/>
      </w:r>
      <w:r w:rsidRPr="000E7E9D">
        <w:rPr>
          <w:rFonts w:ascii="Arial" w:hAnsi="Arial" w:cs="Arial"/>
          <w:sz w:val="18"/>
        </w:rPr>
        <w:t xml:space="preserve"> This figure was not explicitly reported but was calculated based on other assumptions</w:t>
      </w:r>
    </w:p>
  </w:footnote>
  <w:footnote w:id="4">
    <w:p w14:paraId="7F3B4818" w14:textId="77777777" w:rsidR="00426F25" w:rsidRDefault="00426F25" w:rsidP="00D00B15">
      <w:pPr>
        <w:pStyle w:val="FootnoteText"/>
      </w:pPr>
      <w:r w:rsidRPr="00993DF6">
        <w:rPr>
          <w:rStyle w:val="FootnoteReference"/>
          <w:rFonts w:ascii="Arial" w:hAnsi="Arial" w:cs="Arial"/>
        </w:rPr>
        <w:footnoteRef/>
      </w:r>
      <w:r w:rsidRPr="00993DF6">
        <w:rPr>
          <w:rFonts w:ascii="Arial" w:hAnsi="Arial" w:cs="Arial"/>
        </w:rPr>
        <w:t xml:space="preserve"> </w:t>
      </w:r>
      <w:r w:rsidRPr="00993DF6">
        <w:rPr>
          <w:rFonts w:ascii="Arial" w:hAnsi="Arial" w:cs="Arial"/>
          <w:sz w:val="16"/>
        </w:rPr>
        <w:t>I</w:t>
      </w:r>
      <w:r w:rsidRPr="00D00B15">
        <w:rPr>
          <w:rFonts w:ascii="Arial" w:hAnsi="Arial" w:cs="Arial"/>
          <w:sz w:val="16"/>
        </w:rPr>
        <w:t>n a SIB an investor (a donor or private sector organization) provides upfront financing to a service provider for implementing pre-determined interventions. If the desired outputs and outcomes are achieved, the investor is reimbursed by a paying organization which could be a donor or government.</w:t>
      </w:r>
    </w:p>
  </w:footnote>
  <w:footnote w:id="5">
    <w:p w14:paraId="0A95BB8E" w14:textId="41C45894" w:rsidR="00426F25" w:rsidRPr="00873E3B" w:rsidRDefault="00426F25" w:rsidP="00873E3B">
      <w:pPr>
        <w:spacing w:after="0" w:line="256" w:lineRule="auto"/>
        <w:rPr>
          <w:rFonts w:ascii="Arial" w:hAnsi="Arial" w:cs="Arial"/>
          <w:sz w:val="16"/>
          <w:szCs w:val="16"/>
        </w:rPr>
      </w:pPr>
      <w:r w:rsidRPr="00873E3B">
        <w:rPr>
          <w:rStyle w:val="FootnoteReference"/>
          <w:rFonts w:ascii="Arial" w:hAnsi="Arial" w:cs="Arial"/>
          <w:sz w:val="16"/>
          <w:szCs w:val="16"/>
        </w:rPr>
        <w:footnoteRef/>
      </w:r>
      <w:r w:rsidRPr="00873E3B">
        <w:rPr>
          <w:rFonts w:ascii="Arial" w:hAnsi="Arial" w:cs="Arial"/>
          <w:sz w:val="16"/>
          <w:szCs w:val="16"/>
        </w:rPr>
        <w:t>Unfortunately, the cash transfer program in Tanzania shows no evidence of impact on sexual behavior (TASAF, 2018)</w:t>
      </w:r>
    </w:p>
    <w:p w14:paraId="77E0AE21" w14:textId="6C4412E5" w:rsidR="00426F25" w:rsidRDefault="00426F25">
      <w:pPr>
        <w:pStyle w:val="FootnoteText"/>
      </w:pPr>
    </w:p>
  </w:footnote>
  <w:footnote w:id="6">
    <w:p w14:paraId="40746994" w14:textId="7F92F6D7" w:rsidR="00426F25" w:rsidRPr="00BA2636" w:rsidRDefault="00426F25" w:rsidP="00AC4829">
      <w:pPr>
        <w:pStyle w:val="FootnoteText"/>
        <w:rPr>
          <w:rFonts w:ascii="Arial" w:hAnsi="Arial" w:cs="Arial"/>
          <w:sz w:val="16"/>
          <w:szCs w:val="16"/>
        </w:rPr>
      </w:pPr>
      <w:r w:rsidRPr="00BA2636">
        <w:rPr>
          <w:rStyle w:val="FootnoteReference"/>
          <w:rFonts w:ascii="Arial" w:hAnsi="Arial" w:cs="Arial"/>
          <w:sz w:val="16"/>
          <w:szCs w:val="16"/>
        </w:rPr>
        <w:footnoteRef/>
      </w:r>
      <w:r w:rsidRPr="00BA2636">
        <w:rPr>
          <w:rFonts w:ascii="Arial" w:hAnsi="Arial" w:cs="Arial"/>
          <w:sz w:val="16"/>
          <w:szCs w:val="16"/>
        </w:rPr>
        <w:t xml:space="preserve"> Based on data from </w:t>
      </w:r>
      <w:r>
        <w:rPr>
          <w:rFonts w:ascii="Arial" w:hAnsi="Arial" w:cs="Arial"/>
          <w:sz w:val="16"/>
          <w:szCs w:val="16"/>
        </w:rPr>
        <w:t>TACAIDS and UNAIDS (2016). Investment Case Reference Report</w:t>
      </w:r>
    </w:p>
  </w:footnote>
  <w:footnote w:id="7">
    <w:p w14:paraId="49A5E6E0" w14:textId="77777777" w:rsidR="00426F25" w:rsidRPr="00BA2636" w:rsidRDefault="00426F25" w:rsidP="00AC4829">
      <w:pPr>
        <w:pStyle w:val="FootnoteText"/>
        <w:rPr>
          <w:rFonts w:ascii="Arial" w:hAnsi="Arial" w:cs="Arial"/>
          <w:sz w:val="16"/>
          <w:szCs w:val="16"/>
        </w:rPr>
      </w:pPr>
      <w:r w:rsidRPr="00BA2636">
        <w:rPr>
          <w:rStyle w:val="FootnoteReference"/>
          <w:rFonts w:ascii="Arial" w:hAnsi="Arial" w:cs="Arial"/>
          <w:sz w:val="16"/>
          <w:szCs w:val="16"/>
        </w:rPr>
        <w:footnoteRef/>
      </w:r>
      <w:r w:rsidRPr="00BA2636">
        <w:rPr>
          <w:rFonts w:ascii="Arial" w:hAnsi="Arial" w:cs="Arial"/>
          <w:sz w:val="16"/>
          <w:szCs w:val="16"/>
        </w:rPr>
        <w:t xml:space="preserve"> Assumed 70% of patients were stable (Forsythe et al 2016)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373"/>
    <w:multiLevelType w:val="hybridMultilevel"/>
    <w:tmpl w:val="4E78D47E"/>
    <w:lvl w:ilvl="0" w:tplc="97A04FC0">
      <w:numFmt w:val="bullet"/>
      <w:lvlText w:val="•"/>
      <w:lvlJc w:val="left"/>
      <w:pPr>
        <w:ind w:left="7830" w:hanging="720"/>
      </w:pPr>
      <w:rPr>
        <w:rFonts w:ascii="Calibri" w:eastAsiaTheme="minorHAnsi" w:hAnsi="Calibri" w:cs="Calibri" w:hint="default"/>
      </w:rPr>
    </w:lvl>
    <w:lvl w:ilvl="1" w:tplc="1C090003">
      <w:start w:val="1"/>
      <w:numFmt w:val="bullet"/>
      <w:lvlText w:val="o"/>
      <w:lvlJc w:val="left"/>
      <w:pPr>
        <w:ind w:left="8190" w:hanging="360"/>
      </w:pPr>
      <w:rPr>
        <w:rFonts w:ascii="Courier New" w:hAnsi="Courier New" w:cs="Courier New" w:hint="default"/>
      </w:rPr>
    </w:lvl>
    <w:lvl w:ilvl="2" w:tplc="1C090005">
      <w:start w:val="1"/>
      <w:numFmt w:val="bullet"/>
      <w:lvlText w:val=""/>
      <w:lvlJc w:val="left"/>
      <w:pPr>
        <w:ind w:left="8910" w:hanging="360"/>
      </w:pPr>
      <w:rPr>
        <w:rFonts w:ascii="Wingdings" w:hAnsi="Wingdings" w:hint="default"/>
      </w:rPr>
    </w:lvl>
    <w:lvl w:ilvl="3" w:tplc="1C090001">
      <w:start w:val="1"/>
      <w:numFmt w:val="bullet"/>
      <w:lvlText w:val=""/>
      <w:lvlJc w:val="left"/>
      <w:pPr>
        <w:ind w:left="9630" w:hanging="360"/>
      </w:pPr>
      <w:rPr>
        <w:rFonts w:ascii="Symbol" w:hAnsi="Symbol" w:hint="default"/>
      </w:rPr>
    </w:lvl>
    <w:lvl w:ilvl="4" w:tplc="1C090003">
      <w:start w:val="1"/>
      <w:numFmt w:val="bullet"/>
      <w:lvlText w:val="o"/>
      <w:lvlJc w:val="left"/>
      <w:pPr>
        <w:ind w:left="10350" w:hanging="360"/>
      </w:pPr>
      <w:rPr>
        <w:rFonts w:ascii="Courier New" w:hAnsi="Courier New" w:cs="Courier New" w:hint="default"/>
      </w:rPr>
    </w:lvl>
    <w:lvl w:ilvl="5" w:tplc="1C090005">
      <w:start w:val="1"/>
      <w:numFmt w:val="bullet"/>
      <w:lvlText w:val=""/>
      <w:lvlJc w:val="left"/>
      <w:pPr>
        <w:ind w:left="11070" w:hanging="360"/>
      </w:pPr>
      <w:rPr>
        <w:rFonts w:ascii="Wingdings" w:hAnsi="Wingdings" w:hint="default"/>
      </w:rPr>
    </w:lvl>
    <w:lvl w:ilvl="6" w:tplc="1C090001">
      <w:start w:val="1"/>
      <w:numFmt w:val="bullet"/>
      <w:lvlText w:val=""/>
      <w:lvlJc w:val="left"/>
      <w:pPr>
        <w:ind w:left="11790" w:hanging="360"/>
      </w:pPr>
      <w:rPr>
        <w:rFonts w:ascii="Symbol" w:hAnsi="Symbol" w:hint="default"/>
      </w:rPr>
    </w:lvl>
    <w:lvl w:ilvl="7" w:tplc="1C090003">
      <w:start w:val="1"/>
      <w:numFmt w:val="bullet"/>
      <w:lvlText w:val="o"/>
      <w:lvlJc w:val="left"/>
      <w:pPr>
        <w:ind w:left="12510" w:hanging="360"/>
      </w:pPr>
      <w:rPr>
        <w:rFonts w:ascii="Courier New" w:hAnsi="Courier New" w:cs="Courier New" w:hint="default"/>
      </w:rPr>
    </w:lvl>
    <w:lvl w:ilvl="8" w:tplc="1C090005">
      <w:start w:val="1"/>
      <w:numFmt w:val="bullet"/>
      <w:lvlText w:val=""/>
      <w:lvlJc w:val="left"/>
      <w:pPr>
        <w:ind w:left="13230" w:hanging="360"/>
      </w:pPr>
      <w:rPr>
        <w:rFonts w:ascii="Wingdings" w:hAnsi="Wingdings" w:hint="default"/>
      </w:rPr>
    </w:lvl>
  </w:abstractNum>
  <w:abstractNum w:abstractNumId="1" w15:restartNumberingAfterBreak="0">
    <w:nsid w:val="04740323"/>
    <w:multiLevelType w:val="hybridMultilevel"/>
    <w:tmpl w:val="1F02E32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04DB68EB"/>
    <w:multiLevelType w:val="hybridMultilevel"/>
    <w:tmpl w:val="13EEF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946ED"/>
    <w:multiLevelType w:val="hybridMultilevel"/>
    <w:tmpl w:val="5E545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5106F9"/>
    <w:multiLevelType w:val="hybridMultilevel"/>
    <w:tmpl w:val="6D34B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CE6C46"/>
    <w:multiLevelType w:val="hybridMultilevel"/>
    <w:tmpl w:val="3052337C"/>
    <w:lvl w:ilvl="0" w:tplc="6EB8F178">
      <w:start w:val="1"/>
      <w:numFmt w:val="bullet"/>
      <w:lvlText w:val=""/>
      <w:lvlJc w:val="left"/>
      <w:pPr>
        <w:tabs>
          <w:tab w:val="num" w:pos="720"/>
        </w:tabs>
        <w:ind w:left="720" w:hanging="360"/>
      </w:pPr>
      <w:rPr>
        <w:rFonts w:ascii="Symbol" w:hAnsi="Symbol" w:hint="default"/>
      </w:rPr>
    </w:lvl>
    <w:lvl w:ilvl="1" w:tplc="15E08664" w:tentative="1">
      <w:start w:val="1"/>
      <w:numFmt w:val="bullet"/>
      <w:lvlText w:val=""/>
      <w:lvlJc w:val="left"/>
      <w:pPr>
        <w:tabs>
          <w:tab w:val="num" w:pos="1440"/>
        </w:tabs>
        <w:ind w:left="1440" w:hanging="360"/>
      </w:pPr>
      <w:rPr>
        <w:rFonts w:ascii="Symbol" w:hAnsi="Symbol" w:hint="default"/>
      </w:rPr>
    </w:lvl>
    <w:lvl w:ilvl="2" w:tplc="28048AAC" w:tentative="1">
      <w:start w:val="1"/>
      <w:numFmt w:val="bullet"/>
      <w:lvlText w:val=""/>
      <w:lvlJc w:val="left"/>
      <w:pPr>
        <w:tabs>
          <w:tab w:val="num" w:pos="2160"/>
        </w:tabs>
        <w:ind w:left="2160" w:hanging="360"/>
      </w:pPr>
      <w:rPr>
        <w:rFonts w:ascii="Symbol" w:hAnsi="Symbol" w:hint="default"/>
      </w:rPr>
    </w:lvl>
    <w:lvl w:ilvl="3" w:tplc="81C29464" w:tentative="1">
      <w:start w:val="1"/>
      <w:numFmt w:val="bullet"/>
      <w:lvlText w:val=""/>
      <w:lvlJc w:val="left"/>
      <w:pPr>
        <w:tabs>
          <w:tab w:val="num" w:pos="2880"/>
        </w:tabs>
        <w:ind w:left="2880" w:hanging="360"/>
      </w:pPr>
      <w:rPr>
        <w:rFonts w:ascii="Symbol" w:hAnsi="Symbol" w:hint="default"/>
      </w:rPr>
    </w:lvl>
    <w:lvl w:ilvl="4" w:tplc="534AC12E" w:tentative="1">
      <w:start w:val="1"/>
      <w:numFmt w:val="bullet"/>
      <w:lvlText w:val=""/>
      <w:lvlJc w:val="left"/>
      <w:pPr>
        <w:tabs>
          <w:tab w:val="num" w:pos="3600"/>
        </w:tabs>
        <w:ind w:left="3600" w:hanging="360"/>
      </w:pPr>
      <w:rPr>
        <w:rFonts w:ascii="Symbol" w:hAnsi="Symbol" w:hint="default"/>
      </w:rPr>
    </w:lvl>
    <w:lvl w:ilvl="5" w:tplc="9D241912" w:tentative="1">
      <w:start w:val="1"/>
      <w:numFmt w:val="bullet"/>
      <w:lvlText w:val=""/>
      <w:lvlJc w:val="left"/>
      <w:pPr>
        <w:tabs>
          <w:tab w:val="num" w:pos="4320"/>
        </w:tabs>
        <w:ind w:left="4320" w:hanging="360"/>
      </w:pPr>
      <w:rPr>
        <w:rFonts w:ascii="Symbol" w:hAnsi="Symbol" w:hint="default"/>
      </w:rPr>
    </w:lvl>
    <w:lvl w:ilvl="6" w:tplc="0CEAC3E2" w:tentative="1">
      <w:start w:val="1"/>
      <w:numFmt w:val="bullet"/>
      <w:lvlText w:val=""/>
      <w:lvlJc w:val="left"/>
      <w:pPr>
        <w:tabs>
          <w:tab w:val="num" w:pos="5040"/>
        </w:tabs>
        <w:ind w:left="5040" w:hanging="360"/>
      </w:pPr>
      <w:rPr>
        <w:rFonts w:ascii="Symbol" w:hAnsi="Symbol" w:hint="default"/>
      </w:rPr>
    </w:lvl>
    <w:lvl w:ilvl="7" w:tplc="6C0EF7A6" w:tentative="1">
      <w:start w:val="1"/>
      <w:numFmt w:val="bullet"/>
      <w:lvlText w:val=""/>
      <w:lvlJc w:val="left"/>
      <w:pPr>
        <w:tabs>
          <w:tab w:val="num" w:pos="5760"/>
        </w:tabs>
        <w:ind w:left="5760" w:hanging="360"/>
      </w:pPr>
      <w:rPr>
        <w:rFonts w:ascii="Symbol" w:hAnsi="Symbol" w:hint="default"/>
      </w:rPr>
    </w:lvl>
    <w:lvl w:ilvl="8" w:tplc="2E04AEB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150586A"/>
    <w:multiLevelType w:val="hybridMultilevel"/>
    <w:tmpl w:val="53125CDA"/>
    <w:lvl w:ilvl="0" w:tplc="894EEEA6">
      <w:start w:val="1"/>
      <w:numFmt w:val="bullet"/>
      <w:lvlText w:val="•"/>
      <w:lvlJc w:val="left"/>
      <w:pPr>
        <w:tabs>
          <w:tab w:val="num" w:pos="360"/>
        </w:tabs>
        <w:ind w:left="360" w:hanging="360"/>
      </w:pPr>
      <w:rPr>
        <w:rFonts w:ascii="Arial" w:hAnsi="Arial" w:hint="default"/>
      </w:rPr>
    </w:lvl>
    <w:lvl w:ilvl="1" w:tplc="FE00FE1C">
      <w:start w:val="565"/>
      <w:numFmt w:val="bullet"/>
      <w:lvlText w:val="•"/>
      <w:lvlJc w:val="left"/>
      <w:pPr>
        <w:tabs>
          <w:tab w:val="num" w:pos="1080"/>
        </w:tabs>
        <w:ind w:left="1080" w:hanging="360"/>
      </w:pPr>
      <w:rPr>
        <w:rFonts w:ascii="Arial" w:hAnsi="Arial" w:hint="default"/>
      </w:rPr>
    </w:lvl>
    <w:lvl w:ilvl="2" w:tplc="0B9CA710" w:tentative="1">
      <w:start w:val="1"/>
      <w:numFmt w:val="bullet"/>
      <w:lvlText w:val="•"/>
      <w:lvlJc w:val="left"/>
      <w:pPr>
        <w:tabs>
          <w:tab w:val="num" w:pos="1800"/>
        </w:tabs>
        <w:ind w:left="1800" w:hanging="360"/>
      </w:pPr>
      <w:rPr>
        <w:rFonts w:ascii="Arial" w:hAnsi="Arial" w:hint="default"/>
      </w:rPr>
    </w:lvl>
    <w:lvl w:ilvl="3" w:tplc="A76E9B82" w:tentative="1">
      <w:start w:val="1"/>
      <w:numFmt w:val="bullet"/>
      <w:lvlText w:val="•"/>
      <w:lvlJc w:val="left"/>
      <w:pPr>
        <w:tabs>
          <w:tab w:val="num" w:pos="2520"/>
        </w:tabs>
        <w:ind w:left="2520" w:hanging="360"/>
      </w:pPr>
      <w:rPr>
        <w:rFonts w:ascii="Arial" w:hAnsi="Arial" w:hint="default"/>
      </w:rPr>
    </w:lvl>
    <w:lvl w:ilvl="4" w:tplc="445E4942" w:tentative="1">
      <w:start w:val="1"/>
      <w:numFmt w:val="bullet"/>
      <w:lvlText w:val="•"/>
      <w:lvlJc w:val="left"/>
      <w:pPr>
        <w:tabs>
          <w:tab w:val="num" w:pos="3240"/>
        </w:tabs>
        <w:ind w:left="3240" w:hanging="360"/>
      </w:pPr>
      <w:rPr>
        <w:rFonts w:ascii="Arial" w:hAnsi="Arial" w:hint="default"/>
      </w:rPr>
    </w:lvl>
    <w:lvl w:ilvl="5" w:tplc="D11CCD06" w:tentative="1">
      <w:start w:val="1"/>
      <w:numFmt w:val="bullet"/>
      <w:lvlText w:val="•"/>
      <w:lvlJc w:val="left"/>
      <w:pPr>
        <w:tabs>
          <w:tab w:val="num" w:pos="3960"/>
        </w:tabs>
        <w:ind w:left="3960" w:hanging="360"/>
      </w:pPr>
      <w:rPr>
        <w:rFonts w:ascii="Arial" w:hAnsi="Arial" w:hint="default"/>
      </w:rPr>
    </w:lvl>
    <w:lvl w:ilvl="6" w:tplc="1D105E9E" w:tentative="1">
      <w:start w:val="1"/>
      <w:numFmt w:val="bullet"/>
      <w:lvlText w:val="•"/>
      <w:lvlJc w:val="left"/>
      <w:pPr>
        <w:tabs>
          <w:tab w:val="num" w:pos="4680"/>
        </w:tabs>
        <w:ind w:left="4680" w:hanging="360"/>
      </w:pPr>
      <w:rPr>
        <w:rFonts w:ascii="Arial" w:hAnsi="Arial" w:hint="default"/>
      </w:rPr>
    </w:lvl>
    <w:lvl w:ilvl="7" w:tplc="278214D2" w:tentative="1">
      <w:start w:val="1"/>
      <w:numFmt w:val="bullet"/>
      <w:lvlText w:val="•"/>
      <w:lvlJc w:val="left"/>
      <w:pPr>
        <w:tabs>
          <w:tab w:val="num" w:pos="5400"/>
        </w:tabs>
        <w:ind w:left="5400" w:hanging="360"/>
      </w:pPr>
      <w:rPr>
        <w:rFonts w:ascii="Arial" w:hAnsi="Arial" w:hint="default"/>
      </w:rPr>
    </w:lvl>
    <w:lvl w:ilvl="8" w:tplc="12886BB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2987FB6"/>
    <w:multiLevelType w:val="hybridMultilevel"/>
    <w:tmpl w:val="4F307D22"/>
    <w:lvl w:ilvl="0" w:tplc="AFEC6BA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60985"/>
    <w:multiLevelType w:val="hybridMultilevel"/>
    <w:tmpl w:val="D60643E6"/>
    <w:lvl w:ilvl="0" w:tplc="359E7398">
      <w:start w:val="1"/>
      <w:numFmt w:val="bullet"/>
      <w:lvlText w:val="•"/>
      <w:lvlJc w:val="left"/>
      <w:pPr>
        <w:tabs>
          <w:tab w:val="num" w:pos="720"/>
        </w:tabs>
        <w:ind w:left="720" w:hanging="360"/>
      </w:pPr>
      <w:rPr>
        <w:rFonts w:ascii="Arial" w:hAnsi="Arial" w:hint="default"/>
      </w:rPr>
    </w:lvl>
    <w:lvl w:ilvl="1" w:tplc="FF74BC32" w:tentative="1">
      <w:start w:val="1"/>
      <w:numFmt w:val="bullet"/>
      <w:lvlText w:val="•"/>
      <w:lvlJc w:val="left"/>
      <w:pPr>
        <w:tabs>
          <w:tab w:val="num" w:pos="1440"/>
        </w:tabs>
        <w:ind w:left="1440" w:hanging="360"/>
      </w:pPr>
      <w:rPr>
        <w:rFonts w:ascii="Arial" w:hAnsi="Arial" w:hint="default"/>
      </w:rPr>
    </w:lvl>
    <w:lvl w:ilvl="2" w:tplc="58C017DA" w:tentative="1">
      <w:start w:val="1"/>
      <w:numFmt w:val="bullet"/>
      <w:lvlText w:val="•"/>
      <w:lvlJc w:val="left"/>
      <w:pPr>
        <w:tabs>
          <w:tab w:val="num" w:pos="2160"/>
        </w:tabs>
        <w:ind w:left="2160" w:hanging="360"/>
      </w:pPr>
      <w:rPr>
        <w:rFonts w:ascii="Arial" w:hAnsi="Arial" w:hint="default"/>
      </w:rPr>
    </w:lvl>
    <w:lvl w:ilvl="3" w:tplc="4A1C73C0" w:tentative="1">
      <w:start w:val="1"/>
      <w:numFmt w:val="bullet"/>
      <w:lvlText w:val="•"/>
      <w:lvlJc w:val="left"/>
      <w:pPr>
        <w:tabs>
          <w:tab w:val="num" w:pos="2880"/>
        </w:tabs>
        <w:ind w:left="2880" w:hanging="360"/>
      </w:pPr>
      <w:rPr>
        <w:rFonts w:ascii="Arial" w:hAnsi="Arial" w:hint="default"/>
      </w:rPr>
    </w:lvl>
    <w:lvl w:ilvl="4" w:tplc="059A28A2" w:tentative="1">
      <w:start w:val="1"/>
      <w:numFmt w:val="bullet"/>
      <w:lvlText w:val="•"/>
      <w:lvlJc w:val="left"/>
      <w:pPr>
        <w:tabs>
          <w:tab w:val="num" w:pos="3600"/>
        </w:tabs>
        <w:ind w:left="3600" w:hanging="360"/>
      </w:pPr>
      <w:rPr>
        <w:rFonts w:ascii="Arial" w:hAnsi="Arial" w:hint="default"/>
      </w:rPr>
    </w:lvl>
    <w:lvl w:ilvl="5" w:tplc="4A3E9646" w:tentative="1">
      <w:start w:val="1"/>
      <w:numFmt w:val="bullet"/>
      <w:lvlText w:val="•"/>
      <w:lvlJc w:val="left"/>
      <w:pPr>
        <w:tabs>
          <w:tab w:val="num" w:pos="4320"/>
        </w:tabs>
        <w:ind w:left="4320" w:hanging="360"/>
      </w:pPr>
      <w:rPr>
        <w:rFonts w:ascii="Arial" w:hAnsi="Arial" w:hint="default"/>
      </w:rPr>
    </w:lvl>
    <w:lvl w:ilvl="6" w:tplc="79843B0C" w:tentative="1">
      <w:start w:val="1"/>
      <w:numFmt w:val="bullet"/>
      <w:lvlText w:val="•"/>
      <w:lvlJc w:val="left"/>
      <w:pPr>
        <w:tabs>
          <w:tab w:val="num" w:pos="5040"/>
        </w:tabs>
        <w:ind w:left="5040" w:hanging="360"/>
      </w:pPr>
      <w:rPr>
        <w:rFonts w:ascii="Arial" w:hAnsi="Arial" w:hint="default"/>
      </w:rPr>
    </w:lvl>
    <w:lvl w:ilvl="7" w:tplc="AEA2216A" w:tentative="1">
      <w:start w:val="1"/>
      <w:numFmt w:val="bullet"/>
      <w:lvlText w:val="•"/>
      <w:lvlJc w:val="left"/>
      <w:pPr>
        <w:tabs>
          <w:tab w:val="num" w:pos="5760"/>
        </w:tabs>
        <w:ind w:left="5760" w:hanging="360"/>
      </w:pPr>
      <w:rPr>
        <w:rFonts w:ascii="Arial" w:hAnsi="Arial" w:hint="default"/>
      </w:rPr>
    </w:lvl>
    <w:lvl w:ilvl="8" w:tplc="38DE1D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B1647D"/>
    <w:multiLevelType w:val="hybridMultilevel"/>
    <w:tmpl w:val="C71C2234"/>
    <w:lvl w:ilvl="0" w:tplc="A5647C2A">
      <w:start w:val="1"/>
      <w:numFmt w:val="bullet"/>
      <w:lvlText w:val="•"/>
      <w:lvlJc w:val="left"/>
      <w:pPr>
        <w:tabs>
          <w:tab w:val="num" w:pos="720"/>
        </w:tabs>
        <w:ind w:left="720" w:hanging="360"/>
      </w:pPr>
      <w:rPr>
        <w:rFonts w:ascii="Arial" w:hAnsi="Arial" w:hint="default"/>
      </w:rPr>
    </w:lvl>
    <w:lvl w:ilvl="1" w:tplc="C414AE92" w:tentative="1">
      <w:start w:val="1"/>
      <w:numFmt w:val="bullet"/>
      <w:lvlText w:val="•"/>
      <w:lvlJc w:val="left"/>
      <w:pPr>
        <w:tabs>
          <w:tab w:val="num" w:pos="1440"/>
        </w:tabs>
        <w:ind w:left="1440" w:hanging="360"/>
      </w:pPr>
      <w:rPr>
        <w:rFonts w:ascii="Arial" w:hAnsi="Arial" w:hint="default"/>
      </w:rPr>
    </w:lvl>
    <w:lvl w:ilvl="2" w:tplc="81AE5B32" w:tentative="1">
      <w:start w:val="1"/>
      <w:numFmt w:val="bullet"/>
      <w:lvlText w:val="•"/>
      <w:lvlJc w:val="left"/>
      <w:pPr>
        <w:tabs>
          <w:tab w:val="num" w:pos="2160"/>
        </w:tabs>
        <w:ind w:left="2160" w:hanging="360"/>
      </w:pPr>
      <w:rPr>
        <w:rFonts w:ascii="Arial" w:hAnsi="Arial" w:hint="default"/>
      </w:rPr>
    </w:lvl>
    <w:lvl w:ilvl="3" w:tplc="2B304AA4" w:tentative="1">
      <w:start w:val="1"/>
      <w:numFmt w:val="bullet"/>
      <w:lvlText w:val="•"/>
      <w:lvlJc w:val="left"/>
      <w:pPr>
        <w:tabs>
          <w:tab w:val="num" w:pos="2880"/>
        </w:tabs>
        <w:ind w:left="2880" w:hanging="360"/>
      </w:pPr>
      <w:rPr>
        <w:rFonts w:ascii="Arial" w:hAnsi="Arial" w:hint="default"/>
      </w:rPr>
    </w:lvl>
    <w:lvl w:ilvl="4" w:tplc="F00A41B4" w:tentative="1">
      <w:start w:val="1"/>
      <w:numFmt w:val="bullet"/>
      <w:lvlText w:val="•"/>
      <w:lvlJc w:val="left"/>
      <w:pPr>
        <w:tabs>
          <w:tab w:val="num" w:pos="3600"/>
        </w:tabs>
        <w:ind w:left="3600" w:hanging="360"/>
      </w:pPr>
      <w:rPr>
        <w:rFonts w:ascii="Arial" w:hAnsi="Arial" w:hint="default"/>
      </w:rPr>
    </w:lvl>
    <w:lvl w:ilvl="5" w:tplc="0C8C96EE" w:tentative="1">
      <w:start w:val="1"/>
      <w:numFmt w:val="bullet"/>
      <w:lvlText w:val="•"/>
      <w:lvlJc w:val="left"/>
      <w:pPr>
        <w:tabs>
          <w:tab w:val="num" w:pos="4320"/>
        </w:tabs>
        <w:ind w:left="4320" w:hanging="360"/>
      </w:pPr>
      <w:rPr>
        <w:rFonts w:ascii="Arial" w:hAnsi="Arial" w:hint="default"/>
      </w:rPr>
    </w:lvl>
    <w:lvl w:ilvl="6" w:tplc="CE06344A" w:tentative="1">
      <w:start w:val="1"/>
      <w:numFmt w:val="bullet"/>
      <w:lvlText w:val="•"/>
      <w:lvlJc w:val="left"/>
      <w:pPr>
        <w:tabs>
          <w:tab w:val="num" w:pos="5040"/>
        </w:tabs>
        <w:ind w:left="5040" w:hanging="360"/>
      </w:pPr>
      <w:rPr>
        <w:rFonts w:ascii="Arial" w:hAnsi="Arial" w:hint="default"/>
      </w:rPr>
    </w:lvl>
    <w:lvl w:ilvl="7" w:tplc="5F3A9188" w:tentative="1">
      <w:start w:val="1"/>
      <w:numFmt w:val="bullet"/>
      <w:lvlText w:val="•"/>
      <w:lvlJc w:val="left"/>
      <w:pPr>
        <w:tabs>
          <w:tab w:val="num" w:pos="5760"/>
        </w:tabs>
        <w:ind w:left="5760" w:hanging="360"/>
      </w:pPr>
      <w:rPr>
        <w:rFonts w:ascii="Arial" w:hAnsi="Arial" w:hint="default"/>
      </w:rPr>
    </w:lvl>
    <w:lvl w:ilvl="8" w:tplc="BC44FD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9F0ED4"/>
    <w:multiLevelType w:val="hybridMultilevel"/>
    <w:tmpl w:val="3CF627F2"/>
    <w:lvl w:ilvl="0" w:tplc="BEB489FC">
      <w:start w:val="1"/>
      <w:numFmt w:val="bullet"/>
      <w:lvlText w:val=""/>
      <w:lvlJc w:val="left"/>
      <w:pPr>
        <w:tabs>
          <w:tab w:val="num" w:pos="720"/>
        </w:tabs>
        <w:ind w:left="720" w:hanging="360"/>
      </w:pPr>
      <w:rPr>
        <w:rFonts w:ascii="Symbol" w:hAnsi="Symbol" w:hint="default"/>
      </w:rPr>
    </w:lvl>
    <w:lvl w:ilvl="1" w:tplc="02E432F8" w:tentative="1">
      <w:start w:val="1"/>
      <w:numFmt w:val="bullet"/>
      <w:lvlText w:val=""/>
      <w:lvlJc w:val="left"/>
      <w:pPr>
        <w:tabs>
          <w:tab w:val="num" w:pos="1440"/>
        </w:tabs>
        <w:ind w:left="1440" w:hanging="360"/>
      </w:pPr>
      <w:rPr>
        <w:rFonts w:ascii="Symbol" w:hAnsi="Symbol" w:hint="default"/>
      </w:rPr>
    </w:lvl>
    <w:lvl w:ilvl="2" w:tplc="B0C643C0" w:tentative="1">
      <w:start w:val="1"/>
      <w:numFmt w:val="bullet"/>
      <w:lvlText w:val=""/>
      <w:lvlJc w:val="left"/>
      <w:pPr>
        <w:tabs>
          <w:tab w:val="num" w:pos="2160"/>
        </w:tabs>
        <w:ind w:left="2160" w:hanging="360"/>
      </w:pPr>
      <w:rPr>
        <w:rFonts w:ascii="Symbol" w:hAnsi="Symbol" w:hint="default"/>
      </w:rPr>
    </w:lvl>
    <w:lvl w:ilvl="3" w:tplc="96B8A1E6" w:tentative="1">
      <w:start w:val="1"/>
      <w:numFmt w:val="bullet"/>
      <w:lvlText w:val=""/>
      <w:lvlJc w:val="left"/>
      <w:pPr>
        <w:tabs>
          <w:tab w:val="num" w:pos="2880"/>
        </w:tabs>
        <w:ind w:left="2880" w:hanging="360"/>
      </w:pPr>
      <w:rPr>
        <w:rFonts w:ascii="Symbol" w:hAnsi="Symbol" w:hint="default"/>
      </w:rPr>
    </w:lvl>
    <w:lvl w:ilvl="4" w:tplc="751AF4D0" w:tentative="1">
      <w:start w:val="1"/>
      <w:numFmt w:val="bullet"/>
      <w:lvlText w:val=""/>
      <w:lvlJc w:val="left"/>
      <w:pPr>
        <w:tabs>
          <w:tab w:val="num" w:pos="3600"/>
        </w:tabs>
        <w:ind w:left="3600" w:hanging="360"/>
      </w:pPr>
      <w:rPr>
        <w:rFonts w:ascii="Symbol" w:hAnsi="Symbol" w:hint="default"/>
      </w:rPr>
    </w:lvl>
    <w:lvl w:ilvl="5" w:tplc="7830386C" w:tentative="1">
      <w:start w:val="1"/>
      <w:numFmt w:val="bullet"/>
      <w:lvlText w:val=""/>
      <w:lvlJc w:val="left"/>
      <w:pPr>
        <w:tabs>
          <w:tab w:val="num" w:pos="4320"/>
        </w:tabs>
        <w:ind w:left="4320" w:hanging="360"/>
      </w:pPr>
      <w:rPr>
        <w:rFonts w:ascii="Symbol" w:hAnsi="Symbol" w:hint="default"/>
      </w:rPr>
    </w:lvl>
    <w:lvl w:ilvl="6" w:tplc="EADC85B2" w:tentative="1">
      <w:start w:val="1"/>
      <w:numFmt w:val="bullet"/>
      <w:lvlText w:val=""/>
      <w:lvlJc w:val="left"/>
      <w:pPr>
        <w:tabs>
          <w:tab w:val="num" w:pos="5040"/>
        </w:tabs>
        <w:ind w:left="5040" w:hanging="360"/>
      </w:pPr>
      <w:rPr>
        <w:rFonts w:ascii="Symbol" w:hAnsi="Symbol" w:hint="default"/>
      </w:rPr>
    </w:lvl>
    <w:lvl w:ilvl="7" w:tplc="A1EA1A14" w:tentative="1">
      <w:start w:val="1"/>
      <w:numFmt w:val="bullet"/>
      <w:lvlText w:val=""/>
      <w:lvlJc w:val="left"/>
      <w:pPr>
        <w:tabs>
          <w:tab w:val="num" w:pos="5760"/>
        </w:tabs>
        <w:ind w:left="5760" w:hanging="360"/>
      </w:pPr>
      <w:rPr>
        <w:rFonts w:ascii="Symbol" w:hAnsi="Symbol" w:hint="default"/>
      </w:rPr>
    </w:lvl>
    <w:lvl w:ilvl="8" w:tplc="D700A2B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ACA7DA5"/>
    <w:multiLevelType w:val="hybridMultilevel"/>
    <w:tmpl w:val="F7F8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1772A0"/>
    <w:multiLevelType w:val="hybridMultilevel"/>
    <w:tmpl w:val="526C5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426853"/>
    <w:multiLevelType w:val="hybridMultilevel"/>
    <w:tmpl w:val="EE6062DA"/>
    <w:lvl w:ilvl="0" w:tplc="C6A4FB60">
      <w:start w:val="1"/>
      <w:numFmt w:val="bullet"/>
      <w:lvlText w:val="•"/>
      <w:lvlJc w:val="left"/>
      <w:pPr>
        <w:tabs>
          <w:tab w:val="num" w:pos="360"/>
        </w:tabs>
        <w:ind w:left="360" w:hanging="360"/>
      </w:pPr>
      <w:rPr>
        <w:rFonts w:ascii="Arial" w:hAnsi="Arial" w:hint="default"/>
      </w:rPr>
    </w:lvl>
    <w:lvl w:ilvl="1" w:tplc="2EDC2AE8" w:tentative="1">
      <w:start w:val="1"/>
      <w:numFmt w:val="bullet"/>
      <w:lvlText w:val="•"/>
      <w:lvlJc w:val="left"/>
      <w:pPr>
        <w:tabs>
          <w:tab w:val="num" w:pos="1080"/>
        </w:tabs>
        <w:ind w:left="1080" w:hanging="360"/>
      </w:pPr>
      <w:rPr>
        <w:rFonts w:ascii="Arial" w:hAnsi="Arial" w:hint="default"/>
      </w:rPr>
    </w:lvl>
    <w:lvl w:ilvl="2" w:tplc="805E22C8" w:tentative="1">
      <w:start w:val="1"/>
      <w:numFmt w:val="bullet"/>
      <w:lvlText w:val="•"/>
      <w:lvlJc w:val="left"/>
      <w:pPr>
        <w:tabs>
          <w:tab w:val="num" w:pos="1800"/>
        </w:tabs>
        <w:ind w:left="1800" w:hanging="360"/>
      </w:pPr>
      <w:rPr>
        <w:rFonts w:ascii="Arial" w:hAnsi="Arial" w:hint="default"/>
      </w:rPr>
    </w:lvl>
    <w:lvl w:ilvl="3" w:tplc="BCEC318E" w:tentative="1">
      <w:start w:val="1"/>
      <w:numFmt w:val="bullet"/>
      <w:lvlText w:val="•"/>
      <w:lvlJc w:val="left"/>
      <w:pPr>
        <w:tabs>
          <w:tab w:val="num" w:pos="2520"/>
        </w:tabs>
        <w:ind w:left="2520" w:hanging="360"/>
      </w:pPr>
      <w:rPr>
        <w:rFonts w:ascii="Arial" w:hAnsi="Arial" w:hint="default"/>
      </w:rPr>
    </w:lvl>
    <w:lvl w:ilvl="4" w:tplc="7EC25DA0" w:tentative="1">
      <w:start w:val="1"/>
      <w:numFmt w:val="bullet"/>
      <w:lvlText w:val="•"/>
      <w:lvlJc w:val="left"/>
      <w:pPr>
        <w:tabs>
          <w:tab w:val="num" w:pos="3240"/>
        </w:tabs>
        <w:ind w:left="3240" w:hanging="360"/>
      </w:pPr>
      <w:rPr>
        <w:rFonts w:ascii="Arial" w:hAnsi="Arial" w:hint="default"/>
      </w:rPr>
    </w:lvl>
    <w:lvl w:ilvl="5" w:tplc="5558A0D2" w:tentative="1">
      <w:start w:val="1"/>
      <w:numFmt w:val="bullet"/>
      <w:lvlText w:val="•"/>
      <w:lvlJc w:val="left"/>
      <w:pPr>
        <w:tabs>
          <w:tab w:val="num" w:pos="3960"/>
        </w:tabs>
        <w:ind w:left="3960" w:hanging="360"/>
      </w:pPr>
      <w:rPr>
        <w:rFonts w:ascii="Arial" w:hAnsi="Arial" w:hint="default"/>
      </w:rPr>
    </w:lvl>
    <w:lvl w:ilvl="6" w:tplc="2EE8C04C" w:tentative="1">
      <w:start w:val="1"/>
      <w:numFmt w:val="bullet"/>
      <w:lvlText w:val="•"/>
      <w:lvlJc w:val="left"/>
      <w:pPr>
        <w:tabs>
          <w:tab w:val="num" w:pos="4680"/>
        </w:tabs>
        <w:ind w:left="4680" w:hanging="360"/>
      </w:pPr>
      <w:rPr>
        <w:rFonts w:ascii="Arial" w:hAnsi="Arial" w:hint="default"/>
      </w:rPr>
    </w:lvl>
    <w:lvl w:ilvl="7" w:tplc="A156DB50" w:tentative="1">
      <w:start w:val="1"/>
      <w:numFmt w:val="bullet"/>
      <w:lvlText w:val="•"/>
      <w:lvlJc w:val="left"/>
      <w:pPr>
        <w:tabs>
          <w:tab w:val="num" w:pos="5400"/>
        </w:tabs>
        <w:ind w:left="5400" w:hanging="360"/>
      </w:pPr>
      <w:rPr>
        <w:rFonts w:ascii="Arial" w:hAnsi="Arial" w:hint="default"/>
      </w:rPr>
    </w:lvl>
    <w:lvl w:ilvl="8" w:tplc="361AD99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C1515D1"/>
    <w:multiLevelType w:val="hybridMultilevel"/>
    <w:tmpl w:val="316C8C56"/>
    <w:lvl w:ilvl="0" w:tplc="295E42A0">
      <w:start w:val="1"/>
      <w:numFmt w:val="bullet"/>
      <w:lvlText w:val="•"/>
      <w:lvlJc w:val="left"/>
      <w:pPr>
        <w:tabs>
          <w:tab w:val="num" w:pos="720"/>
        </w:tabs>
        <w:ind w:left="720" w:hanging="360"/>
      </w:pPr>
      <w:rPr>
        <w:rFonts w:ascii="Arial" w:hAnsi="Arial" w:hint="default"/>
      </w:rPr>
    </w:lvl>
    <w:lvl w:ilvl="1" w:tplc="5F7A3EE6" w:tentative="1">
      <w:start w:val="1"/>
      <w:numFmt w:val="bullet"/>
      <w:lvlText w:val="•"/>
      <w:lvlJc w:val="left"/>
      <w:pPr>
        <w:tabs>
          <w:tab w:val="num" w:pos="1440"/>
        </w:tabs>
        <w:ind w:left="1440" w:hanging="360"/>
      </w:pPr>
      <w:rPr>
        <w:rFonts w:ascii="Arial" w:hAnsi="Arial" w:hint="default"/>
      </w:rPr>
    </w:lvl>
    <w:lvl w:ilvl="2" w:tplc="57C6B234" w:tentative="1">
      <w:start w:val="1"/>
      <w:numFmt w:val="bullet"/>
      <w:lvlText w:val="•"/>
      <w:lvlJc w:val="left"/>
      <w:pPr>
        <w:tabs>
          <w:tab w:val="num" w:pos="2160"/>
        </w:tabs>
        <w:ind w:left="2160" w:hanging="360"/>
      </w:pPr>
      <w:rPr>
        <w:rFonts w:ascii="Arial" w:hAnsi="Arial" w:hint="default"/>
      </w:rPr>
    </w:lvl>
    <w:lvl w:ilvl="3" w:tplc="1F3EE048" w:tentative="1">
      <w:start w:val="1"/>
      <w:numFmt w:val="bullet"/>
      <w:lvlText w:val="•"/>
      <w:lvlJc w:val="left"/>
      <w:pPr>
        <w:tabs>
          <w:tab w:val="num" w:pos="2880"/>
        </w:tabs>
        <w:ind w:left="2880" w:hanging="360"/>
      </w:pPr>
      <w:rPr>
        <w:rFonts w:ascii="Arial" w:hAnsi="Arial" w:hint="default"/>
      </w:rPr>
    </w:lvl>
    <w:lvl w:ilvl="4" w:tplc="C2AAAC24" w:tentative="1">
      <w:start w:val="1"/>
      <w:numFmt w:val="bullet"/>
      <w:lvlText w:val="•"/>
      <w:lvlJc w:val="left"/>
      <w:pPr>
        <w:tabs>
          <w:tab w:val="num" w:pos="3600"/>
        </w:tabs>
        <w:ind w:left="3600" w:hanging="360"/>
      </w:pPr>
      <w:rPr>
        <w:rFonts w:ascii="Arial" w:hAnsi="Arial" w:hint="default"/>
      </w:rPr>
    </w:lvl>
    <w:lvl w:ilvl="5" w:tplc="5DC27764" w:tentative="1">
      <w:start w:val="1"/>
      <w:numFmt w:val="bullet"/>
      <w:lvlText w:val="•"/>
      <w:lvlJc w:val="left"/>
      <w:pPr>
        <w:tabs>
          <w:tab w:val="num" w:pos="4320"/>
        </w:tabs>
        <w:ind w:left="4320" w:hanging="360"/>
      </w:pPr>
      <w:rPr>
        <w:rFonts w:ascii="Arial" w:hAnsi="Arial" w:hint="default"/>
      </w:rPr>
    </w:lvl>
    <w:lvl w:ilvl="6" w:tplc="D19A7F0A" w:tentative="1">
      <w:start w:val="1"/>
      <w:numFmt w:val="bullet"/>
      <w:lvlText w:val="•"/>
      <w:lvlJc w:val="left"/>
      <w:pPr>
        <w:tabs>
          <w:tab w:val="num" w:pos="5040"/>
        </w:tabs>
        <w:ind w:left="5040" w:hanging="360"/>
      </w:pPr>
      <w:rPr>
        <w:rFonts w:ascii="Arial" w:hAnsi="Arial" w:hint="default"/>
      </w:rPr>
    </w:lvl>
    <w:lvl w:ilvl="7" w:tplc="0B16C8B0" w:tentative="1">
      <w:start w:val="1"/>
      <w:numFmt w:val="bullet"/>
      <w:lvlText w:val="•"/>
      <w:lvlJc w:val="left"/>
      <w:pPr>
        <w:tabs>
          <w:tab w:val="num" w:pos="5760"/>
        </w:tabs>
        <w:ind w:left="5760" w:hanging="360"/>
      </w:pPr>
      <w:rPr>
        <w:rFonts w:ascii="Arial" w:hAnsi="Arial" w:hint="default"/>
      </w:rPr>
    </w:lvl>
    <w:lvl w:ilvl="8" w:tplc="9176DC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9463B6"/>
    <w:multiLevelType w:val="hybridMultilevel"/>
    <w:tmpl w:val="26945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083FBD"/>
    <w:multiLevelType w:val="hybridMultilevel"/>
    <w:tmpl w:val="F480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FF6E40"/>
    <w:multiLevelType w:val="hybridMultilevel"/>
    <w:tmpl w:val="BDC6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6C07AF"/>
    <w:multiLevelType w:val="hybridMultilevel"/>
    <w:tmpl w:val="0356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36303F"/>
    <w:multiLevelType w:val="hybridMultilevel"/>
    <w:tmpl w:val="84DA0C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403653"/>
    <w:multiLevelType w:val="multilevel"/>
    <w:tmpl w:val="A01E4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276F8"/>
    <w:multiLevelType w:val="hybridMultilevel"/>
    <w:tmpl w:val="2F58B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AC6E7A"/>
    <w:multiLevelType w:val="hybridMultilevel"/>
    <w:tmpl w:val="3BC4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5307F4"/>
    <w:multiLevelType w:val="hybridMultilevel"/>
    <w:tmpl w:val="3A3455D8"/>
    <w:lvl w:ilvl="0" w:tplc="B77C95C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1C6104"/>
    <w:multiLevelType w:val="hybridMultilevel"/>
    <w:tmpl w:val="3DD68F7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31C87961"/>
    <w:multiLevelType w:val="hybridMultilevel"/>
    <w:tmpl w:val="50ECF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C50DB5"/>
    <w:multiLevelType w:val="hybridMultilevel"/>
    <w:tmpl w:val="3D9AA89C"/>
    <w:lvl w:ilvl="0" w:tplc="F57E996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E635F8"/>
    <w:multiLevelType w:val="hybridMultilevel"/>
    <w:tmpl w:val="4CEAFFB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3A12068A"/>
    <w:multiLevelType w:val="multilevel"/>
    <w:tmpl w:val="177EB8F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3AD713B5"/>
    <w:multiLevelType w:val="hybridMultilevel"/>
    <w:tmpl w:val="00CE4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2423BF"/>
    <w:multiLevelType w:val="hybridMultilevel"/>
    <w:tmpl w:val="08945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F8E5B6D"/>
    <w:multiLevelType w:val="hybridMultilevel"/>
    <w:tmpl w:val="3C0E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FC4F40"/>
    <w:multiLevelType w:val="hybridMultilevel"/>
    <w:tmpl w:val="0EF67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1343B7A"/>
    <w:multiLevelType w:val="hybridMultilevel"/>
    <w:tmpl w:val="F9B4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1D546AD"/>
    <w:multiLevelType w:val="multilevel"/>
    <w:tmpl w:val="519434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4493023F"/>
    <w:multiLevelType w:val="hybridMultilevel"/>
    <w:tmpl w:val="CAF8453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E7573A"/>
    <w:multiLevelType w:val="hybridMultilevel"/>
    <w:tmpl w:val="AB66F9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BF2AEE"/>
    <w:multiLevelType w:val="hybridMultilevel"/>
    <w:tmpl w:val="4E9AC2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BE5521C"/>
    <w:multiLevelType w:val="hybridMultilevel"/>
    <w:tmpl w:val="1368F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4E0180"/>
    <w:multiLevelType w:val="hybridMultilevel"/>
    <w:tmpl w:val="7CC2857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40" w15:restartNumberingAfterBreak="0">
    <w:nsid w:val="4EA60524"/>
    <w:multiLevelType w:val="hybridMultilevel"/>
    <w:tmpl w:val="C41857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FC44989"/>
    <w:multiLevelType w:val="hybridMultilevel"/>
    <w:tmpl w:val="AE30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3A747A"/>
    <w:multiLevelType w:val="hybridMultilevel"/>
    <w:tmpl w:val="92F8C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19516D6"/>
    <w:multiLevelType w:val="hybridMultilevel"/>
    <w:tmpl w:val="9AF2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4822E4"/>
    <w:multiLevelType w:val="hybridMultilevel"/>
    <w:tmpl w:val="669608BE"/>
    <w:lvl w:ilvl="0" w:tplc="B3BE19AA">
      <w:start w:val="1"/>
      <w:numFmt w:val="bullet"/>
      <w:lvlText w:val="•"/>
      <w:lvlJc w:val="left"/>
      <w:pPr>
        <w:tabs>
          <w:tab w:val="num" w:pos="720"/>
        </w:tabs>
        <w:ind w:left="720" w:hanging="360"/>
      </w:pPr>
      <w:rPr>
        <w:rFonts w:ascii="Arial" w:hAnsi="Arial" w:hint="default"/>
      </w:rPr>
    </w:lvl>
    <w:lvl w:ilvl="1" w:tplc="E5AC9E3A" w:tentative="1">
      <w:start w:val="1"/>
      <w:numFmt w:val="bullet"/>
      <w:lvlText w:val="•"/>
      <w:lvlJc w:val="left"/>
      <w:pPr>
        <w:tabs>
          <w:tab w:val="num" w:pos="1440"/>
        </w:tabs>
        <w:ind w:left="1440" w:hanging="360"/>
      </w:pPr>
      <w:rPr>
        <w:rFonts w:ascii="Arial" w:hAnsi="Arial" w:hint="default"/>
      </w:rPr>
    </w:lvl>
    <w:lvl w:ilvl="2" w:tplc="9BB2672C" w:tentative="1">
      <w:start w:val="1"/>
      <w:numFmt w:val="bullet"/>
      <w:lvlText w:val="•"/>
      <w:lvlJc w:val="left"/>
      <w:pPr>
        <w:tabs>
          <w:tab w:val="num" w:pos="2160"/>
        </w:tabs>
        <w:ind w:left="2160" w:hanging="360"/>
      </w:pPr>
      <w:rPr>
        <w:rFonts w:ascii="Arial" w:hAnsi="Arial" w:hint="default"/>
      </w:rPr>
    </w:lvl>
    <w:lvl w:ilvl="3" w:tplc="93CC7F3E" w:tentative="1">
      <w:start w:val="1"/>
      <w:numFmt w:val="bullet"/>
      <w:lvlText w:val="•"/>
      <w:lvlJc w:val="left"/>
      <w:pPr>
        <w:tabs>
          <w:tab w:val="num" w:pos="2880"/>
        </w:tabs>
        <w:ind w:left="2880" w:hanging="360"/>
      </w:pPr>
      <w:rPr>
        <w:rFonts w:ascii="Arial" w:hAnsi="Arial" w:hint="default"/>
      </w:rPr>
    </w:lvl>
    <w:lvl w:ilvl="4" w:tplc="DF86B112" w:tentative="1">
      <w:start w:val="1"/>
      <w:numFmt w:val="bullet"/>
      <w:lvlText w:val="•"/>
      <w:lvlJc w:val="left"/>
      <w:pPr>
        <w:tabs>
          <w:tab w:val="num" w:pos="3600"/>
        </w:tabs>
        <w:ind w:left="3600" w:hanging="360"/>
      </w:pPr>
      <w:rPr>
        <w:rFonts w:ascii="Arial" w:hAnsi="Arial" w:hint="default"/>
      </w:rPr>
    </w:lvl>
    <w:lvl w:ilvl="5" w:tplc="A2D0A3CC" w:tentative="1">
      <w:start w:val="1"/>
      <w:numFmt w:val="bullet"/>
      <w:lvlText w:val="•"/>
      <w:lvlJc w:val="left"/>
      <w:pPr>
        <w:tabs>
          <w:tab w:val="num" w:pos="4320"/>
        </w:tabs>
        <w:ind w:left="4320" w:hanging="360"/>
      </w:pPr>
      <w:rPr>
        <w:rFonts w:ascii="Arial" w:hAnsi="Arial" w:hint="default"/>
      </w:rPr>
    </w:lvl>
    <w:lvl w:ilvl="6" w:tplc="5C2A5552" w:tentative="1">
      <w:start w:val="1"/>
      <w:numFmt w:val="bullet"/>
      <w:lvlText w:val="•"/>
      <w:lvlJc w:val="left"/>
      <w:pPr>
        <w:tabs>
          <w:tab w:val="num" w:pos="5040"/>
        </w:tabs>
        <w:ind w:left="5040" w:hanging="360"/>
      </w:pPr>
      <w:rPr>
        <w:rFonts w:ascii="Arial" w:hAnsi="Arial" w:hint="default"/>
      </w:rPr>
    </w:lvl>
    <w:lvl w:ilvl="7" w:tplc="B7B8A124" w:tentative="1">
      <w:start w:val="1"/>
      <w:numFmt w:val="bullet"/>
      <w:lvlText w:val="•"/>
      <w:lvlJc w:val="left"/>
      <w:pPr>
        <w:tabs>
          <w:tab w:val="num" w:pos="5760"/>
        </w:tabs>
        <w:ind w:left="5760" w:hanging="360"/>
      </w:pPr>
      <w:rPr>
        <w:rFonts w:ascii="Arial" w:hAnsi="Arial" w:hint="default"/>
      </w:rPr>
    </w:lvl>
    <w:lvl w:ilvl="8" w:tplc="7C3EE02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B104523"/>
    <w:multiLevelType w:val="hybridMultilevel"/>
    <w:tmpl w:val="35EAB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C211A5D"/>
    <w:multiLevelType w:val="hybridMultilevel"/>
    <w:tmpl w:val="2600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BC65D0"/>
    <w:multiLevelType w:val="hybridMultilevel"/>
    <w:tmpl w:val="47B2F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D66BBF"/>
    <w:multiLevelType w:val="hybridMultilevel"/>
    <w:tmpl w:val="983E2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50842D4"/>
    <w:multiLevelType w:val="hybridMultilevel"/>
    <w:tmpl w:val="D2F6B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8247213"/>
    <w:multiLevelType w:val="hybridMultilevel"/>
    <w:tmpl w:val="20ACAE7C"/>
    <w:lvl w:ilvl="0" w:tplc="5374F93C">
      <w:start w:val="1"/>
      <w:numFmt w:val="bullet"/>
      <w:lvlText w:val="•"/>
      <w:lvlJc w:val="left"/>
      <w:pPr>
        <w:tabs>
          <w:tab w:val="num" w:pos="720"/>
        </w:tabs>
        <w:ind w:left="720" w:hanging="360"/>
      </w:pPr>
      <w:rPr>
        <w:rFonts w:ascii="Arial" w:hAnsi="Arial" w:hint="default"/>
      </w:rPr>
    </w:lvl>
    <w:lvl w:ilvl="1" w:tplc="34B8CBF4" w:tentative="1">
      <w:start w:val="1"/>
      <w:numFmt w:val="bullet"/>
      <w:lvlText w:val="•"/>
      <w:lvlJc w:val="left"/>
      <w:pPr>
        <w:tabs>
          <w:tab w:val="num" w:pos="1440"/>
        </w:tabs>
        <w:ind w:left="1440" w:hanging="360"/>
      </w:pPr>
      <w:rPr>
        <w:rFonts w:ascii="Arial" w:hAnsi="Arial" w:hint="default"/>
      </w:rPr>
    </w:lvl>
    <w:lvl w:ilvl="2" w:tplc="F158506C" w:tentative="1">
      <w:start w:val="1"/>
      <w:numFmt w:val="bullet"/>
      <w:lvlText w:val="•"/>
      <w:lvlJc w:val="left"/>
      <w:pPr>
        <w:tabs>
          <w:tab w:val="num" w:pos="2160"/>
        </w:tabs>
        <w:ind w:left="2160" w:hanging="360"/>
      </w:pPr>
      <w:rPr>
        <w:rFonts w:ascii="Arial" w:hAnsi="Arial" w:hint="default"/>
      </w:rPr>
    </w:lvl>
    <w:lvl w:ilvl="3" w:tplc="9C061ABC" w:tentative="1">
      <w:start w:val="1"/>
      <w:numFmt w:val="bullet"/>
      <w:lvlText w:val="•"/>
      <w:lvlJc w:val="left"/>
      <w:pPr>
        <w:tabs>
          <w:tab w:val="num" w:pos="2880"/>
        </w:tabs>
        <w:ind w:left="2880" w:hanging="360"/>
      </w:pPr>
      <w:rPr>
        <w:rFonts w:ascii="Arial" w:hAnsi="Arial" w:hint="default"/>
      </w:rPr>
    </w:lvl>
    <w:lvl w:ilvl="4" w:tplc="F17CB296" w:tentative="1">
      <w:start w:val="1"/>
      <w:numFmt w:val="bullet"/>
      <w:lvlText w:val="•"/>
      <w:lvlJc w:val="left"/>
      <w:pPr>
        <w:tabs>
          <w:tab w:val="num" w:pos="3600"/>
        </w:tabs>
        <w:ind w:left="3600" w:hanging="360"/>
      </w:pPr>
      <w:rPr>
        <w:rFonts w:ascii="Arial" w:hAnsi="Arial" w:hint="default"/>
      </w:rPr>
    </w:lvl>
    <w:lvl w:ilvl="5" w:tplc="B67A134E" w:tentative="1">
      <w:start w:val="1"/>
      <w:numFmt w:val="bullet"/>
      <w:lvlText w:val="•"/>
      <w:lvlJc w:val="left"/>
      <w:pPr>
        <w:tabs>
          <w:tab w:val="num" w:pos="4320"/>
        </w:tabs>
        <w:ind w:left="4320" w:hanging="360"/>
      </w:pPr>
      <w:rPr>
        <w:rFonts w:ascii="Arial" w:hAnsi="Arial" w:hint="default"/>
      </w:rPr>
    </w:lvl>
    <w:lvl w:ilvl="6" w:tplc="F45E8156" w:tentative="1">
      <w:start w:val="1"/>
      <w:numFmt w:val="bullet"/>
      <w:lvlText w:val="•"/>
      <w:lvlJc w:val="left"/>
      <w:pPr>
        <w:tabs>
          <w:tab w:val="num" w:pos="5040"/>
        </w:tabs>
        <w:ind w:left="5040" w:hanging="360"/>
      </w:pPr>
      <w:rPr>
        <w:rFonts w:ascii="Arial" w:hAnsi="Arial" w:hint="default"/>
      </w:rPr>
    </w:lvl>
    <w:lvl w:ilvl="7" w:tplc="66AEA428" w:tentative="1">
      <w:start w:val="1"/>
      <w:numFmt w:val="bullet"/>
      <w:lvlText w:val="•"/>
      <w:lvlJc w:val="left"/>
      <w:pPr>
        <w:tabs>
          <w:tab w:val="num" w:pos="5760"/>
        </w:tabs>
        <w:ind w:left="5760" w:hanging="360"/>
      </w:pPr>
      <w:rPr>
        <w:rFonts w:ascii="Arial" w:hAnsi="Arial" w:hint="default"/>
      </w:rPr>
    </w:lvl>
    <w:lvl w:ilvl="8" w:tplc="2C2CF8C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AB91049"/>
    <w:multiLevelType w:val="hybridMultilevel"/>
    <w:tmpl w:val="D7AEDEB2"/>
    <w:lvl w:ilvl="0" w:tplc="02B06572">
      <w:start w:val="1"/>
      <w:numFmt w:val="bullet"/>
      <w:lvlText w:val=""/>
      <w:lvlJc w:val="left"/>
      <w:pPr>
        <w:tabs>
          <w:tab w:val="num" w:pos="720"/>
        </w:tabs>
        <w:ind w:left="720" w:hanging="360"/>
      </w:pPr>
      <w:rPr>
        <w:rFonts w:ascii="Symbol" w:hAnsi="Symbol" w:hint="default"/>
      </w:rPr>
    </w:lvl>
    <w:lvl w:ilvl="1" w:tplc="5C4E8A80" w:tentative="1">
      <w:start w:val="1"/>
      <w:numFmt w:val="bullet"/>
      <w:lvlText w:val=""/>
      <w:lvlJc w:val="left"/>
      <w:pPr>
        <w:tabs>
          <w:tab w:val="num" w:pos="1440"/>
        </w:tabs>
        <w:ind w:left="1440" w:hanging="360"/>
      </w:pPr>
      <w:rPr>
        <w:rFonts w:ascii="Symbol" w:hAnsi="Symbol" w:hint="default"/>
      </w:rPr>
    </w:lvl>
    <w:lvl w:ilvl="2" w:tplc="DA72F42C" w:tentative="1">
      <w:start w:val="1"/>
      <w:numFmt w:val="bullet"/>
      <w:lvlText w:val=""/>
      <w:lvlJc w:val="left"/>
      <w:pPr>
        <w:tabs>
          <w:tab w:val="num" w:pos="2160"/>
        </w:tabs>
        <w:ind w:left="2160" w:hanging="360"/>
      </w:pPr>
      <w:rPr>
        <w:rFonts w:ascii="Symbol" w:hAnsi="Symbol" w:hint="default"/>
      </w:rPr>
    </w:lvl>
    <w:lvl w:ilvl="3" w:tplc="E5184B4A" w:tentative="1">
      <w:start w:val="1"/>
      <w:numFmt w:val="bullet"/>
      <w:lvlText w:val=""/>
      <w:lvlJc w:val="left"/>
      <w:pPr>
        <w:tabs>
          <w:tab w:val="num" w:pos="2880"/>
        </w:tabs>
        <w:ind w:left="2880" w:hanging="360"/>
      </w:pPr>
      <w:rPr>
        <w:rFonts w:ascii="Symbol" w:hAnsi="Symbol" w:hint="default"/>
      </w:rPr>
    </w:lvl>
    <w:lvl w:ilvl="4" w:tplc="DBA28EE0" w:tentative="1">
      <w:start w:val="1"/>
      <w:numFmt w:val="bullet"/>
      <w:lvlText w:val=""/>
      <w:lvlJc w:val="left"/>
      <w:pPr>
        <w:tabs>
          <w:tab w:val="num" w:pos="3600"/>
        </w:tabs>
        <w:ind w:left="3600" w:hanging="360"/>
      </w:pPr>
      <w:rPr>
        <w:rFonts w:ascii="Symbol" w:hAnsi="Symbol" w:hint="default"/>
      </w:rPr>
    </w:lvl>
    <w:lvl w:ilvl="5" w:tplc="8EFCFAAC" w:tentative="1">
      <w:start w:val="1"/>
      <w:numFmt w:val="bullet"/>
      <w:lvlText w:val=""/>
      <w:lvlJc w:val="left"/>
      <w:pPr>
        <w:tabs>
          <w:tab w:val="num" w:pos="4320"/>
        </w:tabs>
        <w:ind w:left="4320" w:hanging="360"/>
      </w:pPr>
      <w:rPr>
        <w:rFonts w:ascii="Symbol" w:hAnsi="Symbol" w:hint="default"/>
      </w:rPr>
    </w:lvl>
    <w:lvl w:ilvl="6" w:tplc="4740EDC6" w:tentative="1">
      <w:start w:val="1"/>
      <w:numFmt w:val="bullet"/>
      <w:lvlText w:val=""/>
      <w:lvlJc w:val="left"/>
      <w:pPr>
        <w:tabs>
          <w:tab w:val="num" w:pos="5040"/>
        </w:tabs>
        <w:ind w:left="5040" w:hanging="360"/>
      </w:pPr>
      <w:rPr>
        <w:rFonts w:ascii="Symbol" w:hAnsi="Symbol" w:hint="default"/>
      </w:rPr>
    </w:lvl>
    <w:lvl w:ilvl="7" w:tplc="69CA072A" w:tentative="1">
      <w:start w:val="1"/>
      <w:numFmt w:val="bullet"/>
      <w:lvlText w:val=""/>
      <w:lvlJc w:val="left"/>
      <w:pPr>
        <w:tabs>
          <w:tab w:val="num" w:pos="5760"/>
        </w:tabs>
        <w:ind w:left="5760" w:hanging="360"/>
      </w:pPr>
      <w:rPr>
        <w:rFonts w:ascii="Symbol" w:hAnsi="Symbol" w:hint="default"/>
      </w:rPr>
    </w:lvl>
    <w:lvl w:ilvl="8" w:tplc="4550704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6ADE2671"/>
    <w:multiLevelType w:val="hybridMultilevel"/>
    <w:tmpl w:val="142C6434"/>
    <w:lvl w:ilvl="0" w:tplc="067E5D88">
      <w:start w:val="1"/>
      <w:numFmt w:val="upperLetter"/>
      <w:lvlText w:val="%1."/>
      <w:lvlJc w:val="left"/>
      <w:pPr>
        <w:ind w:left="720" w:hanging="360"/>
      </w:pPr>
      <w:rPr>
        <w:rFonts w:hint="default"/>
        <w:u w:val="none"/>
      </w:rPr>
    </w:lvl>
    <w:lvl w:ilvl="1" w:tplc="B42A47F2">
      <w:numFmt w:val="bullet"/>
      <w:lvlText w:val="•"/>
      <w:lvlJc w:val="left"/>
      <w:pPr>
        <w:ind w:left="1800" w:hanging="72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AD08A4"/>
    <w:multiLevelType w:val="hybridMultilevel"/>
    <w:tmpl w:val="7AEC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E01C76"/>
    <w:multiLevelType w:val="hybridMultilevel"/>
    <w:tmpl w:val="17E279D6"/>
    <w:lvl w:ilvl="0" w:tplc="99D29536">
      <w:start w:val="1"/>
      <w:numFmt w:val="bullet"/>
      <w:lvlText w:val="•"/>
      <w:lvlJc w:val="left"/>
      <w:pPr>
        <w:tabs>
          <w:tab w:val="num" w:pos="720"/>
        </w:tabs>
        <w:ind w:left="720" w:hanging="360"/>
      </w:pPr>
      <w:rPr>
        <w:rFonts w:ascii="Arial" w:hAnsi="Arial" w:hint="default"/>
      </w:rPr>
    </w:lvl>
    <w:lvl w:ilvl="1" w:tplc="DE1A187C" w:tentative="1">
      <w:start w:val="1"/>
      <w:numFmt w:val="bullet"/>
      <w:lvlText w:val="•"/>
      <w:lvlJc w:val="left"/>
      <w:pPr>
        <w:tabs>
          <w:tab w:val="num" w:pos="1440"/>
        </w:tabs>
        <w:ind w:left="1440" w:hanging="360"/>
      </w:pPr>
      <w:rPr>
        <w:rFonts w:ascii="Arial" w:hAnsi="Arial" w:hint="default"/>
      </w:rPr>
    </w:lvl>
    <w:lvl w:ilvl="2" w:tplc="B464D054" w:tentative="1">
      <w:start w:val="1"/>
      <w:numFmt w:val="bullet"/>
      <w:lvlText w:val="•"/>
      <w:lvlJc w:val="left"/>
      <w:pPr>
        <w:tabs>
          <w:tab w:val="num" w:pos="2160"/>
        </w:tabs>
        <w:ind w:left="2160" w:hanging="360"/>
      </w:pPr>
      <w:rPr>
        <w:rFonts w:ascii="Arial" w:hAnsi="Arial" w:hint="default"/>
      </w:rPr>
    </w:lvl>
    <w:lvl w:ilvl="3" w:tplc="C51688F6" w:tentative="1">
      <w:start w:val="1"/>
      <w:numFmt w:val="bullet"/>
      <w:lvlText w:val="•"/>
      <w:lvlJc w:val="left"/>
      <w:pPr>
        <w:tabs>
          <w:tab w:val="num" w:pos="2880"/>
        </w:tabs>
        <w:ind w:left="2880" w:hanging="360"/>
      </w:pPr>
      <w:rPr>
        <w:rFonts w:ascii="Arial" w:hAnsi="Arial" w:hint="default"/>
      </w:rPr>
    </w:lvl>
    <w:lvl w:ilvl="4" w:tplc="B1500172" w:tentative="1">
      <w:start w:val="1"/>
      <w:numFmt w:val="bullet"/>
      <w:lvlText w:val="•"/>
      <w:lvlJc w:val="left"/>
      <w:pPr>
        <w:tabs>
          <w:tab w:val="num" w:pos="3600"/>
        </w:tabs>
        <w:ind w:left="3600" w:hanging="360"/>
      </w:pPr>
      <w:rPr>
        <w:rFonts w:ascii="Arial" w:hAnsi="Arial" w:hint="default"/>
      </w:rPr>
    </w:lvl>
    <w:lvl w:ilvl="5" w:tplc="D9FC1034" w:tentative="1">
      <w:start w:val="1"/>
      <w:numFmt w:val="bullet"/>
      <w:lvlText w:val="•"/>
      <w:lvlJc w:val="left"/>
      <w:pPr>
        <w:tabs>
          <w:tab w:val="num" w:pos="4320"/>
        </w:tabs>
        <w:ind w:left="4320" w:hanging="360"/>
      </w:pPr>
      <w:rPr>
        <w:rFonts w:ascii="Arial" w:hAnsi="Arial" w:hint="default"/>
      </w:rPr>
    </w:lvl>
    <w:lvl w:ilvl="6" w:tplc="EE96766A" w:tentative="1">
      <w:start w:val="1"/>
      <w:numFmt w:val="bullet"/>
      <w:lvlText w:val="•"/>
      <w:lvlJc w:val="left"/>
      <w:pPr>
        <w:tabs>
          <w:tab w:val="num" w:pos="5040"/>
        </w:tabs>
        <w:ind w:left="5040" w:hanging="360"/>
      </w:pPr>
      <w:rPr>
        <w:rFonts w:ascii="Arial" w:hAnsi="Arial" w:hint="default"/>
      </w:rPr>
    </w:lvl>
    <w:lvl w:ilvl="7" w:tplc="1CBCBF30" w:tentative="1">
      <w:start w:val="1"/>
      <w:numFmt w:val="bullet"/>
      <w:lvlText w:val="•"/>
      <w:lvlJc w:val="left"/>
      <w:pPr>
        <w:tabs>
          <w:tab w:val="num" w:pos="5760"/>
        </w:tabs>
        <w:ind w:left="5760" w:hanging="360"/>
      </w:pPr>
      <w:rPr>
        <w:rFonts w:ascii="Arial" w:hAnsi="Arial" w:hint="default"/>
      </w:rPr>
    </w:lvl>
    <w:lvl w:ilvl="8" w:tplc="2362E1A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D952F94"/>
    <w:multiLevelType w:val="hybridMultilevel"/>
    <w:tmpl w:val="F5A8FA0E"/>
    <w:lvl w:ilvl="0" w:tplc="9920CBAC">
      <w:start w:val="1"/>
      <w:numFmt w:val="bullet"/>
      <w:lvlText w:val="•"/>
      <w:lvlJc w:val="left"/>
      <w:pPr>
        <w:tabs>
          <w:tab w:val="num" w:pos="720"/>
        </w:tabs>
        <w:ind w:left="720" w:hanging="360"/>
      </w:pPr>
      <w:rPr>
        <w:rFonts w:ascii="Arial" w:hAnsi="Arial" w:hint="default"/>
      </w:rPr>
    </w:lvl>
    <w:lvl w:ilvl="1" w:tplc="2A3493DC" w:tentative="1">
      <w:start w:val="1"/>
      <w:numFmt w:val="bullet"/>
      <w:lvlText w:val="•"/>
      <w:lvlJc w:val="left"/>
      <w:pPr>
        <w:tabs>
          <w:tab w:val="num" w:pos="1440"/>
        </w:tabs>
        <w:ind w:left="1440" w:hanging="360"/>
      </w:pPr>
      <w:rPr>
        <w:rFonts w:ascii="Arial" w:hAnsi="Arial" w:hint="default"/>
      </w:rPr>
    </w:lvl>
    <w:lvl w:ilvl="2" w:tplc="E5A48298" w:tentative="1">
      <w:start w:val="1"/>
      <w:numFmt w:val="bullet"/>
      <w:lvlText w:val="•"/>
      <w:lvlJc w:val="left"/>
      <w:pPr>
        <w:tabs>
          <w:tab w:val="num" w:pos="2160"/>
        </w:tabs>
        <w:ind w:left="2160" w:hanging="360"/>
      </w:pPr>
      <w:rPr>
        <w:rFonts w:ascii="Arial" w:hAnsi="Arial" w:hint="default"/>
      </w:rPr>
    </w:lvl>
    <w:lvl w:ilvl="3" w:tplc="A18ADAAE" w:tentative="1">
      <w:start w:val="1"/>
      <w:numFmt w:val="bullet"/>
      <w:lvlText w:val="•"/>
      <w:lvlJc w:val="left"/>
      <w:pPr>
        <w:tabs>
          <w:tab w:val="num" w:pos="2880"/>
        </w:tabs>
        <w:ind w:left="2880" w:hanging="360"/>
      </w:pPr>
      <w:rPr>
        <w:rFonts w:ascii="Arial" w:hAnsi="Arial" w:hint="default"/>
      </w:rPr>
    </w:lvl>
    <w:lvl w:ilvl="4" w:tplc="DB16831A" w:tentative="1">
      <w:start w:val="1"/>
      <w:numFmt w:val="bullet"/>
      <w:lvlText w:val="•"/>
      <w:lvlJc w:val="left"/>
      <w:pPr>
        <w:tabs>
          <w:tab w:val="num" w:pos="3600"/>
        </w:tabs>
        <w:ind w:left="3600" w:hanging="360"/>
      </w:pPr>
      <w:rPr>
        <w:rFonts w:ascii="Arial" w:hAnsi="Arial" w:hint="default"/>
      </w:rPr>
    </w:lvl>
    <w:lvl w:ilvl="5" w:tplc="F198D6AA" w:tentative="1">
      <w:start w:val="1"/>
      <w:numFmt w:val="bullet"/>
      <w:lvlText w:val="•"/>
      <w:lvlJc w:val="left"/>
      <w:pPr>
        <w:tabs>
          <w:tab w:val="num" w:pos="4320"/>
        </w:tabs>
        <w:ind w:left="4320" w:hanging="360"/>
      </w:pPr>
      <w:rPr>
        <w:rFonts w:ascii="Arial" w:hAnsi="Arial" w:hint="default"/>
      </w:rPr>
    </w:lvl>
    <w:lvl w:ilvl="6" w:tplc="B014779A" w:tentative="1">
      <w:start w:val="1"/>
      <w:numFmt w:val="bullet"/>
      <w:lvlText w:val="•"/>
      <w:lvlJc w:val="left"/>
      <w:pPr>
        <w:tabs>
          <w:tab w:val="num" w:pos="5040"/>
        </w:tabs>
        <w:ind w:left="5040" w:hanging="360"/>
      </w:pPr>
      <w:rPr>
        <w:rFonts w:ascii="Arial" w:hAnsi="Arial" w:hint="default"/>
      </w:rPr>
    </w:lvl>
    <w:lvl w:ilvl="7" w:tplc="BCCED672" w:tentative="1">
      <w:start w:val="1"/>
      <w:numFmt w:val="bullet"/>
      <w:lvlText w:val="•"/>
      <w:lvlJc w:val="left"/>
      <w:pPr>
        <w:tabs>
          <w:tab w:val="num" w:pos="5760"/>
        </w:tabs>
        <w:ind w:left="5760" w:hanging="360"/>
      </w:pPr>
      <w:rPr>
        <w:rFonts w:ascii="Arial" w:hAnsi="Arial" w:hint="default"/>
      </w:rPr>
    </w:lvl>
    <w:lvl w:ilvl="8" w:tplc="62F4930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E200948"/>
    <w:multiLevelType w:val="hybridMultilevel"/>
    <w:tmpl w:val="5CD6E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56123D"/>
    <w:multiLevelType w:val="hybridMultilevel"/>
    <w:tmpl w:val="1A8A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1C22EA"/>
    <w:multiLevelType w:val="hybridMultilevel"/>
    <w:tmpl w:val="271A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144BA5"/>
    <w:multiLevelType w:val="hybridMultilevel"/>
    <w:tmpl w:val="4E0E0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307201A"/>
    <w:multiLevelType w:val="hybridMultilevel"/>
    <w:tmpl w:val="F3885E1C"/>
    <w:lvl w:ilvl="0" w:tplc="5D388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26452A"/>
    <w:multiLevelType w:val="hybridMultilevel"/>
    <w:tmpl w:val="355C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C90A3B"/>
    <w:multiLevelType w:val="hybridMultilevel"/>
    <w:tmpl w:val="3E84BDB0"/>
    <w:lvl w:ilvl="0" w:tplc="B3BCD844">
      <w:start w:val="1"/>
      <w:numFmt w:val="decimal"/>
      <w:lvlText w:val="%1."/>
      <w:lvlJc w:val="left"/>
      <w:pPr>
        <w:tabs>
          <w:tab w:val="num" w:pos="720"/>
        </w:tabs>
        <w:ind w:left="720" w:hanging="360"/>
      </w:pPr>
    </w:lvl>
    <w:lvl w:ilvl="1" w:tplc="39142C28" w:tentative="1">
      <w:start w:val="1"/>
      <w:numFmt w:val="decimal"/>
      <w:lvlText w:val="%2."/>
      <w:lvlJc w:val="left"/>
      <w:pPr>
        <w:tabs>
          <w:tab w:val="num" w:pos="1440"/>
        </w:tabs>
        <w:ind w:left="1440" w:hanging="360"/>
      </w:pPr>
    </w:lvl>
    <w:lvl w:ilvl="2" w:tplc="445E51BE" w:tentative="1">
      <w:start w:val="1"/>
      <w:numFmt w:val="decimal"/>
      <w:lvlText w:val="%3."/>
      <w:lvlJc w:val="left"/>
      <w:pPr>
        <w:tabs>
          <w:tab w:val="num" w:pos="2160"/>
        </w:tabs>
        <w:ind w:left="2160" w:hanging="360"/>
      </w:pPr>
    </w:lvl>
    <w:lvl w:ilvl="3" w:tplc="6BF06922" w:tentative="1">
      <w:start w:val="1"/>
      <w:numFmt w:val="decimal"/>
      <w:lvlText w:val="%4."/>
      <w:lvlJc w:val="left"/>
      <w:pPr>
        <w:tabs>
          <w:tab w:val="num" w:pos="2880"/>
        </w:tabs>
        <w:ind w:left="2880" w:hanging="360"/>
      </w:pPr>
    </w:lvl>
    <w:lvl w:ilvl="4" w:tplc="A3DEEEC2" w:tentative="1">
      <w:start w:val="1"/>
      <w:numFmt w:val="decimal"/>
      <w:lvlText w:val="%5."/>
      <w:lvlJc w:val="left"/>
      <w:pPr>
        <w:tabs>
          <w:tab w:val="num" w:pos="3600"/>
        </w:tabs>
        <w:ind w:left="3600" w:hanging="360"/>
      </w:pPr>
    </w:lvl>
    <w:lvl w:ilvl="5" w:tplc="4E383070" w:tentative="1">
      <w:start w:val="1"/>
      <w:numFmt w:val="decimal"/>
      <w:lvlText w:val="%6."/>
      <w:lvlJc w:val="left"/>
      <w:pPr>
        <w:tabs>
          <w:tab w:val="num" w:pos="4320"/>
        </w:tabs>
        <w:ind w:left="4320" w:hanging="360"/>
      </w:pPr>
    </w:lvl>
    <w:lvl w:ilvl="6" w:tplc="8D5A28FE" w:tentative="1">
      <w:start w:val="1"/>
      <w:numFmt w:val="decimal"/>
      <w:lvlText w:val="%7."/>
      <w:lvlJc w:val="left"/>
      <w:pPr>
        <w:tabs>
          <w:tab w:val="num" w:pos="5040"/>
        </w:tabs>
        <w:ind w:left="5040" w:hanging="360"/>
      </w:pPr>
    </w:lvl>
    <w:lvl w:ilvl="7" w:tplc="E2E4FBCE" w:tentative="1">
      <w:start w:val="1"/>
      <w:numFmt w:val="decimal"/>
      <w:lvlText w:val="%8."/>
      <w:lvlJc w:val="left"/>
      <w:pPr>
        <w:tabs>
          <w:tab w:val="num" w:pos="5760"/>
        </w:tabs>
        <w:ind w:left="5760" w:hanging="360"/>
      </w:pPr>
    </w:lvl>
    <w:lvl w:ilvl="8" w:tplc="9A3EA4B6" w:tentative="1">
      <w:start w:val="1"/>
      <w:numFmt w:val="decimal"/>
      <w:lvlText w:val="%9."/>
      <w:lvlJc w:val="left"/>
      <w:pPr>
        <w:tabs>
          <w:tab w:val="num" w:pos="6480"/>
        </w:tabs>
        <w:ind w:left="6480" w:hanging="360"/>
      </w:pPr>
    </w:lvl>
  </w:abstractNum>
  <w:abstractNum w:abstractNumId="63" w15:restartNumberingAfterBreak="0">
    <w:nsid w:val="76184DC1"/>
    <w:multiLevelType w:val="hybridMultilevel"/>
    <w:tmpl w:val="307A1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8B0897"/>
    <w:multiLevelType w:val="hybridMultilevel"/>
    <w:tmpl w:val="5C9A13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C702FC6"/>
    <w:multiLevelType w:val="hybridMultilevel"/>
    <w:tmpl w:val="F6D4D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C7F6378"/>
    <w:multiLevelType w:val="hybridMultilevel"/>
    <w:tmpl w:val="78908C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9A1556"/>
    <w:multiLevelType w:val="hybridMultilevel"/>
    <w:tmpl w:val="5368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7"/>
  </w:num>
  <w:num w:numId="4">
    <w:abstractNumId w:val="56"/>
  </w:num>
  <w:num w:numId="5">
    <w:abstractNumId w:val="45"/>
  </w:num>
  <w:num w:numId="6">
    <w:abstractNumId w:val="48"/>
  </w:num>
  <w:num w:numId="7">
    <w:abstractNumId w:val="42"/>
  </w:num>
  <w:num w:numId="8">
    <w:abstractNumId w:val="33"/>
  </w:num>
  <w:num w:numId="9">
    <w:abstractNumId w:val="32"/>
  </w:num>
  <w:num w:numId="10">
    <w:abstractNumId w:val="30"/>
  </w:num>
  <w:num w:numId="11">
    <w:abstractNumId w:val="38"/>
  </w:num>
  <w:num w:numId="12">
    <w:abstractNumId w:val="29"/>
  </w:num>
  <w:num w:numId="13">
    <w:abstractNumId w:val="57"/>
  </w:num>
  <w:num w:numId="14">
    <w:abstractNumId w:val="21"/>
  </w:num>
  <w:num w:numId="15">
    <w:abstractNumId w:val="24"/>
  </w:num>
  <w:num w:numId="16">
    <w:abstractNumId w:val="67"/>
  </w:num>
  <w:num w:numId="17">
    <w:abstractNumId w:val="61"/>
  </w:num>
  <w:num w:numId="18">
    <w:abstractNumId w:val="17"/>
  </w:num>
  <w:num w:numId="19">
    <w:abstractNumId w:val="1"/>
  </w:num>
  <w:num w:numId="20">
    <w:abstractNumId w:val="46"/>
  </w:num>
  <w:num w:numId="21">
    <w:abstractNumId w:val="65"/>
  </w:num>
  <w:num w:numId="22">
    <w:abstractNumId w:val="15"/>
  </w:num>
  <w:num w:numId="23">
    <w:abstractNumId w:val="40"/>
  </w:num>
  <w:num w:numId="24">
    <w:abstractNumId w:val="52"/>
  </w:num>
  <w:num w:numId="25">
    <w:abstractNumId w:val="26"/>
  </w:num>
  <w:num w:numId="26">
    <w:abstractNumId w:val="7"/>
  </w:num>
  <w:num w:numId="27">
    <w:abstractNumId w:val="47"/>
  </w:num>
  <w:num w:numId="28">
    <w:abstractNumId w:val="39"/>
  </w:num>
  <w:num w:numId="29">
    <w:abstractNumId w:val="0"/>
  </w:num>
  <w:num w:numId="30">
    <w:abstractNumId w:val="5"/>
  </w:num>
  <w:num w:numId="31">
    <w:abstractNumId w:val="51"/>
  </w:num>
  <w:num w:numId="32">
    <w:abstractNumId w:val="10"/>
  </w:num>
  <w:num w:numId="33">
    <w:abstractNumId w:val="2"/>
  </w:num>
  <w:num w:numId="34">
    <w:abstractNumId w:val="66"/>
  </w:num>
  <w:num w:numId="35">
    <w:abstractNumId w:val="19"/>
  </w:num>
  <w:num w:numId="36">
    <w:abstractNumId w:val="22"/>
  </w:num>
  <w:num w:numId="37">
    <w:abstractNumId w:val="31"/>
  </w:num>
  <w:num w:numId="38">
    <w:abstractNumId w:val="16"/>
  </w:num>
  <w:num w:numId="39">
    <w:abstractNumId w:val="64"/>
  </w:num>
  <w:num w:numId="40">
    <w:abstractNumId w:val="58"/>
  </w:num>
  <w:num w:numId="41">
    <w:abstractNumId w:val="43"/>
  </w:num>
  <w:num w:numId="42">
    <w:abstractNumId w:val="6"/>
  </w:num>
  <w:num w:numId="43">
    <w:abstractNumId w:val="41"/>
  </w:num>
  <w:num w:numId="44">
    <w:abstractNumId w:val="59"/>
  </w:num>
  <w:num w:numId="45">
    <w:abstractNumId w:val="4"/>
  </w:num>
  <w:num w:numId="46">
    <w:abstractNumId w:val="3"/>
  </w:num>
  <w:num w:numId="47">
    <w:abstractNumId w:val="49"/>
  </w:num>
  <w:num w:numId="48">
    <w:abstractNumId w:val="12"/>
  </w:num>
  <w:num w:numId="49">
    <w:abstractNumId w:val="28"/>
  </w:num>
  <w:num w:numId="50">
    <w:abstractNumId w:val="34"/>
  </w:num>
  <w:num w:numId="51">
    <w:abstractNumId w:val="11"/>
  </w:num>
  <w:num w:numId="52">
    <w:abstractNumId w:val="14"/>
  </w:num>
  <w:num w:numId="53">
    <w:abstractNumId w:val="54"/>
  </w:num>
  <w:num w:numId="54">
    <w:abstractNumId w:val="55"/>
  </w:num>
  <w:num w:numId="55">
    <w:abstractNumId w:val="25"/>
  </w:num>
  <w:num w:numId="56">
    <w:abstractNumId w:val="63"/>
  </w:num>
  <w:num w:numId="57">
    <w:abstractNumId w:val="60"/>
  </w:num>
  <w:num w:numId="58">
    <w:abstractNumId w:val="35"/>
  </w:num>
  <w:num w:numId="59">
    <w:abstractNumId w:val="53"/>
  </w:num>
  <w:num w:numId="60">
    <w:abstractNumId w:val="23"/>
  </w:num>
  <w:num w:numId="61">
    <w:abstractNumId w:val="36"/>
  </w:num>
  <w:num w:numId="62">
    <w:abstractNumId w:val="44"/>
  </w:num>
  <w:num w:numId="63">
    <w:abstractNumId w:val="18"/>
  </w:num>
  <w:num w:numId="64">
    <w:abstractNumId w:val="8"/>
  </w:num>
  <w:num w:numId="65">
    <w:abstractNumId w:val="9"/>
  </w:num>
  <w:num w:numId="66">
    <w:abstractNumId w:val="13"/>
  </w:num>
  <w:num w:numId="67">
    <w:abstractNumId w:val="50"/>
  </w:num>
  <w:num w:numId="68">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72"/>
    <w:rsid w:val="0000091D"/>
    <w:rsid w:val="000049BB"/>
    <w:rsid w:val="00006CC5"/>
    <w:rsid w:val="00006F4C"/>
    <w:rsid w:val="00007147"/>
    <w:rsid w:val="00007844"/>
    <w:rsid w:val="000109C2"/>
    <w:rsid w:val="00012C0D"/>
    <w:rsid w:val="00012C5C"/>
    <w:rsid w:val="000162E7"/>
    <w:rsid w:val="000213F8"/>
    <w:rsid w:val="000221D2"/>
    <w:rsid w:val="00023406"/>
    <w:rsid w:val="00026762"/>
    <w:rsid w:val="0002778B"/>
    <w:rsid w:val="00027C54"/>
    <w:rsid w:val="00027CD8"/>
    <w:rsid w:val="000312E5"/>
    <w:rsid w:val="00032469"/>
    <w:rsid w:val="000336EB"/>
    <w:rsid w:val="00035E9B"/>
    <w:rsid w:val="00037949"/>
    <w:rsid w:val="00040C2B"/>
    <w:rsid w:val="000415EF"/>
    <w:rsid w:val="00041E93"/>
    <w:rsid w:val="0004225B"/>
    <w:rsid w:val="0004366C"/>
    <w:rsid w:val="00044CD6"/>
    <w:rsid w:val="000451C2"/>
    <w:rsid w:val="0004598D"/>
    <w:rsid w:val="00045F9F"/>
    <w:rsid w:val="000515C1"/>
    <w:rsid w:val="0005165F"/>
    <w:rsid w:val="00052B82"/>
    <w:rsid w:val="00053050"/>
    <w:rsid w:val="00054158"/>
    <w:rsid w:val="00056CCF"/>
    <w:rsid w:val="000576D5"/>
    <w:rsid w:val="00057783"/>
    <w:rsid w:val="000604B8"/>
    <w:rsid w:val="00060DBD"/>
    <w:rsid w:val="00061669"/>
    <w:rsid w:val="0006454C"/>
    <w:rsid w:val="000665F7"/>
    <w:rsid w:val="0006750A"/>
    <w:rsid w:val="0007051B"/>
    <w:rsid w:val="00074B8A"/>
    <w:rsid w:val="00074CE0"/>
    <w:rsid w:val="00076C01"/>
    <w:rsid w:val="00077322"/>
    <w:rsid w:val="00077AFD"/>
    <w:rsid w:val="000807B2"/>
    <w:rsid w:val="00082170"/>
    <w:rsid w:val="0008378E"/>
    <w:rsid w:val="00083B15"/>
    <w:rsid w:val="000851C2"/>
    <w:rsid w:val="00087903"/>
    <w:rsid w:val="000907AD"/>
    <w:rsid w:val="0009227D"/>
    <w:rsid w:val="00093605"/>
    <w:rsid w:val="000A1997"/>
    <w:rsid w:val="000A1D87"/>
    <w:rsid w:val="000A5084"/>
    <w:rsid w:val="000A76B3"/>
    <w:rsid w:val="000B0734"/>
    <w:rsid w:val="000B1BA6"/>
    <w:rsid w:val="000B2682"/>
    <w:rsid w:val="000B37BD"/>
    <w:rsid w:val="000B676F"/>
    <w:rsid w:val="000C1BC8"/>
    <w:rsid w:val="000C3074"/>
    <w:rsid w:val="000C394B"/>
    <w:rsid w:val="000D0903"/>
    <w:rsid w:val="000D11C4"/>
    <w:rsid w:val="000D3D73"/>
    <w:rsid w:val="000D56E3"/>
    <w:rsid w:val="000D5C2D"/>
    <w:rsid w:val="000D6814"/>
    <w:rsid w:val="000D7089"/>
    <w:rsid w:val="000E325B"/>
    <w:rsid w:val="000E5156"/>
    <w:rsid w:val="000E543A"/>
    <w:rsid w:val="000E5E85"/>
    <w:rsid w:val="000E7E9D"/>
    <w:rsid w:val="000F32A2"/>
    <w:rsid w:val="000F3513"/>
    <w:rsid w:val="000F3F21"/>
    <w:rsid w:val="000F5E56"/>
    <w:rsid w:val="001005D4"/>
    <w:rsid w:val="00101574"/>
    <w:rsid w:val="0010792B"/>
    <w:rsid w:val="00107C27"/>
    <w:rsid w:val="00110371"/>
    <w:rsid w:val="0011083B"/>
    <w:rsid w:val="0011117D"/>
    <w:rsid w:val="00113D5B"/>
    <w:rsid w:val="00116101"/>
    <w:rsid w:val="00116946"/>
    <w:rsid w:val="00116BDF"/>
    <w:rsid w:val="00121628"/>
    <w:rsid w:val="00122A48"/>
    <w:rsid w:val="00123BDB"/>
    <w:rsid w:val="00125461"/>
    <w:rsid w:val="001255DF"/>
    <w:rsid w:val="0012612E"/>
    <w:rsid w:val="001263A9"/>
    <w:rsid w:val="001264AF"/>
    <w:rsid w:val="00131C54"/>
    <w:rsid w:val="00132377"/>
    <w:rsid w:val="00132699"/>
    <w:rsid w:val="00132AE4"/>
    <w:rsid w:val="001332DF"/>
    <w:rsid w:val="00133F0F"/>
    <w:rsid w:val="00134FA7"/>
    <w:rsid w:val="00142088"/>
    <w:rsid w:val="001421EB"/>
    <w:rsid w:val="00142CB4"/>
    <w:rsid w:val="00150477"/>
    <w:rsid w:val="00152F76"/>
    <w:rsid w:val="00153AFB"/>
    <w:rsid w:val="0015590D"/>
    <w:rsid w:val="001617F6"/>
    <w:rsid w:val="00161C4D"/>
    <w:rsid w:val="001629A4"/>
    <w:rsid w:val="001639F2"/>
    <w:rsid w:val="00163E39"/>
    <w:rsid w:val="00165A92"/>
    <w:rsid w:val="001679D2"/>
    <w:rsid w:val="00170D74"/>
    <w:rsid w:val="00171B31"/>
    <w:rsid w:val="00174E48"/>
    <w:rsid w:val="001758A3"/>
    <w:rsid w:val="00182300"/>
    <w:rsid w:val="00183AAB"/>
    <w:rsid w:val="00184CA8"/>
    <w:rsid w:val="00185F66"/>
    <w:rsid w:val="001863EC"/>
    <w:rsid w:val="00191A38"/>
    <w:rsid w:val="001940AB"/>
    <w:rsid w:val="0019480D"/>
    <w:rsid w:val="001951AB"/>
    <w:rsid w:val="00197248"/>
    <w:rsid w:val="001975D1"/>
    <w:rsid w:val="00197A36"/>
    <w:rsid w:val="001A24E8"/>
    <w:rsid w:val="001A2CAA"/>
    <w:rsid w:val="001A39C8"/>
    <w:rsid w:val="001A40FC"/>
    <w:rsid w:val="001A4919"/>
    <w:rsid w:val="001B2A68"/>
    <w:rsid w:val="001B3156"/>
    <w:rsid w:val="001B499B"/>
    <w:rsid w:val="001B55B5"/>
    <w:rsid w:val="001C4B9B"/>
    <w:rsid w:val="001C64C0"/>
    <w:rsid w:val="001C73E1"/>
    <w:rsid w:val="001C7643"/>
    <w:rsid w:val="001D049D"/>
    <w:rsid w:val="001D064D"/>
    <w:rsid w:val="001D0AD5"/>
    <w:rsid w:val="001D1D11"/>
    <w:rsid w:val="001D30A5"/>
    <w:rsid w:val="001D5CBC"/>
    <w:rsid w:val="001D6A36"/>
    <w:rsid w:val="001E1918"/>
    <w:rsid w:val="001E233E"/>
    <w:rsid w:val="001F098A"/>
    <w:rsid w:val="001F1B8D"/>
    <w:rsid w:val="001F2AB9"/>
    <w:rsid w:val="001F3C53"/>
    <w:rsid w:val="001F4CED"/>
    <w:rsid w:val="001F7EFB"/>
    <w:rsid w:val="00201A39"/>
    <w:rsid w:val="002108A4"/>
    <w:rsid w:val="00210C1A"/>
    <w:rsid w:val="0021272C"/>
    <w:rsid w:val="002134FF"/>
    <w:rsid w:val="00215183"/>
    <w:rsid w:val="00217609"/>
    <w:rsid w:val="00220043"/>
    <w:rsid w:val="00221622"/>
    <w:rsid w:val="00222157"/>
    <w:rsid w:val="0022303B"/>
    <w:rsid w:val="00224C21"/>
    <w:rsid w:val="002263BC"/>
    <w:rsid w:val="00233E35"/>
    <w:rsid w:val="0023552A"/>
    <w:rsid w:val="00236975"/>
    <w:rsid w:val="00243DE7"/>
    <w:rsid w:val="00256706"/>
    <w:rsid w:val="00256E8D"/>
    <w:rsid w:val="00257C6F"/>
    <w:rsid w:val="00260C9C"/>
    <w:rsid w:val="00266EE6"/>
    <w:rsid w:val="0027110B"/>
    <w:rsid w:val="00272653"/>
    <w:rsid w:val="002744F3"/>
    <w:rsid w:val="0027498F"/>
    <w:rsid w:val="00275F30"/>
    <w:rsid w:val="00276364"/>
    <w:rsid w:val="00280F5F"/>
    <w:rsid w:val="0028213B"/>
    <w:rsid w:val="00282FBA"/>
    <w:rsid w:val="00284B17"/>
    <w:rsid w:val="002905C3"/>
    <w:rsid w:val="0029141E"/>
    <w:rsid w:val="00291991"/>
    <w:rsid w:val="00291BB8"/>
    <w:rsid w:val="0029378B"/>
    <w:rsid w:val="00294484"/>
    <w:rsid w:val="0029469F"/>
    <w:rsid w:val="0029655E"/>
    <w:rsid w:val="00297D33"/>
    <w:rsid w:val="002A210E"/>
    <w:rsid w:val="002A36BE"/>
    <w:rsid w:val="002A3DB7"/>
    <w:rsid w:val="002A593E"/>
    <w:rsid w:val="002A7482"/>
    <w:rsid w:val="002B0E85"/>
    <w:rsid w:val="002B2227"/>
    <w:rsid w:val="002B2A5B"/>
    <w:rsid w:val="002B3153"/>
    <w:rsid w:val="002B4639"/>
    <w:rsid w:val="002B65DC"/>
    <w:rsid w:val="002B7721"/>
    <w:rsid w:val="002C14D7"/>
    <w:rsid w:val="002C28B2"/>
    <w:rsid w:val="002C2DAB"/>
    <w:rsid w:val="002C4085"/>
    <w:rsid w:val="002C4501"/>
    <w:rsid w:val="002C464A"/>
    <w:rsid w:val="002C58F6"/>
    <w:rsid w:val="002C5C97"/>
    <w:rsid w:val="002D27EA"/>
    <w:rsid w:val="002D4C61"/>
    <w:rsid w:val="002D52EF"/>
    <w:rsid w:val="002D536E"/>
    <w:rsid w:val="002D5A0D"/>
    <w:rsid w:val="002E0189"/>
    <w:rsid w:val="002E40A4"/>
    <w:rsid w:val="002E4A0E"/>
    <w:rsid w:val="002F008A"/>
    <w:rsid w:val="002F12CE"/>
    <w:rsid w:val="002F43BE"/>
    <w:rsid w:val="002F5376"/>
    <w:rsid w:val="002F7F39"/>
    <w:rsid w:val="002F7FD7"/>
    <w:rsid w:val="00301355"/>
    <w:rsid w:val="00303177"/>
    <w:rsid w:val="003040CB"/>
    <w:rsid w:val="003049DA"/>
    <w:rsid w:val="0030605F"/>
    <w:rsid w:val="00311475"/>
    <w:rsid w:val="00316467"/>
    <w:rsid w:val="0031673E"/>
    <w:rsid w:val="003200C0"/>
    <w:rsid w:val="003220A7"/>
    <w:rsid w:val="003229D0"/>
    <w:rsid w:val="00326352"/>
    <w:rsid w:val="00331282"/>
    <w:rsid w:val="00331946"/>
    <w:rsid w:val="00331EA5"/>
    <w:rsid w:val="0033248B"/>
    <w:rsid w:val="00332899"/>
    <w:rsid w:val="00335680"/>
    <w:rsid w:val="0034327B"/>
    <w:rsid w:val="0034381A"/>
    <w:rsid w:val="00346233"/>
    <w:rsid w:val="003476A4"/>
    <w:rsid w:val="00347C68"/>
    <w:rsid w:val="00353B57"/>
    <w:rsid w:val="00355514"/>
    <w:rsid w:val="0036135A"/>
    <w:rsid w:val="00363BF3"/>
    <w:rsid w:val="0037029C"/>
    <w:rsid w:val="003730D5"/>
    <w:rsid w:val="003732EE"/>
    <w:rsid w:val="00373566"/>
    <w:rsid w:val="0037530D"/>
    <w:rsid w:val="00375F92"/>
    <w:rsid w:val="00377124"/>
    <w:rsid w:val="00380303"/>
    <w:rsid w:val="00381014"/>
    <w:rsid w:val="003854A1"/>
    <w:rsid w:val="00386AA0"/>
    <w:rsid w:val="00386C4D"/>
    <w:rsid w:val="003870DE"/>
    <w:rsid w:val="0039017E"/>
    <w:rsid w:val="00390AA9"/>
    <w:rsid w:val="00391EEB"/>
    <w:rsid w:val="003937AC"/>
    <w:rsid w:val="003944CA"/>
    <w:rsid w:val="00394CCE"/>
    <w:rsid w:val="00395753"/>
    <w:rsid w:val="00397278"/>
    <w:rsid w:val="00397642"/>
    <w:rsid w:val="003A2499"/>
    <w:rsid w:val="003A4282"/>
    <w:rsid w:val="003A4872"/>
    <w:rsid w:val="003A4A6D"/>
    <w:rsid w:val="003A56C4"/>
    <w:rsid w:val="003A67C9"/>
    <w:rsid w:val="003A711C"/>
    <w:rsid w:val="003A7647"/>
    <w:rsid w:val="003B2713"/>
    <w:rsid w:val="003B2E20"/>
    <w:rsid w:val="003B3CCE"/>
    <w:rsid w:val="003B53D6"/>
    <w:rsid w:val="003C06B1"/>
    <w:rsid w:val="003C22DC"/>
    <w:rsid w:val="003C54E8"/>
    <w:rsid w:val="003C5BD5"/>
    <w:rsid w:val="003C5CAA"/>
    <w:rsid w:val="003C5F06"/>
    <w:rsid w:val="003C7BE3"/>
    <w:rsid w:val="003D002D"/>
    <w:rsid w:val="003D1139"/>
    <w:rsid w:val="003D13C0"/>
    <w:rsid w:val="003D2845"/>
    <w:rsid w:val="003D2E53"/>
    <w:rsid w:val="003D6C74"/>
    <w:rsid w:val="003E1382"/>
    <w:rsid w:val="003E5B97"/>
    <w:rsid w:val="003E6BEB"/>
    <w:rsid w:val="003E7F59"/>
    <w:rsid w:val="003F0515"/>
    <w:rsid w:val="003F268C"/>
    <w:rsid w:val="003F2BA6"/>
    <w:rsid w:val="003F7722"/>
    <w:rsid w:val="0040210F"/>
    <w:rsid w:val="00405916"/>
    <w:rsid w:val="00405A83"/>
    <w:rsid w:val="004066EA"/>
    <w:rsid w:val="00407A93"/>
    <w:rsid w:val="00411B58"/>
    <w:rsid w:val="004123DC"/>
    <w:rsid w:val="00413412"/>
    <w:rsid w:val="004137A8"/>
    <w:rsid w:val="00416C22"/>
    <w:rsid w:val="0042151A"/>
    <w:rsid w:val="00422204"/>
    <w:rsid w:val="00422E66"/>
    <w:rsid w:val="00424F32"/>
    <w:rsid w:val="00426F25"/>
    <w:rsid w:val="00427625"/>
    <w:rsid w:val="00427751"/>
    <w:rsid w:val="0042782B"/>
    <w:rsid w:val="00427D54"/>
    <w:rsid w:val="0043047C"/>
    <w:rsid w:val="00431358"/>
    <w:rsid w:val="00432592"/>
    <w:rsid w:val="004349FE"/>
    <w:rsid w:val="0043570F"/>
    <w:rsid w:val="00436EF4"/>
    <w:rsid w:val="0044237A"/>
    <w:rsid w:val="0044238B"/>
    <w:rsid w:val="004424CD"/>
    <w:rsid w:val="00442C33"/>
    <w:rsid w:val="00444084"/>
    <w:rsid w:val="0044622C"/>
    <w:rsid w:val="00451347"/>
    <w:rsid w:val="004548B5"/>
    <w:rsid w:val="00456CEF"/>
    <w:rsid w:val="00460899"/>
    <w:rsid w:val="004668D8"/>
    <w:rsid w:val="00470627"/>
    <w:rsid w:val="004706C1"/>
    <w:rsid w:val="0047137A"/>
    <w:rsid w:val="004714DA"/>
    <w:rsid w:val="00474D3B"/>
    <w:rsid w:val="00474EE2"/>
    <w:rsid w:val="00475182"/>
    <w:rsid w:val="00476638"/>
    <w:rsid w:val="00480FF7"/>
    <w:rsid w:val="00487501"/>
    <w:rsid w:val="004920F1"/>
    <w:rsid w:val="00492808"/>
    <w:rsid w:val="004948E4"/>
    <w:rsid w:val="00495F5D"/>
    <w:rsid w:val="004973A2"/>
    <w:rsid w:val="00497C1C"/>
    <w:rsid w:val="004A05A9"/>
    <w:rsid w:val="004A56A9"/>
    <w:rsid w:val="004B0065"/>
    <w:rsid w:val="004B144C"/>
    <w:rsid w:val="004B392F"/>
    <w:rsid w:val="004B4972"/>
    <w:rsid w:val="004B5772"/>
    <w:rsid w:val="004B72FF"/>
    <w:rsid w:val="004C0828"/>
    <w:rsid w:val="004C0846"/>
    <w:rsid w:val="004C0B98"/>
    <w:rsid w:val="004C1923"/>
    <w:rsid w:val="004C2480"/>
    <w:rsid w:val="004C41D2"/>
    <w:rsid w:val="004C5976"/>
    <w:rsid w:val="004C6E70"/>
    <w:rsid w:val="004D30CA"/>
    <w:rsid w:val="004E2248"/>
    <w:rsid w:val="004E2B56"/>
    <w:rsid w:val="004F10F6"/>
    <w:rsid w:val="004F2842"/>
    <w:rsid w:val="004F37EB"/>
    <w:rsid w:val="004F38C6"/>
    <w:rsid w:val="004F529F"/>
    <w:rsid w:val="004F5CAC"/>
    <w:rsid w:val="004F6440"/>
    <w:rsid w:val="004F669C"/>
    <w:rsid w:val="00501EA7"/>
    <w:rsid w:val="005052C2"/>
    <w:rsid w:val="00505F88"/>
    <w:rsid w:val="00506966"/>
    <w:rsid w:val="005074A2"/>
    <w:rsid w:val="00512414"/>
    <w:rsid w:val="005149D6"/>
    <w:rsid w:val="00516123"/>
    <w:rsid w:val="0051624C"/>
    <w:rsid w:val="00525109"/>
    <w:rsid w:val="00534BDF"/>
    <w:rsid w:val="00534FF7"/>
    <w:rsid w:val="005353AA"/>
    <w:rsid w:val="0053791F"/>
    <w:rsid w:val="00540450"/>
    <w:rsid w:val="00541BB5"/>
    <w:rsid w:val="005425A2"/>
    <w:rsid w:val="0054604B"/>
    <w:rsid w:val="0054732F"/>
    <w:rsid w:val="00547D01"/>
    <w:rsid w:val="00551909"/>
    <w:rsid w:val="00553CEC"/>
    <w:rsid w:val="00556BDF"/>
    <w:rsid w:val="00563367"/>
    <w:rsid w:val="00563411"/>
    <w:rsid w:val="00563627"/>
    <w:rsid w:val="005653EF"/>
    <w:rsid w:val="00567D1F"/>
    <w:rsid w:val="0057079A"/>
    <w:rsid w:val="005729B4"/>
    <w:rsid w:val="00576229"/>
    <w:rsid w:val="0058146D"/>
    <w:rsid w:val="00582197"/>
    <w:rsid w:val="0058354C"/>
    <w:rsid w:val="00584546"/>
    <w:rsid w:val="00585397"/>
    <w:rsid w:val="00585A95"/>
    <w:rsid w:val="00585D67"/>
    <w:rsid w:val="00586A7E"/>
    <w:rsid w:val="00595116"/>
    <w:rsid w:val="005958EF"/>
    <w:rsid w:val="00595E0F"/>
    <w:rsid w:val="0059778C"/>
    <w:rsid w:val="0059798C"/>
    <w:rsid w:val="005A0522"/>
    <w:rsid w:val="005A3BB7"/>
    <w:rsid w:val="005A4192"/>
    <w:rsid w:val="005A468B"/>
    <w:rsid w:val="005A4E64"/>
    <w:rsid w:val="005A535A"/>
    <w:rsid w:val="005A5F86"/>
    <w:rsid w:val="005A6258"/>
    <w:rsid w:val="005A7A17"/>
    <w:rsid w:val="005B0587"/>
    <w:rsid w:val="005B067B"/>
    <w:rsid w:val="005B09C7"/>
    <w:rsid w:val="005B44D3"/>
    <w:rsid w:val="005B5A2B"/>
    <w:rsid w:val="005B65F4"/>
    <w:rsid w:val="005B690A"/>
    <w:rsid w:val="005B70F9"/>
    <w:rsid w:val="005B7907"/>
    <w:rsid w:val="005B7BCC"/>
    <w:rsid w:val="005C0BFE"/>
    <w:rsid w:val="005C45F9"/>
    <w:rsid w:val="005C5366"/>
    <w:rsid w:val="005D036B"/>
    <w:rsid w:val="005D2FBB"/>
    <w:rsid w:val="005D4B55"/>
    <w:rsid w:val="005D65FA"/>
    <w:rsid w:val="005D7AA1"/>
    <w:rsid w:val="005E174E"/>
    <w:rsid w:val="005E3627"/>
    <w:rsid w:val="005E4873"/>
    <w:rsid w:val="005E5AC1"/>
    <w:rsid w:val="005E628B"/>
    <w:rsid w:val="005E73F8"/>
    <w:rsid w:val="005E7EF4"/>
    <w:rsid w:val="005F036C"/>
    <w:rsid w:val="005F0BC9"/>
    <w:rsid w:val="005F3E8D"/>
    <w:rsid w:val="005F658A"/>
    <w:rsid w:val="005F7AE2"/>
    <w:rsid w:val="00603A8E"/>
    <w:rsid w:val="0060744C"/>
    <w:rsid w:val="00607E5F"/>
    <w:rsid w:val="00607F23"/>
    <w:rsid w:val="00613CA2"/>
    <w:rsid w:val="00620A78"/>
    <w:rsid w:val="0062298C"/>
    <w:rsid w:val="00622DFC"/>
    <w:rsid w:val="006272AA"/>
    <w:rsid w:val="006278DA"/>
    <w:rsid w:val="006279C3"/>
    <w:rsid w:val="0063109A"/>
    <w:rsid w:val="006339A6"/>
    <w:rsid w:val="006339C7"/>
    <w:rsid w:val="00634A90"/>
    <w:rsid w:val="006415B8"/>
    <w:rsid w:val="0064561A"/>
    <w:rsid w:val="00646033"/>
    <w:rsid w:val="0064760A"/>
    <w:rsid w:val="00650F2B"/>
    <w:rsid w:val="00653947"/>
    <w:rsid w:val="00653B17"/>
    <w:rsid w:val="00653B24"/>
    <w:rsid w:val="006542E2"/>
    <w:rsid w:val="0065798D"/>
    <w:rsid w:val="00665BB5"/>
    <w:rsid w:val="00667C88"/>
    <w:rsid w:val="00673DD2"/>
    <w:rsid w:val="00674233"/>
    <w:rsid w:val="00674E7E"/>
    <w:rsid w:val="006752BD"/>
    <w:rsid w:val="00681584"/>
    <w:rsid w:val="00685A69"/>
    <w:rsid w:val="00685AC5"/>
    <w:rsid w:val="00686B00"/>
    <w:rsid w:val="006949AB"/>
    <w:rsid w:val="00696943"/>
    <w:rsid w:val="006A11D1"/>
    <w:rsid w:val="006A3753"/>
    <w:rsid w:val="006A6887"/>
    <w:rsid w:val="006B2A99"/>
    <w:rsid w:val="006B3518"/>
    <w:rsid w:val="006B423D"/>
    <w:rsid w:val="006B494F"/>
    <w:rsid w:val="006B6903"/>
    <w:rsid w:val="006B711A"/>
    <w:rsid w:val="006B78FD"/>
    <w:rsid w:val="006C0CC0"/>
    <w:rsid w:val="006C0F44"/>
    <w:rsid w:val="006C23BF"/>
    <w:rsid w:val="006C2B19"/>
    <w:rsid w:val="006C2EC1"/>
    <w:rsid w:val="006D0225"/>
    <w:rsid w:val="006D1A00"/>
    <w:rsid w:val="006D2062"/>
    <w:rsid w:val="006D2991"/>
    <w:rsid w:val="006D3341"/>
    <w:rsid w:val="006D3B08"/>
    <w:rsid w:val="006D4DAF"/>
    <w:rsid w:val="006D5911"/>
    <w:rsid w:val="006D647B"/>
    <w:rsid w:val="006D7EAB"/>
    <w:rsid w:val="006E0321"/>
    <w:rsid w:val="006E2536"/>
    <w:rsid w:val="006E3A04"/>
    <w:rsid w:val="006E495C"/>
    <w:rsid w:val="006F0AC9"/>
    <w:rsid w:val="006F1F82"/>
    <w:rsid w:val="006F3035"/>
    <w:rsid w:val="00701F9F"/>
    <w:rsid w:val="007067DC"/>
    <w:rsid w:val="0071346A"/>
    <w:rsid w:val="00714721"/>
    <w:rsid w:val="00715760"/>
    <w:rsid w:val="0071750D"/>
    <w:rsid w:val="007203AC"/>
    <w:rsid w:val="007212D5"/>
    <w:rsid w:val="0072169A"/>
    <w:rsid w:val="00722AE5"/>
    <w:rsid w:val="0072618D"/>
    <w:rsid w:val="007261AA"/>
    <w:rsid w:val="00731437"/>
    <w:rsid w:val="00731B0C"/>
    <w:rsid w:val="007332F9"/>
    <w:rsid w:val="00733B2C"/>
    <w:rsid w:val="0073642E"/>
    <w:rsid w:val="0073798F"/>
    <w:rsid w:val="007408E7"/>
    <w:rsid w:val="00740ABD"/>
    <w:rsid w:val="00740E3B"/>
    <w:rsid w:val="007430B6"/>
    <w:rsid w:val="00743826"/>
    <w:rsid w:val="0074450A"/>
    <w:rsid w:val="007470A8"/>
    <w:rsid w:val="00750FDB"/>
    <w:rsid w:val="0075404D"/>
    <w:rsid w:val="0075442F"/>
    <w:rsid w:val="00754A64"/>
    <w:rsid w:val="00755133"/>
    <w:rsid w:val="00761EDA"/>
    <w:rsid w:val="00762254"/>
    <w:rsid w:val="00764F2E"/>
    <w:rsid w:val="00765359"/>
    <w:rsid w:val="007714BC"/>
    <w:rsid w:val="00774714"/>
    <w:rsid w:val="00774855"/>
    <w:rsid w:val="00777BDA"/>
    <w:rsid w:val="007806A2"/>
    <w:rsid w:val="00782143"/>
    <w:rsid w:val="00783363"/>
    <w:rsid w:val="00784784"/>
    <w:rsid w:val="00785112"/>
    <w:rsid w:val="00785AE3"/>
    <w:rsid w:val="007868BF"/>
    <w:rsid w:val="00793F7A"/>
    <w:rsid w:val="007940A1"/>
    <w:rsid w:val="00794AF6"/>
    <w:rsid w:val="007A075D"/>
    <w:rsid w:val="007A14AD"/>
    <w:rsid w:val="007A3AC2"/>
    <w:rsid w:val="007A3FED"/>
    <w:rsid w:val="007A65AE"/>
    <w:rsid w:val="007B6146"/>
    <w:rsid w:val="007C1806"/>
    <w:rsid w:val="007C1876"/>
    <w:rsid w:val="007C1976"/>
    <w:rsid w:val="007C2BF4"/>
    <w:rsid w:val="007C32CC"/>
    <w:rsid w:val="007C407A"/>
    <w:rsid w:val="007C4173"/>
    <w:rsid w:val="007D0D94"/>
    <w:rsid w:val="007D3C04"/>
    <w:rsid w:val="007D47D2"/>
    <w:rsid w:val="007D72C7"/>
    <w:rsid w:val="007E0B34"/>
    <w:rsid w:val="007E2E13"/>
    <w:rsid w:val="007E44DE"/>
    <w:rsid w:val="007E576A"/>
    <w:rsid w:val="007E6F54"/>
    <w:rsid w:val="007F166B"/>
    <w:rsid w:val="007F477B"/>
    <w:rsid w:val="007F55C1"/>
    <w:rsid w:val="007F5DF5"/>
    <w:rsid w:val="00800C93"/>
    <w:rsid w:val="00801142"/>
    <w:rsid w:val="00801C40"/>
    <w:rsid w:val="00803ED6"/>
    <w:rsid w:val="00811AC5"/>
    <w:rsid w:val="00811ACF"/>
    <w:rsid w:val="008120CE"/>
    <w:rsid w:val="00812C85"/>
    <w:rsid w:val="00813E82"/>
    <w:rsid w:val="0081412F"/>
    <w:rsid w:val="00815489"/>
    <w:rsid w:val="00820AF8"/>
    <w:rsid w:val="00825331"/>
    <w:rsid w:val="00826039"/>
    <w:rsid w:val="00827954"/>
    <w:rsid w:val="00831C9D"/>
    <w:rsid w:val="00833D12"/>
    <w:rsid w:val="00835A5A"/>
    <w:rsid w:val="00843D9F"/>
    <w:rsid w:val="00845656"/>
    <w:rsid w:val="008544A5"/>
    <w:rsid w:val="008545E9"/>
    <w:rsid w:val="00861A47"/>
    <w:rsid w:val="00862609"/>
    <w:rsid w:val="00863FC3"/>
    <w:rsid w:val="00864D0C"/>
    <w:rsid w:val="00865B13"/>
    <w:rsid w:val="008661A5"/>
    <w:rsid w:val="008707CA"/>
    <w:rsid w:val="00871BA7"/>
    <w:rsid w:val="00873E3B"/>
    <w:rsid w:val="008804CE"/>
    <w:rsid w:val="00881CB8"/>
    <w:rsid w:val="00884013"/>
    <w:rsid w:val="00884B74"/>
    <w:rsid w:val="00891880"/>
    <w:rsid w:val="00891AFC"/>
    <w:rsid w:val="008921BB"/>
    <w:rsid w:val="00892F82"/>
    <w:rsid w:val="00896B05"/>
    <w:rsid w:val="008A5433"/>
    <w:rsid w:val="008A6991"/>
    <w:rsid w:val="008B0E1D"/>
    <w:rsid w:val="008B1B37"/>
    <w:rsid w:val="008B46EC"/>
    <w:rsid w:val="008B4CB7"/>
    <w:rsid w:val="008C1CA8"/>
    <w:rsid w:val="008C2F29"/>
    <w:rsid w:val="008C48AD"/>
    <w:rsid w:val="008C68CA"/>
    <w:rsid w:val="008C7977"/>
    <w:rsid w:val="008D00C9"/>
    <w:rsid w:val="008D04B1"/>
    <w:rsid w:val="008D10A9"/>
    <w:rsid w:val="008D2B13"/>
    <w:rsid w:val="008D33E4"/>
    <w:rsid w:val="008D3CCA"/>
    <w:rsid w:val="008D5919"/>
    <w:rsid w:val="008D7D4E"/>
    <w:rsid w:val="008E0A1F"/>
    <w:rsid w:val="008E3262"/>
    <w:rsid w:val="008E4A35"/>
    <w:rsid w:val="008E59A5"/>
    <w:rsid w:val="008F15AD"/>
    <w:rsid w:val="008F39BA"/>
    <w:rsid w:val="008F6099"/>
    <w:rsid w:val="008F65EE"/>
    <w:rsid w:val="00901184"/>
    <w:rsid w:val="0090703E"/>
    <w:rsid w:val="00907893"/>
    <w:rsid w:val="009109F4"/>
    <w:rsid w:val="00911FE3"/>
    <w:rsid w:val="0091219D"/>
    <w:rsid w:val="0091263A"/>
    <w:rsid w:val="00913F82"/>
    <w:rsid w:val="00914689"/>
    <w:rsid w:val="00916032"/>
    <w:rsid w:val="00917DAB"/>
    <w:rsid w:val="0092461F"/>
    <w:rsid w:val="00927FEB"/>
    <w:rsid w:val="00931A9D"/>
    <w:rsid w:val="009351FA"/>
    <w:rsid w:val="009409CD"/>
    <w:rsid w:val="0094260B"/>
    <w:rsid w:val="00943E45"/>
    <w:rsid w:val="00945F3C"/>
    <w:rsid w:val="009467EC"/>
    <w:rsid w:val="00946BA6"/>
    <w:rsid w:val="00950828"/>
    <w:rsid w:val="00954CEC"/>
    <w:rsid w:val="00963025"/>
    <w:rsid w:val="009667BF"/>
    <w:rsid w:val="0096724A"/>
    <w:rsid w:val="009676A8"/>
    <w:rsid w:val="0097190A"/>
    <w:rsid w:val="00972268"/>
    <w:rsid w:val="00975865"/>
    <w:rsid w:val="009774EC"/>
    <w:rsid w:val="00980304"/>
    <w:rsid w:val="00980A62"/>
    <w:rsid w:val="009815E0"/>
    <w:rsid w:val="00984DE3"/>
    <w:rsid w:val="0098505D"/>
    <w:rsid w:val="00985758"/>
    <w:rsid w:val="00990068"/>
    <w:rsid w:val="009903F8"/>
    <w:rsid w:val="00991544"/>
    <w:rsid w:val="00991EFE"/>
    <w:rsid w:val="00992E00"/>
    <w:rsid w:val="0099346C"/>
    <w:rsid w:val="00993478"/>
    <w:rsid w:val="00993DF6"/>
    <w:rsid w:val="009949DF"/>
    <w:rsid w:val="00996C31"/>
    <w:rsid w:val="00997A9F"/>
    <w:rsid w:val="00997AC3"/>
    <w:rsid w:val="009A23EA"/>
    <w:rsid w:val="009A4243"/>
    <w:rsid w:val="009A5424"/>
    <w:rsid w:val="009A6A4C"/>
    <w:rsid w:val="009A78AE"/>
    <w:rsid w:val="009B02F8"/>
    <w:rsid w:val="009B18D6"/>
    <w:rsid w:val="009B2D9B"/>
    <w:rsid w:val="009B348E"/>
    <w:rsid w:val="009B3B04"/>
    <w:rsid w:val="009C1BCE"/>
    <w:rsid w:val="009C4AA6"/>
    <w:rsid w:val="009C75CD"/>
    <w:rsid w:val="009D6684"/>
    <w:rsid w:val="009E0343"/>
    <w:rsid w:val="009E036A"/>
    <w:rsid w:val="009E2150"/>
    <w:rsid w:val="009E25B2"/>
    <w:rsid w:val="009E398B"/>
    <w:rsid w:val="009E43A6"/>
    <w:rsid w:val="009E699B"/>
    <w:rsid w:val="009F0BAE"/>
    <w:rsid w:val="009F10FB"/>
    <w:rsid w:val="009F28D7"/>
    <w:rsid w:val="009F3D4C"/>
    <w:rsid w:val="009F4EEC"/>
    <w:rsid w:val="009F5706"/>
    <w:rsid w:val="009F79F0"/>
    <w:rsid w:val="00A007A9"/>
    <w:rsid w:val="00A03127"/>
    <w:rsid w:val="00A03732"/>
    <w:rsid w:val="00A06CE7"/>
    <w:rsid w:val="00A10D18"/>
    <w:rsid w:val="00A11F7C"/>
    <w:rsid w:val="00A12528"/>
    <w:rsid w:val="00A136A0"/>
    <w:rsid w:val="00A16351"/>
    <w:rsid w:val="00A178D1"/>
    <w:rsid w:val="00A212CB"/>
    <w:rsid w:val="00A215B7"/>
    <w:rsid w:val="00A22479"/>
    <w:rsid w:val="00A2274D"/>
    <w:rsid w:val="00A2301F"/>
    <w:rsid w:val="00A249D7"/>
    <w:rsid w:val="00A24FFC"/>
    <w:rsid w:val="00A25CF6"/>
    <w:rsid w:val="00A25DB3"/>
    <w:rsid w:val="00A268D2"/>
    <w:rsid w:val="00A31881"/>
    <w:rsid w:val="00A31889"/>
    <w:rsid w:val="00A33DC8"/>
    <w:rsid w:val="00A35185"/>
    <w:rsid w:val="00A36AD2"/>
    <w:rsid w:val="00A429E3"/>
    <w:rsid w:val="00A43462"/>
    <w:rsid w:val="00A46A18"/>
    <w:rsid w:val="00A46CD4"/>
    <w:rsid w:val="00A51F6D"/>
    <w:rsid w:val="00A54314"/>
    <w:rsid w:val="00A5753F"/>
    <w:rsid w:val="00A60309"/>
    <w:rsid w:val="00A63451"/>
    <w:rsid w:val="00A65690"/>
    <w:rsid w:val="00A661EA"/>
    <w:rsid w:val="00A673AE"/>
    <w:rsid w:val="00A70620"/>
    <w:rsid w:val="00A70B54"/>
    <w:rsid w:val="00A70FDB"/>
    <w:rsid w:val="00A733CF"/>
    <w:rsid w:val="00A74ECC"/>
    <w:rsid w:val="00A7659D"/>
    <w:rsid w:val="00A7756C"/>
    <w:rsid w:val="00A81BE0"/>
    <w:rsid w:val="00A821ED"/>
    <w:rsid w:val="00A833CF"/>
    <w:rsid w:val="00A846CE"/>
    <w:rsid w:val="00A87573"/>
    <w:rsid w:val="00A87DFC"/>
    <w:rsid w:val="00A87EBC"/>
    <w:rsid w:val="00A908EA"/>
    <w:rsid w:val="00A91DA9"/>
    <w:rsid w:val="00A922AF"/>
    <w:rsid w:val="00A940B6"/>
    <w:rsid w:val="00A955DD"/>
    <w:rsid w:val="00A9563C"/>
    <w:rsid w:val="00A974AF"/>
    <w:rsid w:val="00AB17F8"/>
    <w:rsid w:val="00AB197F"/>
    <w:rsid w:val="00AB54B2"/>
    <w:rsid w:val="00AC012A"/>
    <w:rsid w:val="00AC0BA6"/>
    <w:rsid w:val="00AC0EDA"/>
    <w:rsid w:val="00AC1B5F"/>
    <w:rsid w:val="00AC1C3A"/>
    <w:rsid w:val="00AC43F7"/>
    <w:rsid w:val="00AC4829"/>
    <w:rsid w:val="00AC73AD"/>
    <w:rsid w:val="00AD1F76"/>
    <w:rsid w:val="00AD369E"/>
    <w:rsid w:val="00AD3EC6"/>
    <w:rsid w:val="00AD3FB8"/>
    <w:rsid w:val="00AD60B5"/>
    <w:rsid w:val="00AD6DC1"/>
    <w:rsid w:val="00AD74AA"/>
    <w:rsid w:val="00AE19F2"/>
    <w:rsid w:val="00AE2808"/>
    <w:rsid w:val="00AE3D47"/>
    <w:rsid w:val="00AE41AB"/>
    <w:rsid w:val="00AF10E7"/>
    <w:rsid w:val="00AF283E"/>
    <w:rsid w:val="00AF30A7"/>
    <w:rsid w:val="00AF44DE"/>
    <w:rsid w:val="00AF75F0"/>
    <w:rsid w:val="00AF7AC6"/>
    <w:rsid w:val="00B00B58"/>
    <w:rsid w:val="00B01D95"/>
    <w:rsid w:val="00B01F79"/>
    <w:rsid w:val="00B0220B"/>
    <w:rsid w:val="00B02F48"/>
    <w:rsid w:val="00B0368B"/>
    <w:rsid w:val="00B059F6"/>
    <w:rsid w:val="00B06239"/>
    <w:rsid w:val="00B06B1F"/>
    <w:rsid w:val="00B07CDA"/>
    <w:rsid w:val="00B1089B"/>
    <w:rsid w:val="00B1197B"/>
    <w:rsid w:val="00B12421"/>
    <w:rsid w:val="00B13BCA"/>
    <w:rsid w:val="00B167C0"/>
    <w:rsid w:val="00B17059"/>
    <w:rsid w:val="00B17608"/>
    <w:rsid w:val="00B21F32"/>
    <w:rsid w:val="00B2625B"/>
    <w:rsid w:val="00B3137C"/>
    <w:rsid w:val="00B31831"/>
    <w:rsid w:val="00B3314C"/>
    <w:rsid w:val="00B34410"/>
    <w:rsid w:val="00B3662D"/>
    <w:rsid w:val="00B40003"/>
    <w:rsid w:val="00B40732"/>
    <w:rsid w:val="00B415DF"/>
    <w:rsid w:val="00B4168A"/>
    <w:rsid w:val="00B4222D"/>
    <w:rsid w:val="00B44B9B"/>
    <w:rsid w:val="00B46AE8"/>
    <w:rsid w:val="00B50EFB"/>
    <w:rsid w:val="00B5128C"/>
    <w:rsid w:val="00B5162F"/>
    <w:rsid w:val="00B55A50"/>
    <w:rsid w:val="00B578A6"/>
    <w:rsid w:val="00B61AA0"/>
    <w:rsid w:val="00B63AD1"/>
    <w:rsid w:val="00B65E08"/>
    <w:rsid w:val="00B67895"/>
    <w:rsid w:val="00B71AC9"/>
    <w:rsid w:val="00B72742"/>
    <w:rsid w:val="00B72FFE"/>
    <w:rsid w:val="00B74A1A"/>
    <w:rsid w:val="00B772B3"/>
    <w:rsid w:val="00B77ADA"/>
    <w:rsid w:val="00B83553"/>
    <w:rsid w:val="00B858B6"/>
    <w:rsid w:val="00B92AB3"/>
    <w:rsid w:val="00B94145"/>
    <w:rsid w:val="00B95653"/>
    <w:rsid w:val="00B97E2B"/>
    <w:rsid w:val="00BA002E"/>
    <w:rsid w:val="00BA0709"/>
    <w:rsid w:val="00BA1253"/>
    <w:rsid w:val="00BA24EF"/>
    <w:rsid w:val="00BA2636"/>
    <w:rsid w:val="00BA3797"/>
    <w:rsid w:val="00BA5BBB"/>
    <w:rsid w:val="00BA6D9F"/>
    <w:rsid w:val="00BB1D4A"/>
    <w:rsid w:val="00BB35F3"/>
    <w:rsid w:val="00BB44D6"/>
    <w:rsid w:val="00BC27D6"/>
    <w:rsid w:val="00BC2B3E"/>
    <w:rsid w:val="00BC2FC5"/>
    <w:rsid w:val="00BC6B11"/>
    <w:rsid w:val="00BC7CE8"/>
    <w:rsid w:val="00BD18A8"/>
    <w:rsid w:val="00BD2A5E"/>
    <w:rsid w:val="00BD2E89"/>
    <w:rsid w:val="00BD67BF"/>
    <w:rsid w:val="00BE1BB4"/>
    <w:rsid w:val="00BE55F7"/>
    <w:rsid w:val="00BE6ECC"/>
    <w:rsid w:val="00BF0884"/>
    <w:rsid w:val="00BF11D9"/>
    <w:rsid w:val="00BF12CE"/>
    <w:rsid w:val="00BF1723"/>
    <w:rsid w:val="00BF183F"/>
    <w:rsid w:val="00BF2672"/>
    <w:rsid w:val="00C00118"/>
    <w:rsid w:val="00C0011A"/>
    <w:rsid w:val="00C0234D"/>
    <w:rsid w:val="00C05153"/>
    <w:rsid w:val="00C051FE"/>
    <w:rsid w:val="00C071CC"/>
    <w:rsid w:val="00C1083B"/>
    <w:rsid w:val="00C12FAA"/>
    <w:rsid w:val="00C1557E"/>
    <w:rsid w:val="00C15763"/>
    <w:rsid w:val="00C203F0"/>
    <w:rsid w:val="00C21DB4"/>
    <w:rsid w:val="00C2213F"/>
    <w:rsid w:val="00C22808"/>
    <w:rsid w:val="00C2310E"/>
    <w:rsid w:val="00C233D2"/>
    <w:rsid w:val="00C25563"/>
    <w:rsid w:val="00C2600D"/>
    <w:rsid w:val="00C30928"/>
    <w:rsid w:val="00C31790"/>
    <w:rsid w:val="00C317F5"/>
    <w:rsid w:val="00C33434"/>
    <w:rsid w:val="00C33B8D"/>
    <w:rsid w:val="00C342C2"/>
    <w:rsid w:val="00C36956"/>
    <w:rsid w:val="00C408C6"/>
    <w:rsid w:val="00C40CE2"/>
    <w:rsid w:val="00C441A3"/>
    <w:rsid w:val="00C475B1"/>
    <w:rsid w:val="00C47A7A"/>
    <w:rsid w:val="00C523D4"/>
    <w:rsid w:val="00C527FE"/>
    <w:rsid w:val="00C52D0C"/>
    <w:rsid w:val="00C53BF3"/>
    <w:rsid w:val="00C57DC0"/>
    <w:rsid w:val="00C601C7"/>
    <w:rsid w:val="00C614B0"/>
    <w:rsid w:val="00C6233E"/>
    <w:rsid w:val="00C623BC"/>
    <w:rsid w:val="00C655CC"/>
    <w:rsid w:val="00C655FB"/>
    <w:rsid w:val="00C70433"/>
    <w:rsid w:val="00C70987"/>
    <w:rsid w:val="00C70EDB"/>
    <w:rsid w:val="00C737C6"/>
    <w:rsid w:val="00C74071"/>
    <w:rsid w:val="00C7416B"/>
    <w:rsid w:val="00C759BF"/>
    <w:rsid w:val="00C75DB1"/>
    <w:rsid w:val="00C75FB7"/>
    <w:rsid w:val="00C77447"/>
    <w:rsid w:val="00C81E35"/>
    <w:rsid w:val="00C85AA7"/>
    <w:rsid w:val="00C86107"/>
    <w:rsid w:val="00C86803"/>
    <w:rsid w:val="00C86D0D"/>
    <w:rsid w:val="00C919B3"/>
    <w:rsid w:val="00C9211A"/>
    <w:rsid w:val="00C93968"/>
    <w:rsid w:val="00C93989"/>
    <w:rsid w:val="00C93D70"/>
    <w:rsid w:val="00C9443B"/>
    <w:rsid w:val="00C9735C"/>
    <w:rsid w:val="00C9767F"/>
    <w:rsid w:val="00CA0FCD"/>
    <w:rsid w:val="00CA1B19"/>
    <w:rsid w:val="00CB2B32"/>
    <w:rsid w:val="00CB52A8"/>
    <w:rsid w:val="00CC1397"/>
    <w:rsid w:val="00CC2044"/>
    <w:rsid w:val="00CC2149"/>
    <w:rsid w:val="00CC39D4"/>
    <w:rsid w:val="00CC3CEA"/>
    <w:rsid w:val="00CC53DD"/>
    <w:rsid w:val="00CC65C7"/>
    <w:rsid w:val="00CD1BF6"/>
    <w:rsid w:val="00CD3020"/>
    <w:rsid w:val="00CD3475"/>
    <w:rsid w:val="00CD3729"/>
    <w:rsid w:val="00CD6A8E"/>
    <w:rsid w:val="00CE2B54"/>
    <w:rsid w:val="00CE35FC"/>
    <w:rsid w:val="00CE52D0"/>
    <w:rsid w:val="00CE6238"/>
    <w:rsid w:val="00CE625B"/>
    <w:rsid w:val="00CE6F5D"/>
    <w:rsid w:val="00CF1B34"/>
    <w:rsid w:val="00CF2E58"/>
    <w:rsid w:val="00CF3E64"/>
    <w:rsid w:val="00CF6281"/>
    <w:rsid w:val="00D00B15"/>
    <w:rsid w:val="00D01BE1"/>
    <w:rsid w:val="00D0321B"/>
    <w:rsid w:val="00D032E2"/>
    <w:rsid w:val="00D033F0"/>
    <w:rsid w:val="00D04C2B"/>
    <w:rsid w:val="00D06DB6"/>
    <w:rsid w:val="00D127FC"/>
    <w:rsid w:val="00D136EF"/>
    <w:rsid w:val="00D13757"/>
    <w:rsid w:val="00D13A66"/>
    <w:rsid w:val="00D14333"/>
    <w:rsid w:val="00D14B65"/>
    <w:rsid w:val="00D14F51"/>
    <w:rsid w:val="00D16277"/>
    <w:rsid w:val="00D16C08"/>
    <w:rsid w:val="00D17E1E"/>
    <w:rsid w:val="00D21791"/>
    <w:rsid w:val="00D21EBE"/>
    <w:rsid w:val="00D268BB"/>
    <w:rsid w:val="00D3101B"/>
    <w:rsid w:val="00D33163"/>
    <w:rsid w:val="00D33712"/>
    <w:rsid w:val="00D340AC"/>
    <w:rsid w:val="00D36B04"/>
    <w:rsid w:val="00D36D01"/>
    <w:rsid w:val="00D3707B"/>
    <w:rsid w:val="00D43338"/>
    <w:rsid w:val="00D43582"/>
    <w:rsid w:val="00D51F57"/>
    <w:rsid w:val="00D5288C"/>
    <w:rsid w:val="00D52AEC"/>
    <w:rsid w:val="00D531B9"/>
    <w:rsid w:val="00D5380A"/>
    <w:rsid w:val="00D55877"/>
    <w:rsid w:val="00D65393"/>
    <w:rsid w:val="00D65D9B"/>
    <w:rsid w:val="00D669BD"/>
    <w:rsid w:val="00D701C5"/>
    <w:rsid w:val="00D7140C"/>
    <w:rsid w:val="00D72566"/>
    <w:rsid w:val="00D72DBE"/>
    <w:rsid w:val="00D73F7F"/>
    <w:rsid w:val="00D75FA8"/>
    <w:rsid w:val="00D76E49"/>
    <w:rsid w:val="00D80B94"/>
    <w:rsid w:val="00D8180A"/>
    <w:rsid w:val="00D81C6A"/>
    <w:rsid w:val="00D82F48"/>
    <w:rsid w:val="00D85EA0"/>
    <w:rsid w:val="00D869BE"/>
    <w:rsid w:val="00D86B8A"/>
    <w:rsid w:val="00D8745D"/>
    <w:rsid w:val="00D9193A"/>
    <w:rsid w:val="00D92B1B"/>
    <w:rsid w:val="00D94DE0"/>
    <w:rsid w:val="00D95C70"/>
    <w:rsid w:val="00DA19B8"/>
    <w:rsid w:val="00DB2971"/>
    <w:rsid w:val="00DB2C94"/>
    <w:rsid w:val="00DB798C"/>
    <w:rsid w:val="00DC06CB"/>
    <w:rsid w:val="00DC1917"/>
    <w:rsid w:val="00DC1BD0"/>
    <w:rsid w:val="00DC31D9"/>
    <w:rsid w:val="00DC63FA"/>
    <w:rsid w:val="00DC6717"/>
    <w:rsid w:val="00DC717E"/>
    <w:rsid w:val="00DD1F51"/>
    <w:rsid w:val="00DE49FB"/>
    <w:rsid w:val="00DE7514"/>
    <w:rsid w:val="00DF17F3"/>
    <w:rsid w:val="00DF2C75"/>
    <w:rsid w:val="00DF725D"/>
    <w:rsid w:val="00DF764D"/>
    <w:rsid w:val="00DF76DE"/>
    <w:rsid w:val="00E00192"/>
    <w:rsid w:val="00E00D7C"/>
    <w:rsid w:val="00E01918"/>
    <w:rsid w:val="00E03CD5"/>
    <w:rsid w:val="00E04577"/>
    <w:rsid w:val="00E05DCD"/>
    <w:rsid w:val="00E0660D"/>
    <w:rsid w:val="00E1185F"/>
    <w:rsid w:val="00E214BC"/>
    <w:rsid w:val="00E21CE8"/>
    <w:rsid w:val="00E2270C"/>
    <w:rsid w:val="00E229CA"/>
    <w:rsid w:val="00E22F26"/>
    <w:rsid w:val="00E269CF"/>
    <w:rsid w:val="00E26AD8"/>
    <w:rsid w:val="00E27B9F"/>
    <w:rsid w:val="00E323E7"/>
    <w:rsid w:val="00E354AB"/>
    <w:rsid w:val="00E35DF2"/>
    <w:rsid w:val="00E37859"/>
    <w:rsid w:val="00E40C71"/>
    <w:rsid w:val="00E40EB0"/>
    <w:rsid w:val="00E41D5E"/>
    <w:rsid w:val="00E42EF2"/>
    <w:rsid w:val="00E45B29"/>
    <w:rsid w:val="00E46497"/>
    <w:rsid w:val="00E46860"/>
    <w:rsid w:val="00E476A8"/>
    <w:rsid w:val="00E5101A"/>
    <w:rsid w:val="00E519E4"/>
    <w:rsid w:val="00E526AC"/>
    <w:rsid w:val="00E529B4"/>
    <w:rsid w:val="00E5319A"/>
    <w:rsid w:val="00E54015"/>
    <w:rsid w:val="00E559A1"/>
    <w:rsid w:val="00E570C0"/>
    <w:rsid w:val="00E6322B"/>
    <w:rsid w:val="00E6371A"/>
    <w:rsid w:val="00E67AAA"/>
    <w:rsid w:val="00E71BC5"/>
    <w:rsid w:val="00E722D8"/>
    <w:rsid w:val="00E73709"/>
    <w:rsid w:val="00E742D0"/>
    <w:rsid w:val="00E74C6B"/>
    <w:rsid w:val="00E759CE"/>
    <w:rsid w:val="00E7689C"/>
    <w:rsid w:val="00E85B0F"/>
    <w:rsid w:val="00E8612E"/>
    <w:rsid w:val="00E86C16"/>
    <w:rsid w:val="00E86F84"/>
    <w:rsid w:val="00E86FB1"/>
    <w:rsid w:val="00E87B77"/>
    <w:rsid w:val="00E91765"/>
    <w:rsid w:val="00E91CE4"/>
    <w:rsid w:val="00E9502A"/>
    <w:rsid w:val="00E95F7D"/>
    <w:rsid w:val="00E97258"/>
    <w:rsid w:val="00E9785B"/>
    <w:rsid w:val="00EA171E"/>
    <w:rsid w:val="00EA1C74"/>
    <w:rsid w:val="00EA2418"/>
    <w:rsid w:val="00EA384A"/>
    <w:rsid w:val="00EA4BAF"/>
    <w:rsid w:val="00EA642E"/>
    <w:rsid w:val="00EA6C8F"/>
    <w:rsid w:val="00EB0246"/>
    <w:rsid w:val="00EB0423"/>
    <w:rsid w:val="00EB2956"/>
    <w:rsid w:val="00EB4579"/>
    <w:rsid w:val="00EC31E6"/>
    <w:rsid w:val="00EC3971"/>
    <w:rsid w:val="00EC4DC8"/>
    <w:rsid w:val="00EC54B7"/>
    <w:rsid w:val="00EC5777"/>
    <w:rsid w:val="00EC57EF"/>
    <w:rsid w:val="00ED1430"/>
    <w:rsid w:val="00ED2137"/>
    <w:rsid w:val="00ED4657"/>
    <w:rsid w:val="00ED4FB8"/>
    <w:rsid w:val="00ED5792"/>
    <w:rsid w:val="00ED7D84"/>
    <w:rsid w:val="00EE002C"/>
    <w:rsid w:val="00EE0355"/>
    <w:rsid w:val="00EE09E9"/>
    <w:rsid w:val="00EE57CD"/>
    <w:rsid w:val="00EE6A3C"/>
    <w:rsid w:val="00EF2486"/>
    <w:rsid w:val="00EF69DF"/>
    <w:rsid w:val="00F00D41"/>
    <w:rsid w:val="00F0250D"/>
    <w:rsid w:val="00F05E3F"/>
    <w:rsid w:val="00F06D7C"/>
    <w:rsid w:val="00F071A2"/>
    <w:rsid w:val="00F07840"/>
    <w:rsid w:val="00F13131"/>
    <w:rsid w:val="00F1323C"/>
    <w:rsid w:val="00F1353A"/>
    <w:rsid w:val="00F14263"/>
    <w:rsid w:val="00F14B7D"/>
    <w:rsid w:val="00F154CB"/>
    <w:rsid w:val="00F16CDD"/>
    <w:rsid w:val="00F220ED"/>
    <w:rsid w:val="00F23929"/>
    <w:rsid w:val="00F3038F"/>
    <w:rsid w:val="00F30760"/>
    <w:rsid w:val="00F31749"/>
    <w:rsid w:val="00F31A6A"/>
    <w:rsid w:val="00F32269"/>
    <w:rsid w:val="00F32918"/>
    <w:rsid w:val="00F35F7B"/>
    <w:rsid w:val="00F401A3"/>
    <w:rsid w:val="00F428C5"/>
    <w:rsid w:val="00F43FD0"/>
    <w:rsid w:val="00F51CC4"/>
    <w:rsid w:val="00F523A7"/>
    <w:rsid w:val="00F57EFE"/>
    <w:rsid w:val="00F62567"/>
    <w:rsid w:val="00F6329B"/>
    <w:rsid w:val="00F64B72"/>
    <w:rsid w:val="00F65867"/>
    <w:rsid w:val="00F6611C"/>
    <w:rsid w:val="00F6627B"/>
    <w:rsid w:val="00F66F1F"/>
    <w:rsid w:val="00F71B2F"/>
    <w:rsid w:val="00F74FA8"/>
    <w:rsid w:val="00F75E72"/>
    <w:rsid w:val="00F76BF5"/>
    <w:rsid w:val="00F76E1F"/>
    <w:rsid w:val="00F77731"/>
    <w:rsid w:val="00F77BBE"/>
    <w:rsid w:val="00F827F6"/>
    <w:rsid w:val="00F835A6"/>
    <w:rsid w:val="00F83890"/>
    <w:rsid w:val="00F83BB9"/>
    <w:rsid w:val="00F8464F"/>
    <w:rsid w:val="00F857BA"/>
    <w:rsid w:val="00F85FA0"/>
    <w:rsid w:val="00F8670B"/>
    <w:rsid w:val="00F86844"/>
    <w:rsid w:val="00F91A3E"/>
    <w:rsid w:val="00F935E1"/>
    <w:rsid w:val="00F93A1D"/>
    <w:rsid w:val="00F941F1"/>
    <w:rsid w:val="00F94B62"/>
    <w:rsid w:val="00F956B4"/>
    <w:rsid w:val="00FA17B7"/>
    <w:rsid w:val="00FA451D"/>
    <w:rsid w:val="00FA6FE9"/>
    <w:rsid w:val="00FA7572"/>
    <w:rsid w:val="00FA77B5"/>
    <w:rsid w:val="00FB2E13"/>
    <w:rsid w:val="00FB3D0D"/>
    <w:rsid w:val="00FB638E"/>
    <w:rsid w:val="00FC00DE"/>
    <w:rsid w:val="00FC5553"/>
    <w:rsid w:val="00FC67ED"/>
    <w:rsid w:val="00FC701D"/>
    <w:rsid w:val="00FD0219"/>
    <w:rsid w:val="00FD0A05"/>
    <w:rsid w:val="00FD0CB0"/>
    <w:rsid w:val="00FD35E7"/>
    <w:rsid w:val="00FD4C67"/>
    <w:rsid w:val="00FD5C8B"/>
    <w:rsid w:val="00FD7E12"/>
    <w:rsid w:val="00FD7F0F"/>
    <w:rsid w:val="00FE3437"/>
    <w:rsid w:val="00FE423C"/>
    <w:rsid w:val="00FE5D4B"/>
    <w:rsid w:val="00FE6572"/>
    <w:rsid w:val="00FE6DAF"/>
    <w:rsid w:val="00FF12E9"/>
    <w:rsid w:val="00FF38BB"/>
    <w:rsid w:val="00FF44D5"/>
    <w:rsid w:val="00FF58F2"/>
    <w:rsid w:val="00FF5C7F"/>
    <w:rsid w:val="00FF60EA"/>
    <w:rsid w:val="00FF79D9"/>
    <w:rsid w:val="00FF7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853544"/>
  <w15:docId w15:val="{EEE77EBF-50E2-445A-9E4F-D3CE8F12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BE"/>
  </w:style>
  <w:style w:type="paragraph" w:styleId="Heading1">
    <w:name w:val="heading 1"/>
    <w:basedOn w:val="Normal"/>
    <w:next w:val="Normal"/>
    <w:link w:val="Heading1Char"/>
    <w:uiPriority w:val="9"/>
    <w:qFormat/>
    <w:rsid w:val="00D869BE"/>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69B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869B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D869B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869B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869B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869BE"/>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869BE"/>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869B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9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69B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869BE"/>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D869B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869BE"/>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869B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869BE"/>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869B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869BE"/>
    <w:rPr>
      <w:rFonts w:asciiTheme="majorHAnsi" w:eastAsiaTheme="majorEastAsia" w:hAnsiTheme="majorHAnsi" w:cstheme="majorBidi"/>
      <w:b/>
      <w:bCs/>
      <w:i/>
      <w:iCs/>
      <w:color w:val="44546A" w:themeColor="text2"/>
    </w:rPr>
  </w:style>
  <w:style w:type="paragraph" w:styleId="ListParagraph">
    <w:name w:val="List Paragraph"/>
    <w:basedOn w:val="Normal"/>
    <w:uiPriority w:val="34"/>
    <w:qFormat/>
    <w:rsid w:val="00FE6572"/>
    <w:pPr>
      <w:ind w:left="720"/>
      <w:contextualSpacing/>
    </w:pPr>
  </w:style>
  <w:style w:type="paragraph" w:customStyle="1" w:styleId="m-1191621147464783095msolistparagraph">
    <w:name w:val="m_-1191621147464783095msolistparagraph"/>
    <w:basedOn w:val="Normal"/>
    <w:rsid w:val="006272A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B638E"/>
    <w:rPr>
      <w:sz w:val="16"/>
      <w:szCs w:val="16"/>
    </w:rPr>
  </w:style>
  <w:style w:type="paragraph" w:styleId="CommentText">
    <w:name w:val="annotation text"/>
    <w:basedOn w:val="Normal"/>
    <w:link w:val="CommentTextChar"/>
    <w:uiPriority w:val="99"/>
    <w:unhideWhenUsed/>
    <w:rsid w:val="00FB638E"/>
    <w:pPr>
      <w:spacing w:line="240" w:lineRule="auto"/>
    </w:pPr>
  </w:style>
  <w:style w:type="character" w:customStyle="1" w:styleId="CommentTextChar">
    <w:name w:val="Comment Text Char"/>
    <w:basedOn w:val="DefaultParagraphFont"/>
    <w:link w:val="CommentText"/>
    <w:uiPriority w:val="99"/>
    <w:rsid w:val="00FB638E"/>
    <w:rPr>
      <w:sz w:val="20"/>
      <w:szCs w:val="20"/>
    </w:rPr>
  </w:style>
  <w:style w:type="paragraph" w:styleId="CommentSubject">
    <w:name w:val="annotation subject"/>
    <w:basedOn w:val="CommentText"/>
    <w:next w:val="CommentText"/>
    <w:link w:val="CommentSubjectChar"/>
    <w:uiPriority w:val="99"/>
    <w:semiHidden/>
    <w:unhideWhenUsed/>
    <w:rsid w:val="00FB638E"/>
    <w:rPr>
      <w:b/>
      <w:bCs/>
    </w:rPr>
  </w:style>
  <w:style w:type="character" w:customStyle="1" w:styleId="CommentSubjectChar">
    <w:name w:val="Comment Subject Char"/>
    <w:basedOn w:val="CommentTextChar"/>
    <w:link w:val="CommentSubject"/>
    <w:uiPriority w:val="99"/>
    <w:semiHidden/>
    <w:rsid w:val="00FB638E"/>
    <w:rPr>
      <w:b/>
      <w:bCs/>
      <w:sz w:val="20"/>
      <w:szCs w:val="20"/>
    </w:rPr>
  </w:style>
  <w:style w:type="paragraph" w:styleId="BalloonText">
    <w:name w:val="Balloon Text"/>
    <w:basedOn w:val="Normal"/>
    <w:link w:val="BalloonTextChar"/>
    <w:uiPriority w:val="99"/>
    <w:semiHidden/>
    <w:unhideWhenUsed/>
    <w:rsid w:val="00FB6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38E"/>
    <w:rPr>
      <w:rFonts w:ascii="Segoe UI" w:hAnsi="Segoe UI" w:cs="Segoe UI"/>
      <w:sz w:val="18"/>
      <w:szCs w:val="18"/>
    </w:rPr>
  </w:style>
  <w:style w:type="paragraph" w:styleId="FootnoteText">
    <w:name w:val="footnote text"/>
    <w:basedOn w:val="Normal"/>
    <w:link w:val="FootnoteTextChar"/>
    <w:uiPriority w:val="99"/>
    <w:unhideWhenUsed/>
    <w:rsid w:val="0029141E"/>
    <w:pPr>
      <w:spacing w:after="0" w:line="240" w:lineRule="auto"/>
    </w:pPr>
  </w:style>
  <w:style w:type="character" w:customStyle="1" w:styleId="FootnoteTextChar">
    <w:name w:val="Footnote Text Char"/>
    <w:basedOn w:val="DefaultParagraphFont"/>
    <w:link w:val="FootnoteText"/>
    <w:uiPriority w:val="99"/>
    <w:rsid w:val="0029141E"/>
    <w:rPr>
      <w:sz w:val="20"/>
      <w:szCs w:val="20"/>
    </w:rPr>
  </w:style>
  <w:style w:type="character" w:styleId="FootnoteReference">
    <w:name w:val="footnote reference"/>
    <w:basedOn w:val="DefaultParagraphFont"/>
    <w:uiPriority w:val="99"/>
    <w:semiHidden/>
    <w:unhideWhenUsed/>
    <w:rsid w:val="0029141E"/>
    <w:rPr>
      <w:vertAlign w:val="superscript"/>
    </w:rPr>
  </w:style>
  <w:style w:type="paragraph" w:styleId="Caption">
    <w:name w:val="caption"/>
    <w:basedOn w:val="Normal"/>
    <w:next w:val="Normal"/>
    <w:uiPriority w:val="35"/>
    <w:unhideWhenUsed/>
    <w:qFormat/>
    <w:rsid w:val="00D869BE"/>
    <w:pPr>
      <w:spacing w:line="240" w:lineRule="auto"/>
    </w:pPr>
    <w:rPr>
      <w:b/>
      <w:bCs/>
      <w:smallCaps/>
      <w:color w:val="595959" w:themeColor="text1" w:themeTint="A6"/>
      <w:spacing w:val="6"/>
    </w:rPr>
  </w:style>
  <w:style w:type="table" w:styleId="TableGrid">
    <w:name w:val="Table Grid"/>
    <w:basedOn w:val="TableNormal"/>
    <w:uiPriority w:val="59"/>
    <w:rsid w:val="0069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3475"/>
    <w:rPr>
      <w:color w:val="0563C1" w:themeColor="hyperlink"/>
      <w:u w:val="single"/>
    </w:rPr>
  </w:style>
  <w:style w:type="paragraph" w:customStyle="1" w:styleId="Text">
    <w:name w:val="Text"/>
    <w:basedOn w:val="Normal"/>
    <w:rsid w:val="00CD3475"/>
    <w:pPr>
      <w:autoSpaceDE w:val="0"/>
      <w:autoSpaceDN w:val="0"/>
      <w:adjustRightInd w:val="0"/>
      <w:spacing w:line="240" w:lineRule="auto"/>
    </w:pPr>
    <w:rPr>
      <w:rFonts w:cs="Arial"/>
      <w:lang w:val="en-GB"/>
    </w:rPr>
  </w:style>
  <w:style w:type="paragraph" w:styleId="Title">
    <w:name w:val="Title"/>
    <w:basedOn w:val="Normal"/>
    <w:next w:val="Normal"/>
    <w:link w:val="TitleChar"/>
    <w:uiPriority w:val="10"/>
    <w:qFormat/>
    <w:rsid w:val="00D869BE"/>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869BE"/>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869B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869BE"/>
    <w:rPr>
      <w:rFonts w:asciiTheme="majorHAnsi" w:eastAsiaTheme="majorEastAsia" w:hAnsiTheme="majorHAnsi" w:cstheme="majorBidi"/>
      <w:sz w:val="24"/>
      <w:szCs w:val="24"/>
    </w:rPr>
  </w:style>
  <w:style w:type="character" w:styleId="Strong">
    <w:name w:val="Strong"/>
    <w:basedOn w:val="DefaultParagraphFont"/>
    <w:uiPriority w:val="22"/>
    <w:qFormat/>
    <w:rsid w:val="00D869BE"/>
    <w:rPr>
      <w:b/>
      <w:bCs/>
    </w:rPr>
  </w:style>
  <w:style w:type="character" w:styleId="Emphasis">
    <w:name w:val="Emphasis"/>
    <w:basedOn w:val="DefaultParagraphFont"/>
    <w:uiPriority w:val="20"/>
    <w:qFormat/>
    <w:rsid w:val="00D869BE"/>
    <w:rPr>
      <w:i/>
      <w:iCs/>
    </w:rPr>
  </w:style>
  <w:style w:type="paragraph" w:styleId="NoSpacing">
    <w:name w:val="No Spacing"/>
    <w:link w:val="NoSpacingChar"/>
    <w:uiPriority w:val="1"/>
    <w:qFormat/>
    <w:rsid w:val="00D869BE"/>
    <w:pPr>
      <w:spacing w:after="0" w:line="240" w:lineRule="auto"/>
    </w:pPr>
  </w:style>
  <w:style w:type="paragraph" w:styleId="Quote">
    <w:name w:val="Quote"/>
    <w:basedOn w:val="Normal"/>
    <w:next w:val="Normal"/>
    <w:link w:val="QuoteChar"/>
    <w:uiPriority w:val="29"/>
    <w:qFormat/>
    <w:rsid w:val="00D869B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869BE"/>
    <w:rPr>
      <w:i/>
      <w:iCs/>
      <w:color w:val="404040" w:themeColor="text1" w:themeTint="BF"/>
    </w:rPr>
  </w:style>
  <w:style w:type="paragraph" w:styleId="IntenseQuote">
    <w:name w:val="Intense Quote"/>
    <w:basedOn w:val="Normal"/>
    <w:next w:val="Normal"/>
    <w:link w:val="IntenseQuoteChar"/>
    <w:uiPriority w:val="30"/>
    <w:qFormat/>
    <w:rsid w:val="00D869BE"/>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869B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869BE"/>
    <w:rPr>
      <w:i/>
      <w:iCs/>
      <w:color w:val="404040" w:themeColor="text1" w:themeTint="BF"/>
    </w:rPr>
  </w:style>
  <w:style w:type="character" w:styleId="IntenseEmphasis">
    <w:name w:val="Intense Emphasis"/>
    <w:basedOn w:val="DefaultParagraphFont"/>
    <w:uiPriority w:val="21"/>
    <w:qFormat/>
    <w:rsid w:val="00D869BE"/>
    <w:rPr>
      <w:b/>
      <w:bCs/>
      <w:i/>
      <w:iCs/>
    </w:rPr>
  </w:style>
  <w:style w:type="character" w:styleId="SubtleReference">
    <w:name w:val="Subtle Reference"/>
    <w:basedOn w:val="DefaultParagraphFont"/>
    <w:uiPriority w:val="31"/>
    <w:qFormat/>
    <w:rsid w:val="00D869B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869BE"/>
    <w:rPr>
      <w:b/>
      <w:bCs/>
      <w:smallCaps/>
      <w:spacing w:val="5"/>
      <w:u w:val="single"/>
    </w:rPr>
  </w:style>
  <w:style w:type="character" w:styleId="BookTitle">
    <w:name w:val="Book Title"/>
    <w:basedOn w:val="DefaultParagraphFont"/>
    <w:uiPriority w:val="33"/>
    <w:qFormat/>
    <w:rsid w:val="00D869BE"/>
    <w:rPr>
      <w:b/>
      <w:bCs/>
      <w:smallCaps/>
    </w:rPr>
  </w:style>
  <w:style w:type="paragraph" w:styleId="TOCHeading">
    <w:name w:val="TOC Heading"/>
    <w:basedOn w:val="Heading1"/>
    <w:next w:val="Normal"/>
    <w:uiPriority w:val="39"/>
    <w:unhideWhenUsed/>
    <w:qFormat/>
    <w:rsid w:val="00D869BE"/>
    <w:pPr>
      <w:outlineLvl w:val="9"/>
    </w:pPr>
  </w:style>
  <w:style w:type="paragraph" w:styleId="EndnoteText">
    <w:name w:val="endnote text"/>
    <w:basedOn w:val="Normal"/>
    <w:link w:val="EndnoteTextChar"/>
    <w:uiPriority w:val="99"/>
    <w:unhideWhenUsed/>
    <w:rsid w:val="007067DC"/>
    <w:pPr>
      <w:spacing w:after="0" w:line="240" w:lineRule="auto"/>
    </w:pPr>
    <w:rPr>
      <w:rFonts w:ascii="Times New Roman" w:hAnsi="Times New Roman"/>
      <w:lang w:eastAsia="zh-CN"/>
    </w:rPr>
  </w:style>
  <w:style w:type="character" w:customStyle="1" w:styleId="EndnoteTextChar">
    <w:name w:val="Endnote Text Char"/>
    <w:basedOn w:val="DefaultParagraphFont"/>
    <w:link w:val="EndnoteText"/>
    <w:uiPriority w:val="99"/>
    <w:rsid w:val="007067DC"/>
    <w:rPr>
      <w:rFonts w:ascii="Times New Roman" w:hAnsi="Times New Roman"/>
      <w:lang w:eastAsia="zh-CN"/>
    </w:rPr>
  </w:style>
  <w:style w:type="character" w:styleId="EndnoteReference">
    <w:name w:val="endnote reference"/>
    <w:basedOn w:val="DefaultParagraphFont"/>
    <w:uiPriority w:val="99"/>
    <w:semiHidden/>
    <w:unhideWhenUsed/>
    <w:rsid w:val="007067DC"/>
    <w:rPr>
      <w:vertAlign w:val="superscript"/>
    </w:rPr>
  </w:style>
  <w:style w:type="paragraph" w:customStyle="1" w:styleId="Default">
    <w:name w:val="Default"/>
    <w:rsid w:val="000221D2"/>
    <w:pPr>
      <w:autoSpaceDE w:val="0"/>
      <w:autoSpaceDN w:val="0"/>
      <w:adjustRightInd w:val="0"/>
      <w:spacing w:after="0" w:line="240" w:lineRule="auto"/>
    </w:pPr>
    <w:rPr>
      <w:rFonts w:ascii="Myriad Pro" w:eastAsiaTheme="minorHAnsi" w:hAnsi="Myriad Pro" w:cs="Myriad Pro"/>
      <w:color w:val="000000"/>
      <w:sz w:val="24"/>
      <w:szCs w:val="24"/>
      <w:lang w:val="en-ZA"/>
    </w:rPr>
  </w:style>
  <w:style w:type="character" w:customStyle="1" w:styleId="A0">
    <w:name w:val="A0"/>
    <w:uiPriority w:val="99"/>
    <w:rsid w:val="000221D2"/>
    <w:rPr>
      <w:rFonts w:ascii="Myriad Pro" w:hAnsi="Myriad Pro" w:cs="Myriad Pro" w:hint="default"/>
      <w:color w:val="000000"/>
      <w:sz w:val="20"/>
      <w:szCs w:val="20"/>
    </w:rPr>
  </w:style>
  <w:style w:type="table" w:styleId="GridTable3-Accent1">
    <w:name w:val="Grid Table 3 Accent 1"/>
    <w:basedOn w:val="TableNormal"/>
    <w:uiPriority w:val="48"/>
    <w:rsid w:val="000221D2"/>
    <w:pPr>
      <w:spacing w:after="0" w:line="240" w:lineRule="auto"/>
    </w:pPr>
    <w:rPr>
      <w:rFonts w:eastAsiaTheme="minorHAnsi"/>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A36AD2"/>
    <w:pPr>
      <w:spacing w:after="0" w:line="240" w:lineRule="auto"/>
    </w:pPr>
    <w:rPr>
      <w:rFonts w:eastAsiaTheme="minorHAns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semiHidden/>
    <w:unhideWhenUsed/>
    <w:rsid w:val="00A821ED"/>
    <w:rPr>
      <w:color w:val="605E5C"/>
      <w:shd w:val="clear" w:color="auto" w:fill="E1DFDD"/>
    </w:rPr>
  </w:style>
  <w:style w:type="paragraph" w:styleId="NormalWeb">
    <w:name w:val="Normal (Web)"/>
    <w:basedOn w:val="Normal"/>
    <w:uiPriority w:val="99"/>
    <w:semiHidden/>
    <w:unhideWhenUsed/>
    <w:rsid w:val="00DB2C9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53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3D6"/>
  </w:style>
  <w:style w:type="paragraph" w:styleId="Footer">
    <w:name w:val="footer"/>
    <w:basedOn w:val="Normal"/>
    <w:link w:val="FooterChar"/>
    <w:uiPriority w:val="99"/>
    <w:unhideWhenUsed/>
    <w:rsid w:val="003B53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D6"/>
  </w:style>
  <w:style w:type="paragraph" w:customStyle="1" w:styleId="TableParagraph">
    <w:name w:val="Table Paragraph"/>
    <w:basedOn w:val="Normal"/>
    <w:uiPriority w:val="1"/>
    <w:qFormat/>
    <w:rsid w:val="009A78AE"/>
    <w:pPr>
      <w:widowControl w:val="0"/>
      <w:autoSpaceDE w:val="0"/>
      <w:autoSpaceDN w:val="0"/>
      <w:spacing w:after="0" w:line="240" w:lineRule="auto"/>
    </w:pPr>
    <w:rPr>
      <w:rFonts w:ascii="Calibri" w:eastAsia="Calibri" w:hAnsi="Calibri" w:cs="Calibri"/>
      <w:sz w:val="22"/>
      <w:szCs w:val="22"/>
      <w:lang w:bidi="en-US"/>
    </w:rPr>
  </w:style>
  <w:style w:type="paragraph" w:styleId="TOC1">
    <w:name w:val="toc 1"/>
    <w:basedOn w:val="Normal"/>
    <w:next w:val="Normal"/>
    <w:autoRedefine/>
    <w:uiPriority w:val="39"/>
    <w:unhideWhenUsed/>
    <w:rsid w:val="00AD1F76"/>
    <w:pPr>
      <w:spacing w:after="100"/>
    </w:pPr>
  </w:style>
  <w:style w:type="paragraph" w:styleId="TOC2">
    <w:name w:val="toc 2"/>
    <w:basedOn w:val="Normal"/>
    <w:next w:val="Normal"/>
    <w:autoRedefine/>
    <w:uiPriority w:val="39"/>
    <w:unhideWhenUsed/>
    <w:rsid w:val="00AD1F76"/>
    <w:pPr>
      <w:spacing w:after="100"/>
      <w:ind w:left="200"/>
    </w:pPr>
  </w:style>
  <w:style w:type="paragraph" w:styleId="TOC3">
    <w:name w:val="toc 3"/>
    <w:basedOn w:val="Normal"/>
    <w:next w:val="Normal"/>
    <w:autoRedefine/>
    <w:uiPriority w:val="39"/>
    <w:unhideWhenUsed/>
    <w:rsid w:val="00AD1F76"/>
    <w:pPr>
      <w:spacing w:after="100"/>
      <w:ind w:left="400"/>
    </w:pPr>
  </w:style>
  <w:style w:type="character" w:customStyle="1" w:styleId="Subtitle1">
    <w:name w:val="Subtitle1"/>
    <w:basedOn w:val="DefaultParagraphFont"/>
    <w:rsid w:val="00BA2636"/>
  </w:style>
  <w:style w:type="character" w:customStyle="1" w:styleId="colon-for-citation-subtitle">
    <w:name w:val="colon-for-citation-subtitle"/>
    <w:basedOn w:val="DefaultParagraphFont"/>
    <w:rsid w:val="00BA2636"/>
  </w:style>
  <w:style w:type="paragraph" w:styleId="Revision">
    <w:name w:val="Revision"/>
    <w:hidden/>
    <w:uiPriority w:val="99"/>
    <w:semiHidden/>
    <w:rsid w:val="00D51F57"/>
    <w:pPr>
      <w:spacing w:after="0" w:line="240" w:lineRule="auto"/>
    </w:pPr>
  </w:style>
  <w:style w:type="paragraph" w:styleId="TOC4">
    <w:name w:val="toc 4"/>
    <w:basedOn w:val="Normal"/>
    <w:next w:val="Normal"/>
    <w:autoRedefine/>
    <w:uiPriority w:val="39"/>
    <w:unhideWhenUsed/>
    <w:rsid w:val="001F2AB9"/>
    <w:pPr>
      <w:spacing w:after="100" w:line="259" w:lineRule="auto"/>
      <w:ind w:left="660"/>
    </w:pPr>
    <w:rPr>
      <w:sz w:val="22"/>
      <w:szCs w:val="22"/>
    </w:rPr>
  </w:style>
  <w:style w:type="paragraph" w:styleId="TOC5">
    <w:name w:val="toc 5"/>
    <w:basedOn w:val="Normal"/>
    <w:next w:val="Normal"/>
    <w:autoRedefine/>
    <w:uiPriority w:val="39"/>
    <w:unhideWhenUsed/>
    <w:rsid w:val="001F2AB9"/>
    <w:pPr>
      <w:spacing w:after="100" w:line="259" w:lineRule="auto"/>
      <w:ind w:left="880"/>
    </w:pPr>
    <w:rPr>
      <w:sz w:val="22"/>
      <w:szCs w:val="22"/>
    </w:rPr>
  </w:style>
  <w:style w:type="paragraph" w:styleId="TOC6">
    <w:name w:val="toc 6"/>
    <w:basedOn w:val="Normal"/>
    <w:next w:val="Normal"/>
    <w:autoRedefine/>
    <w:uiPriority w:val="39"/>
    <w:unhideWhenUsed/>
    <w:rsid w:val="001F2AB9"/>
    <w:pPr>
      <w:spacing w:after="100" w:line="259" w:lineRule="auto"/>
      <w:ind w:left="1100"/>
    </w:pPr>
    <w:rPr>
      <w:sz w:val="22"/>
      <w:szCs w:val="22"/>
    </w:rPr>
  </w:style>
  <w:style w:type="paragraph" w:styleId="TOC7">
    <w:name w:val="toc 7"/>
    <w:basedOn w:val="Normal"/>
    <w:next w:val="Normal"/>
    <w:autoRedefine/>
    <w:uiPriority w:val="39"/>
    <w:unhideWhenUsed/>
    <w:rsid w:val="001F2AB9"/>
    <w:pPr>
      <w:spacing w:after="100" w:line="259" w:lineRule="auto"/>
      <w:ind w:left="1320"/>
    </w:pPr>
    <w:rPr>
      <w:sz w:val="22"/>
      <w:szCs w:val="22"/>
    </w:rPr>
  </w:style>
  <w:style w:type="paragraph" w:styleId="TOC8">
    <w:name w:val="toc 8"/>
    <w:basedOn w:val="Normal"/>
    <w:next w:val="Normal"/>
    <w:autoRedefine/>
    <w:uiPriority w:val="39"/>
    <w:unhideWhenUsed/>
    <w:rsid w:val="001F2AB9"/>
    <w:pPr>
      <w:spacing w:after="100" w:line="259" w:lineRule="auto"/>
      <w:ind w:left="1540"/>
    </w:pPr>
    <w:rPr>
      <w:sz w:val="22"/>
      <w:szCs w:val="22"/>
    </w:rPr>
  </w:style>
  <w:style w:type="paragraph" w:styleId="TOC9">
    <w:name w:val="toc 9"/>
    <w:basedOn w:val="Normal"/>
    <w:next w:val="Normal"/>
    <w:autoRedefine/>
    <w:uiPriority w:val="39"/>
    <w:unhideWhenUsed/>
    <w:rsid w:val="001F2AB9"/>
    <w:pPr>
      <w:spacing w:after="100" w:line="259" w:lineRule="auto"/>
      <w:ind w:left="1760"/>
    </w:pPr>
    <w:rPr>
      <w:sz w:val="22"/>
      <w:szCs w:val="22"/>
    </w:rPr>
  </w:style>
  <w:style w:type="character" w:customStyle="1" w:styleId="NoSpacingChar">
    <w:name w:val="No Spacing Char"/>
    <w:link w:val="NoSpacing"/>
    <w:uiPriority w:val="1"/>
    <w:rsid w:val="00ED7D84"/>
  </w:style>
  <w:style w:type="character" w:customStyle="1" w:styleId="UnresolvedMention">
    <w:name w:val="Unresolved Mention"/>
    <w:basedOn w:val="DefaultParagraphFont"/>
    <w:uiPriority w:val="99"/>
    <w:semiHidden/>
    <w:unhideWhenUsed/>
    <w:rsid w:val="002D5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2293">
      <w:bodyDiv w:val="1"/>
      <w:marLeft w:val="0"/>
      <w:marRight w:val="0"/>
      <w:marTop w:val="0"/>
      <w:marBottom w:val="0"/>
      <w:divBdr>
        <w:top w:val="none" w:sz="0" w:space="0" w:color="auto"/>
        <w:left w:val="none" w:sz="0" w:space="0" w:color="auto"/>
        <w:bottom w:val="none" w:sz="0" w:space="0" w:color="auto"/>
        <w:right w:val="none" w:sz="0" w:space="0" w:color="auto"/>
      </w:divBdr>
    </w:div>
    <w:div w:id="21832768">
      <w:bodyDiv w:val="1"/>
      <w:marLeft w:val="0"/>
      <w:marRight w:val="0"/>
      <w:marTop w:val="0"/>
      <w:marBottom w:val="0"/>
      <w:divBdr>
        <w:top w:val="none" w:sz="0" w:space="0" w:color="auto"/>
        <w:left w:val="none" w:sz="0" w:space="0" w:color="auto"/>
        <w:bottom w:val="none" w:sz="0" w:space="0" w:color="auto"/>
        <w:right w:val="none" w:sz="0" w:space="0" w:color="auto"/>
      </w:divBdr>
    </w:div>
    <w:div w:id="31808662">
      <w:bodyDiv w:val="1"/>
      <w:marLeft w:val="0"/>
      <w:marRight w:val="0"/>
      <w:marTop w:val="0"/>
      <w:marBottom w:val="0"/>
      <w:divBdr>
        <w:top w:val="none" w:sz="0" w:space="0" w:color="auto"/>
        <w:left w:val="none" w:sz="0" w:space="0" w:color="auto"/>
        <w:bottom w:val="none" w:sz="0" w:space="0" w:color="auto"/>
        <w:right w:val="none" w:sz="0" w:space="0" w:color="auto"/>
      </w:divBdr>
    </w:div>
    <w:div w:id="83377447">
      <w:bodyDiv w:val="1"/>
      <w:marLeft w:val="0"/>
      <w:marRight w:val="0"/>
      <w:marTop w:val="0"/>
      <w:marBottom w:val="0"/>
      <w:divBdr>
        <w:top w:val="none" w:sz="0" w:space="0" w:color="auto"/>
        <w:left w:val="none" w:sz="0" w:space="0" w:color="auto"/>
        <w:bottom w:val="none" w:sz="0" w:space="0" w:color="auto"/>
        <w:right w:val="none" w:sz="0" w:space="0" w:color="auto"/>
      </w:divBdr>
    </w:div>
    <w:div w:id="136652377">
      <w:bodyDiv w:val="1"/>
      <w:marLeft w:val="0"/>
      <w:marRight w:val="0"/>
      <w:marTop w:val="0"/>
      <w:marBottom w:val="0"/>
      <w:divBdr>
        <w:top w:val="none" w:sz="0" w:space="0" w:color="auto"/>
        <w:left w:val="none" w:sz="0" w:space="0" w:color="auto"/>
        <w:bottom w:val="none" w:sz="0" w:space="0" w:color="auto"/>
        <w:right w:val="none" w:sz="0" w:space="0" w:color="auto"/>
      </w:divBdr>
      <w:divsChild>
        <w:div w:id="381095470">
          <w:marLeft w:val="360"/>
          <w:marRight w:val="0"/>
          <w:marTop w:val="200"/>
          <w:marBottom w:val="0"/>
          <w:divBdr>
            <w:top w:val="none" w:sz="0" w:space="0" w:color="auto"/>
            <w:left w:val="none" w:sz="0" w:space="0" w:color="auto"/>
            <w:bottom w:val="none" w:sz="0" w:space="0" w:color="auto"/>
            <w:right w:val="none" w:sz="0" w:space="0" w:color="auto"/>
          </w:divBdr>
        </w:div>
        <w:div w:id="1954626031">
          <w:marLeft w:val="360"/>
          <w:marRight w:val="0"/>
          <w:marTop w:val="200"/>
          <w:marBottom w:val="0"/>
          <w:divBdr>
            <w:top w:val="none" w:sz="0" w:space="0" w:color="auto"/>
            <w:left w:val="none" w:sz="0" w:space="0" w:color="auto"/>
            <w:bottom w:val="none" w:sz="0" w:space="0" w:color="auto"/>
            <w:right w:val="none" w:sz="0" w:space="0" w:color="auto"/>
          </w:divBdr>
        </w:div>
      </w:divsChild>
    </w:div>
    <w:div w:id="139007585">
      <w:bodyDiv w:val="1"/>
      <w:marLeft w:val="0"/>
      <w:marRight w:val="0"/>
      <w:marTop w:val="0"/>
      <w:marBottom w:val="0"/>
      <w:divBdr>
        <w:top w:val="none" w:sz="0" w:space="0" w:color="auto"/>
        <w:left w:val="none" w:sz="0" w:space="0" w:color="auto"/>
        <w:bottom w:val="none" w:sz="0" w:space="0" w:color="auto"/>
        <w:right w:val="none" w:sz="0" w:space="0" w:color="auto"/>
      </w:divBdr>
    </w:div>
    <w:div w:id="144049450">
      <w:bodyDiv w:val="1"/>
      <w:marLeft w:val="0"/>
      <w:marRight w:val="0"/>
      <w:marTop w:val="0"/>
      <w:marBottom w:val="0"/>
      <w:divBdr>
        <w:top w:val="none" w:sz="0" w:space="0" w:color="auto"/>
        <w:left w:val="none" w:sz="0" w:space="0" w:color="auto"/>
        <w:bottom w:val="none" w:sz="0" w:space="0" w:color="auto"/>
        <w:right w:val="none" w:sz="0" w:space="0" w:color="auto"/>
      </w:divBdr>
      <w:divsChild>
        <w:div w:id="288557979">
          <w:marLeft w:val="547"/>
          <w:marRight w:val="0"/>
          <w:marTop w:val="0"/>
          <w:marBottom w:val="0"/>
          <w:divBdr>
            <w:top w:val="none" w:sz="0" w:space="0" w:color="auto"/>
            <w:left w:val="none" w:sz="0" w:space="0" w:color="auto"/>
            <w:bottom w:val="none" w:sz="0" w:space="0" w:color="auto"/>
            <w:right w:val="none" w:sz="0" w:space="0" w:color="auto"/>
          </w:divBdr>
        </w:div>
        <w:div w:id="402873391">
          <w:marLeft w:val="547"/>
          <w:marRight w:val="0"/>
          <w:marTop w:val="0"/>
          <w:marBottom w:val="0"/>
          <w:divBdr>
            <w:top w:val="none" w:sz="0" w:space="0" w:color="auto"/>
            <w:left w:val="none" w:sz="0" w:space="0" w:color="auto"/>
            <w:bottom w:val="none" w:sz="0" w:space="0" w:color="auto"/>
            <w:right w:val="none" w:sz="0" w:space="0" w:color="auto"/>
          </w:divBdr>
        </w:div>
        <w:div w:id="580721335">
          <w:marLeft w:val="547"/>
          <w:marRight w:val="0"/>
          <w:marTop w:val="0"/>
          <w:marBottom w:val="0"/>
          <w:divBdr>
            <w:top w:val="none" w:sz="0" w:space="0" w:color="auto"/>
            <w:left w:val="none" w:sz="0" w:space="0" w:color="auto"/>
            <w:bottom w:val="none" w:sz="0" w:space="0" w:color="auto"/>
            <w:right w:val="none" w:sz="0" w:space="0" w:color="auto"/>
          </w:divBdr>
        </w:div>
        <w:div w:id="723454990">
          <w:marLeft w:val="547"/>
          <w:marRight w:val="0"/>
          <w:marTop w:val="0"/>
          <w:marBottom w:val="0"/>
          <w:divBdr>
            <w:top w:val="none" w:sz="0" w:space="0" w:color="auto"/>
            <w:left w:val="none" w:sz="0" w:space="0" w:color="auto"/>
            <w:bottom w:val="none" w:sz="0" w:space="0" w:color="auto"/>
            <w:right w:val="none" w:sz="0" w:space="0" w:color="auto"/>
          </w:divBdr>
        </w:div>
        <w:div w:id="1033576421">
          <w:marLeft w:val="547"/>
          <w:marRight w:val="0"/>
          <w:marTop w:val="0"/>
          <w:marBottom w:val="0"/>
          <w:divBdr>
            <w:top w:val="none" w:sz="0" w:space="0" w:color="auto"/>
            <w:left w:val="none" w:sz="0" w:space="0" w:color="auto"/>
            <w:bottom w:val="none" w:sz="0" w:space="0" w:color="auto"/>
            <w:right w:val="none" w:sz="0" w:space="0" w:color="auto"/>
          </w:divBdr>
        </w:div>
        <w:div w:id="1158883939">
          <w:marLeft w:val="547"/>
          <w:marRight w:val="0"/>
          <w:marTop w:val="0"/>
          <w:marBottom w:val="0"/>
          <w:divBdr>
            <w:top w:val="none" w:sz="0" w:space="0" w:color="auto"/>
            <w:left w:val="none" w:sz="0" w:space="0" w:color="auto"/>
            <w:bottom w:val="none" w:sz="0" w:space="0" w:color="auto"/>
            <w:right w:val="none" w:sz="0" w:space="0" w:color="auto"/>
          </w:divBdr>
        </w:div>
        <w:div w:id="1690451232">
          <w:marLeft w:val="547"/>
          <w:marRight w:val="0"/>
          <w:marTop w:val="0"/>
          <w:marBottom w:val="0"/>
          <w:divBdr>
            <w:top w:val="none" w:sz="0" w:space="0" w:color="auto"/>
            <w:left w:val="none" w:sz="0" w:space="0" w:color="auto"/>
            <w:bottom w:val="none" w:sz="0" w:space="0" w:color="auto"/>
            <w:right w:val="none" w:sz="0" w:space="0" w:color="auto"/>
          </w:divBdr>
        </w:div>
        <w:div w:id="1715427075">
          <w:marLeft w:val="547"/>
          <w:marRight w:val="0"/>
          <w:marTop w:val="0"/>
          <w:marBottom w:val="0"/>
          <w:divBdr>
            <w:top w:val="none" w:sz="0" w:space="0" w:color="auto"/>
            <w:left w:val="none" w:sz="0" w:space="0" w:color="auto"/>
            <w:bottom w:val="none" w:sz="0" w:space="0" w:color="auto"/>
            <w:right w:val="none" w:sz="0" w:space="0" w:color="auto"/>
          </w:divBdr>
        </w:div>
        <w:div w:id="1886215292">
          <w:marLeft w:val="547"/>
          <w:marRight w:val="0"/>
          <w:marTop w:val="0"/>
          <w:marBottom w:val="0"/>
          <w:divBdr>
            <w:top w:val="none" w:sz="0" w:space="0" w:color="auto"/>
            <w:left w:val="none" w:sz="0" w:space="0" w:color="auto"/>
            <w:bottom w:val="none" w:sz="0" w:space="0" w:color="auto"/>
            <w:right w:val="none" w:sz="0" w:space="0" w:color="auto"/>
          </w:divBdr>
        </w:div>
        <w:div w:id="2009206948">
          <w:marLeft w:val="547"/>
          <w:marRight w:val="0"/>
          <w:marTop w:val="0"/>
          <w:marBottom w:val="0"/>
          <w:divBdr>
            <w:top w:val="none" w:sz="0" w:space="0" w:color="auto"/>
            <w:left w:val="none" w:sz="0" w:space="0" w:color="auto"/>
            <w:bottom w:val="none" w:sz="0" w:space="0" w:color="auto"/>
            <w:right w:val="none" w:sz="0" w:space="0" w:color="auto"/>
          </w:divBdr>
        </w:div>
      </w:divsChild>
    </w:div>
    <w:div w:id="161967161">
      <w:bodyDiv w:val="1"/>
      <w:marLeft w:val="0"/>
      <w:marRight w:val="0"/>
      <w:marTop w:val="0"/>
      <w:marBottom w:val="0"/>
      <w:divBdr>
        <w:top w:val="none" w:sz="0" w:space="0" w:color="auto"/>
        <w:left w:val="none" w:sz="0" w:space="0" w:color="auto"/>
        <w:bottom w:val="none" w:sz="0" w:space="0" w:color="auto"/>
        <w:right w:val="none" w:sz="0" w:space="0" w:color="auto"/>
      </w:divBdr>
    </w:div>
    <w:div w:id="179977103">
      <w:bodyDiv w:val="1"/>
      <w:marLeft w:val="0"/>
      <w:marRight w:val="0"/>
      <w:marTop w:val="0"/>
      <w:marBottom w:val="0"/>
      <w:divBdr>
        <w:top w:val="none" w:sz="0" w:space="0" w:color="auto"/>
        <w:left w:val="none" w:sz="0" w:space="0" w:color="auto"/>
        <w:bottom w:val="none" w:sz="0" w:space="0" w:color="auto"/>
        <w:right w:val="none" w:sz="0" w:space="0" w:color="auto"/>
      </w:divBdr>
    </w:div>
    <w:div w:id="181477055">
      <w:bodyDiv w:val="1"/>
      <w:marLeft w:val="0"/>
      <w:marRight w:val="0"/>
      <w:marTop w:val="0"/>
      <w:marBottom w:val="0"/>
      <w:divBdr>
        <w:top w:val="none" w:sz="0" w:space="0" w:color="auto"/>
        <w:left w:val="none" w:sz="0" w:space="0" w:color="auto"/>
        <w:bottom w:val="none" w:sz="0" w:space="0" w:color="auto"/>
        <w:right w:val="none" w:sz="0" w:space="0" w:color="auto"/>
      </w:divBdr>
      <w:divsChild>
        <w:div w:id="345912028">
          <w:marLeft w:val="446"/>
          <w:marRight w:val="0"/>
          <w:marTop w:val="0"/>
          <w:marBottom w:val="0"/>
          <w:divBdr>
            <w:top w:val="none" w:sz="0" w:space="0" w:color="auto"/>
            <w:left w:val="none" w:sz="0" w:space="0" w:color="auto"/>
            <w:bottom w:val="none" w:sz="0" w:space="0" w:color="auto"/>
            <w:right w:val="none" w:sz="0" w:space="0" w:color="auto"/>
          </w:divBdr>
        </w:div>
        <w:div w:id="519440151">
          <w:marLeft w:val="446"/>
          <w:marRight w:val="0"/>
          <w:marTop w:val="0"/>
          <w:marBottom w:val="0"/>
          <w:divBdr>
            <w:top w:val="none" w:sz="0" w:space="0" w:color="auto"/>
            <w:left w:val="none" w:sz="0" w:space="0" w:color="auto"/>
            <w:bottom w:val="none" w:sz="0" w:space="0" w:color="auto"/>
            <w:right w:val="none" w:sz="0" w:space="0" w:color="auto"/>
          </w:divBdr>
        </w:div>
        <w:div w:id="1855533723">
          <w:marLeft w:val="446"/>
          <w:marRight w:val="0"/>
          <w:marTop w:val="0"/>
          <w:marBottom w:val="0"/>
          <w:divBdr>
            <w:top w:val="none" w:sz="0" w:space="0" w:color="auto"/>
            <w:left w:val="none" w:sz="0" w:space="0" w:color="auto"/>
            <w:bottom w:val="none" w:sz="0" w:space="0" w:color="auto"/>
            <w:right w:val="none" w:sz="0" w:space="0" w:color="auto"/>
          </w:divBdr>
        </w:div>
        <w:div w:id="1888446846">
          <w:marLeft w:val="446"/>
          <w:marRight w:val="0"/>
          <w:marTop w:val="0"/>
          <w:marBottom w:val="0"/>
          <w:divBdr>
            <w:top w:val="none" w:sz="0" w:space="0" w:color="auto"/>
            <w:left w:val="none" w:sz="0" w:space="0" w:color="auto"/>
            <w:bottom w:val="none" w:sz="0" w:space="0" w:color="auto"/>
            <w:right w:val="none" w:sz="0" w:space="0" w:color="auto"/>
          </w:divBdr>
        </w:div>
        <w:div w:id="1918784375">
          <w:marLeft w:val="446"/>
          <w:marRight w:val="0"/>
          <w:marTop w:val="0"/>
          <w:marBottom w:val="0"/>
          <w:divBdr>
            <w:top w:val="none" w:sz="0" w:space="0" w:color="auto"/>
            <w:left w:val="none" w:sz="0" w:space="0" w:color="auto"/>
            <w:bottom w:val="none" w:sz="0" w:space="0" w:color="auto"/>
            <w:right w:val="none" w:sz="0" w:space="0" w:color="auto"/>
          </w:divBdr>
        </w:div>
      </w:divsChild>
    </w:div>
    <w:div w:id="184640044">
      <w:bodyDiv w:val="1"/>
      <w:marLeft w:val="0"/>
      <w:marRight w:val="0"/>
      <w:marTop w:val="0"/>
      <w:marBottom w:val="0"/>
      <w:divBdr>
        <w:top w:val="none" w:sz="0" w:space="0" w:color="auto"/>
        <w:left w:val="none" w:sz="0" w:space="0" w:color="auto"/>
        <w:bottom w:val="none" w:sz="0" w:space="0" w:color="auto"/>
        <w:right w:val="none" w:sz="0" w:space="0" w:color="auto"/>
      </w:divBdr>
    </w:div>
    <w:div w:id="193427242">
      <w:bodyDiv w:val="1"/>
      <w:marLeft w:val="0"/>
      <w:marRight w:val="0"/>
      <w:marTop w:val="0"/>
      <w:marBottom w:val="0"/>
      <w:divBdr>
        <w:top w:val="none" w:sz="0" w:space="0" w:color="auto"/>
        <w:left w:val="none" w:sz="0" w:space="0" w:color="auto"/>
        <w:bottom w:val="none" w:sz="0" w:space="0" w:color="auto"/>
        <w:right w:val="none" w:sz="0" w:space="0" w:color="auto"/>
      </w:divBdr>
    </w:div>
    <w:div w:id="218245552">
      <w:bodyDiv w:val="1"/>
      <w:marLeft w:val="0"/>
      <w:marRight w:val="0"/>
      <w:marTop w:val="0"/>
      <w:marBottom w:val="0"/>
      <w:divBdr>
        <w:top w:val="none" w:sz="0" w:space="0" w:color="auto"/>
        <w:left w:val="none" w:sz="0" w:space="0" w:color="auto"/>
        <w:bottom w:val="none" w:sz="0" w:space="0" w:color="auto"/>
        <w:right w:val="none" w:sz="0" w:space="0" w:color="auto"/>
      </w:divBdr>
    </w:div>
    <w:div w:id="225385358">
      <w:bodyDiv w:val="1"/>
      <w:marLeft w:val="0"/>
      <w:marRight w:val="0"/>
      <w:marTop w:val="0"/>
      <w:marBottom w:val="0"/>
      <w:divBdr>
        <w:top w:val="none" w:sz="0" w:space="0" w:color="auto"/>
        <w:left w:val="none" w:sz="0" w:space="0" w:color="auto"/>
        <w:bottom w:val="none" w:sz="0" w:space="0" w:color="auto"/>
        <w:right w:val="none" w:sz="0" w:space="0" w:color="auto"/>
      </w:divBdr>
      <w:divsChild>
        <w:div w:id="1630159300">
          <w:marLeft w:val="360"/>
          <w:marRight w:val="0"/>
          <w:marTop w:val="200"/>
          <w:marBottom w:val="0"/>
          <w:divBdr>
            <w:top w:val="none" w:sz="0" w:space="0" w:color="auto"/>
            <w:left w:val="none" w:sz="0" w:space="0" w:color="auto"/>
            <w:bottom w:val="none" w:sz="0" w:space="0" w:color="auto"/>
            <w:right w:val="none" w:sz="0" w:space="0" w:color="auto"/>
          </w:divBdr>
        </w:div>
      </w:divsChild>
    </w:div>
    <w:div w:id="246043095">
      <w:bodyDiv w:val="1"/>
      <w:marLeft w:val="0"/>
      <w:marRight w:val="0"/>
      <w:marTop w:val="0"/>
      <w:marBottom w:val="0"/>
      <w:divBdr>
        <w:top w:val="none" w:sz="0" w:space="0" w:color="auto"/>
        <w:left w:val="none" w:sz="0" w:space="0" w:color="auto"/>
        <w:bottom w:val="none" w:sz="0" w:space="0" w:color="auto"/>
        <w:right w:val="none" w:sz="0" w:space="0" w:color="auto"/>
      </w:divBdr>
    </w:div>
    <w:div w:id="258369333">
      <w:bodyDiv w:val="1"/>
      <w:marLeft w:val="0"/>
      <w:marRight w:val="0"/>
      <w:marTop w:val="0"/>
      <w:marBottom w:val="0"/>
      <w:divBdr>
        <w:top w:val="none" w:sz="0" w:space="0" w:color="auto"/>
        <w:left w:val="none" w:sz="0" w:space="0" w:color="auto"/>
        <w:bottom w:val="none" w:sz="0" w:space="0" w:color="auto"/>
        <w:right w:val="none" w:sz="0" w:space="0" w:color="auto"/>
      </w:divBdr>
      <w:divsChild>
        <w:div w:id="52705309">
          <w:marLeft w:val="446"/>
          <w:marRight w:val="0"/>
          <w:marTop w:val="0"/>
          <w:marBottom w:val="0"/>
          <w:divBdr>
            <w:top w:val="none" w:sz="0" w:space="0" w:color="auto"/>
            <w:left w:val="none" w:sz="0" w:space="0" w:color="auto"/>
            <w:bottom w:val="none" w:sz="0" w:space="0" w:color="auto"/>
            <w:right w:val="none" w:sz="0" w:space="0" w:color="auto"/>
          </w:divBdr>
        </w:div>
        <w:div w:id="228156627">
          <w:marLeft w:val="446"/>
          <w:marRight w:val="0"/>
          <w:marTop w:val="0"/>
          <w:marBottom w:val="0"/>
          <w:divBdr>
            <w:top w:val="none" w:sz="0" w:space="0" w:color="auto"/>
            <w:left w:val="none" w:sz="0" w:space="0" w:color="auto"/>
            <w:bottom w:val="none" w:sz="0" w:space="0" w:color="auto"/>
            <w:right w:val="none" w:sz="0" w:space="0" w:color="auto"/>
          </w:divBdr>
        </w:div>
        <w:div w:id="861667531">
          <w:marLeft w:val="446"/>
          <w:marRight w:val="0"/>
          <w:marTop w:val="0"/>
          <w:marBottom w:val="0"/>
          <w:divBdr>
            <w:top w:val="none" w:sz="0" w:space="0" w:color="auto"/>
            <w:left w:val="none" w:sz="0" w:space="0" w:color="auto"/>
            <w:bottom w:val="none" w:sz="0" w:space="0" w:color="auto"/>
            <w:right w:val="none" w:sz="0" w:space="0" w:color="auto"/>
          </w:divBdr>
        </w:div>
        <w:div w:id="864751301">
          <w:marLeft w:val="446"/>
          <w:marRight w:val="0"/>
          <w:marTop w:val="0"/>
          <w:marBottom w:val="0"/>
          <w:divBdr>
            <w:top w:val="none" w:sz="0" w:space="0" w:color="auto"/>
            <w:left w:val="none" w:sz="0" w:space="0" w:color="auto"/>
            <w:bottom w:val="none" w:sz="0" w:space="0" w:color="auto"/>
            <w:right w:val="none" w:sz="0" w:space="0" w:color="auto"/>
          </w:divBdr>
        </w:div>
      </w:divsChild>
    </w:div>
    <w:div w:id="264197427">
      <w:bodyDiv w:val="1"/>
      <w:marLeft w:val="0"/>
      <w:marRight w:val="0"/>
      <w:marTop w:val="0"/>
      <w:marBottom w:val="0"/>
      <w:divBdr>
        <w:top w:val="none" w:sz="0" w:space="0" w:color="auto"/>
        <w:left w:val="none" w:sz="0" w:space="0" w:color="auto"/>
        <w:bottom w:val="none" w:sz="0" w:space="0" w:color="auto"/>
        <w:right w:val="none" w:sz="0" w:space="0" w:color="auto"/>
      </w:divBdr>
    </w:div>
    <w:div w:id="282814363">
      <w:bodyDiv w:val="1"/>
      <w:marLeft w:val="0"/>
      <w:marRight w:val="0"/>
      <w:marTop w:val="0"/>
      <w:marBottom w:val="0"/>
      <w:divBdr>
        <w:top w:val="none" w:sz="0" w:space="0" w:color="auto"/>
        <w:left w:val="none" w:sz="0" w:space="0" w:color="auto"/>
        <w:bottom w:val="none" w:sz="0" w:space="0" w:color="auto"/>
        <w:right w:val="none" w:sz="0" w:space="0" w:color="auto"/>
      </w:divBdr>
    </w:div>
    <w:div w:id="283771752">
      <w:bodyDiv w:val="1"/>
      <w:marLeft w:val="0"/>
      <w:marRight w:val="0"/>
      <w:marTop w:val="0"/>
      <w:marBottom w:val="0"/>
      <w:divBdr>
        <w:top w:val="none" w:sz="0" w:space="0" w:color="auto"/>
        <w:left w:val="none" w:sz="0" w:space="0" w:color="auto"/>
        <w:bottom w:val="none" w:sz="0" w:space="0" w:color="auto"/>
        <w:right w:val="none" w:sz="0" w:space="0" w:color="auto"/>
      </w:divBdr>
      <w:divsChild>
        <w:div w:id="1184244162">
          <w:marLeft w:val="360"/>
          <w:marRight w:val="0"/>
          <w:marTop w:val="200"/>
          <w:marBottom w:val="0"/>
          <w:divBdr>
            <w:top w:val="none" w:sz="0" w:space="0" w:color="auto"/>
            <w:left w:val="none" w:sz="0" w:space="0" w:color="auto"/>
            <w:bottom w:val="none" w:sz="0" w:space="0" w:color="auto"/>
            <w:right w:val="none" w:sz="0" w:space="0" w:color="auto"/>
          </w:divBdr>
        </w:div>
      </w:divsChild>
    </w:div>
    <w:div w:id="299459370">
      <w:bodyDiv w:val="1"/>
      <w:marLeft w:val="0"/>
      <w:marRight w:val="0"/>
      <w:marTop w:val="0"/>
      <w:marBottom w:val="0"/>
      <w:divBdr>
        <w:top w:val="none" w:sz="0" w:space="0" w:color="auto"/>
        <w:left w:val="none" w:sz="0" w:space="0" w:color="auto"/>
        <w:bottom w:val="none" w:sz="0" w:space="0" w:color="auto"/>
        <w:right w:val="none" w:sz="0" w:space="0" w:color="auto"/>
      </w:divBdr>
      <w:divsChild>
        <w:div w:id="405692745">
          <w:marLeft w:val="360"/>
          <w:marRight w:val="0"/>
          <w:marTop w:val="200"/>
          <w:marBottom w:val="0"/>
          <w:divBdr>
            <w:top w:val="none" w:sz="0" w:space="0" w:color="auto"/>
            <w:left w:val="none" w:sz="0" w:space="0" w:color="auto"/>
            <w:bottom w:val="none" w:sz="0" w:space="0" w:color="auto"/>
            <w:right w:val="none" w:sz="0" w:space="0" w:color="auto"/>
          </w:divBdr>
        </w:div>
        <w:div w:id="395205882">
          <w:marLeft w:val="360"/>
          <w:marRight w:val="0"/>
          <w:marTop w:val="200"/>
          <w:marBottom w:val="0"/>
          <w:divBdr>
            <w:top w:val="none" w:sz="0" w:space="0" w:color="auto"/>
            <w:left w:val="none" w:sz="0" w:space="0" w:color="auto"/>
            <w:bottom w:val="none" w:sz="0" w:space="0" w:color="auto"/>
            <w:right w:val="none" w:sz="0" w:space="0" w:color="auto"/>
          </w:divBdr>
        </w:div>
        <w:div w:id="204947850">
          <w:marLeft w:val="360"/>
          <w:marRight w:val="0"/>
          <w:marTop w:val="200"/>
          <w:marBottom w:val="0"/>
          <w:divBdr>
            <w:top w:val="none" w:sz="0" w:space="0" w:color="auto"/>
            <w:left w:val="none" w:sz="0" w:space="0" w:color="auto"/>
            <w:bottom w:val="none" w:sz="0" w:space="0" w:color="auto"/>
            <w:right w:val="none" w:sz="0" w:space="0" w:color="auto"/>
          </w:divBdr>
        </w:div>
        <w:div w:id="110101532">
          <w:marLeft w:val="360"/>
          <w:marRight w:val="0"/>
          <w:marTop w:val="200"/>
          <w:marBottom w:val="0"/>
          <w:divBdr>
            <w:top w:val="none" w:sz="0" w:space="0" w:color="auto"/>
            <w:left w:val="none" w:sz="0" w:space="0" w:color="auto"/>
            <w:bottom w:val="none" w:sz="0" w:space="0" w:color="auto"/>
            <w:right w:val="none" w:sz="0" w:space="0" w:color="auto"/>
          </w:divBdr>
        </w:div>
        <w:div w:id="913516446">
          <w:marLeft w:val="360"/>
          <w:marRight w:val="0"/>
          <w:marTop w:val="200"/>
          <w:marBottom w:val="0"/>
          <w:divBdr>
            <w:top w:val="none" w:sz="0" w:space="0" w:color="auto"/>
            <w:left w:val="none" w:sz="0" w:space="0" w:color="auto"/>
            <w:bottom w:val="none" w:sz="0" w:space="0" w:color="auto"/>
            <w:right w:val="none" w:sz="0" w:space="0" w:color="auto"/>
          </w:divBdr>
        </w:div>
        <w:div w:id="2067025110">
          <w:marLeft w:val="360"/>
          <w:marRight w:val="0"/>
          <w:marTop w:val="200"/>
          <w:marBottom w:val="0"/>
          <w:divBdr>
            <w:top w:val="none" w:sz="0" w:space="0" w:color="auto"/>
            <w:left w:val="none" w:sz="0" w:space="0" w:color="auto"/>
            <w:bottom w:val="none" w:sz="0" w:space="0" w:color="auto"/>
            <w:right w:val="none" w:sz="0" w:space="0" w:color="auto"/>
          </w:divBdr>
        </w:div>
        <w:div w:id="175505943">
          <w:marLeft w:val="360"/>
          <w:marRight w:val="0"/>
          <w:marTop w:val="200"/>
          <w:marBottom w:val="0"/>
          <w:divBdr>
            <w:top w:val="none" w:sz="0" w:space="0" w:color="auto"/>
            <w:left w:val="none" w:sz="0" w:space="0" w:color="auto"/>
            <w:bottom w:val="none" w:sz="0" w:space="0" w:color="auto"/>
            <w:right w:val="none" w:sz="0" w:space="0" w:color="auto"/>
          </w:divBdr>
        </w:div>
        <w:div w:id="491331063">
          <w:marLeft w:val="360"/>
          <w:marRight w:val="0"/>
          <w:marTop w:val="200"/>
          <w:marBottom w:val="0"/>
          <w:divBdr>
            <w:top w:val="none" w:sz="0" w:space="0" w:color="auto"/>
            <w:left w:val="none" w:sz="0" w:space="0" w:color="auto"/>
            <w:bottom w:val="none" w:sz="0" w:space="0" w:color="auto"/>
            <w:right w:val="none" w:sz="0" w:space="0" w:color="auto"/>
          </w:divBdr>
        </w:div>
      </w:divsChild>
    </w:div>
    <w:div w:id="329870877">
      <w:bodyDiv w:val="1"/>
      <w:marLeft w:val="0"/>
      <w:marRight w:val="0"/>
      <w:marTop w:val="0"/>
      <w:marBottom w:val="0"/>
      <w:divBdr>
        <w:top w:val="none" w:sz="0" w:space="0" w:color="auto"/>
        <w:left w:val="none" w:sz="0" w:space="0" w:color="auto"/>
        <w:bottom w:val="none" w:sz="0" w:space="0" w:color="auto"/>
        <w:right w:val="none" w:sz="0" w:space="0" w:color="auto"/>
      </w:divBdr>
    </w:div>
    <w:div w:id="333538138">
      <w:bodyDiv w:val="1"/>
      <w:marLeft w:val="0"/>
      <w:marRight w:val="0"/>
      <w:marTop w:val="0"/>
      <w:marBottom w:val="0"/>
      <w:divBdr>
        <w:top w:val="none" w:sz="0" w:space="0" w:color="auto"/>
        <w:left w:val="none" w:sz="0" w:space="0" w:color="auto"/>
        <w:bottom w:val="none" w:sz="0" w:space="0" w:color="auto"/>
        <w:right w:val="none" w:sz="0" w:space="0" w:color="auto"/>
      </w:divBdr>
      <w:divsChild>
        <w:div w:id="1301375267">
          <w:marLeft w:val="274"/>
          <w:marRight w:val="0"/>
          <w:marTop w:val="0"/>
          <w:marBottom w:val="0"/>
          <w:divBdr>
            <w:top w:val="none" w:sz="0" w:space="0" w:color="auto"/>
            <w:left w:val="none" w:sz="0" w:space="0" w:color="auto"/>
            <w:bottom w:val="none" w:sz="0" w:space="0" w:color="auto"/>
            <w:right w:val="none" w:sz="0" w:space="0" w:color="auto"/>
          </w:divBdr>
        </w:div>
        <w:div w:id="1888910752">
          <w:marLeft w:val="274"/>
          <w:marRight w:val="0"/>
          <w:marTop w:val="0"/>
          <w:marBottom w:val="0"/>
          <w:divBdr>
            <w:top w:val="none" w:sz="0" w:space="0" w:color="auto"/>
            <w:left w:val="none" w:sz="0" w:space="0" w:color="auto"/>
            <w:bottom w:val="none" w:sz="0" w:space="0" w:color="auto"/>
            <w:right w:val="none" w:sz="0" w:space="0" w:color="auto"/>
          </w:divBdr>
        </w:div>
        <w:div w:id="2052342558">
          <w:marLeft w:val="274"/>
          <w:marRight w:val="0"/>
          <w:marTop w:val="0"/>
          <w:marBottom w:val="0"/>
          <w:divBdr>
            <w:top w:val="none" w:sz="0" w:space="0" w:color="auto"/>
            <w:left w:val="none" w:sz="0" w:space="0" w:color="auto"/>
            <w:bottom w:val="none" w:sz="0" w:space="0" w:color="auto"/>
            <w:right w:val="none" w:sz="0" w:space="0" w:color="auto"/>
          </w:divBdr>
        </w:div>
      </w:divsChild>
    </w:div>
    <w:div w:id="347412131">
      <w:bodyDiv w:val="1"/>
      <w:marLeft w:val="0"/>
      <w:marRight w:val="0"/>
      <w:marTop w:val="0"/>
      <w:marBottom w:val="0"/>
      <w:divBdr>
        <w:top w:val="none" w:sz="0" w:space="0" w:color="auto"/>
        <w:left w:val="none" w:sz="0" w:space="0" w:color="auto"/>
        <w:bottom w:val="none" w:sz="0" w:space="0" w:color="auto"/>
        <w:right w:val="none" w:sz="0" w:space="0" w:color="auto"/>
      </w:divBdr>
      <w:divsChild>
        <w:div w:id="44066578">
          <w:marLeft w:val="360"/>
          <w:marRight w:val="0"/>
          <w:marTop w:val="200"/>
          <w:marBottom w:val="0"/>
          <w:divBdr>
            <w:top w:val="none" w:sz="0" w:space="0" w:color="auto"/>
            <w:left w:val="none" w:sz="0" w:space="0" w:color="auto"/>
            <w:bottom w:val="none" w:sz="0" w:space="0" w:color="auto"/>
            <w:right w:val="none" w:sz="0" w:space="0" w:color="auto"/>
          </w:divBdr>
        </w:div>
        <w:div w:id="642660876">
          <w:marLeft w:val="360"/>
          <w:marRight w:val="0"/>
          <w:marTop w:val="200"/>
          <w:marBottom w:val="0"/>
          <w:divBdr>
            <w:top w:val="none" w:sz="0" w:space="0" w:color="auto"/>
            <w:left w:val="none" w:sz="0" w:space="0" w:color="auto"/>
            <w:bottom w:val="none" w:sz="0" w:space="0" w:color="auto"/>
            <w:right w:val="none" w:sz="0" w:space="0" w:color="auto"/>
          </w:divBdr>
        </w:div>
        <w:div w:id="1204294307">
          <w:marLeft w:val="360"/>
          <w:marRight w:val="0"/>
          <w:marTop w:val="200"/>
          <w:marBottom w:val="0"/>
          <w:divBdr>
            <w:top w:val="none" w:sz="0" w:space="0" w:color="auto"/>
            <w:left w:val="none" w:sz="0" w:space="0" w:color="auto"/>
            <w:bottom w:val="none" w:sz="0" w:space="0" w:color="auto"/>
            <w:right w:val="none" w:sz="0" w:space="0" w:color="auto"/>
          </w:divBdr>
        </w:div>
        <w:div w:id="1406150272">
          <w:marLeft w:val="360"/>
          <w:marRight w:val="0"/>
          <w:marTop w:val="200"/>
          <w:marBottom w:val="0"/>
          <w:divBdr>
            <w:top w:val="none" w:sz="0" w:space="0" w:color="auto"/>
            <w:left w:val="none" w:sz="0" w:space="0" w:color="auto"/>
            <w:bottom w:val="none" w:sz="0" w:space="0" w:color="auto"/>
            <w:right w:val="none" w:sz="0" w:space="0" w:color="auto"/>
          </w:divBdr>
        </w:div>
      </w:divsChild>
    </w:div>
    <w:div w:id="358817234">
      <w:bodyDiv w:val="1"/>
      <w:marLeft w:val="0"/>
      <w:marRight w:val="0"/>
      <w:marTop w:val="0"/>
      <w:marBottom w:val="0"/>
      <w:divBdr>
        <w:top w:val="none" w:sz="0" w:space="0" w:color="auto"/>
        <w:left w:val="none" w:sz="0" w:space="0" w:color="auto"/>
        <w:bottom w:val="none" w:sz="0" w:space="0" w:color="auto"/>
        <w:right w:val="none" w:sz="0" w:space="0" w:color="auto"/>
      </w:divBdr>
    </w:div>
    <w:div w:id="399598950">
      <w:bodyDiv w:val="1"/>
      <w:marLeft w:val="0"/>
      <w:marRight w:val="0"/>
      <w:marTop w:val="0"/>
      <w:marBottom w:val="0"/>
      <w:divBdr>
        <w:top w:val="none" w:sz="0" w:space="0" w:color="auto"/>
        <w:left w:val="none" w:sz="0" w:space="0" w:color="auto"/>
        <w:bottom w:val="none" w:sz="0" w:space="0" w:color="auto"/>
        <w:right w:val="none" w:sz="0" w:space="0" w:color="auto"/>
      </w:divBdr>
    </w:div>
    <w:div w:id="430394296">
      <w:bodyDiv w:val="1"/>
      <w:marLeft w:val="0"/>
      <w:marRight w:val="0"/>
      <w:marTop w:val="0"/>
      <w:marBottom w:val="0"/>
      <w:divBdr>
        <w:top w:val="none" w:sz="0" w:space="0" w:color="auto"/>
        <w:left w:val="none" w:sz="0" w:space="0" w:color="auto"/>
        <w:bottom w:val="none" w:sz="0" w:space="0" w:color="auto"/>
        <w:right w:val="none" w:sz="0" w:space="0" w:color="auto"/>
      </w:divBdr>
    </w:div>
    <w:div w:id="436875762">
      <w:bodyDiv w:val="1"/>
      <w:marLeft w:val="0"/>
      <w:marRight w:val="0"/>
      <w:marTop w:val="0"/>
      <w:marBottom w:val="0"/>
      <w:divBdr>
        <w:top w:val="none" w:sz="0" w:space="0" w:color="auto"/>
        <w:left w:val="none" w:sz="0" w:space="0" w:color="auto"/>
        <w:bottom w:val="none" w:sz="0" w:space="0" w:color="auto"/>
        <w:right w:val="none" w:sz="0" w:space="0" w:color="auto"/>
      </w:divBdr>
      <w:divsChild>
        <w:div w:id="48307615">
          <w:marLeft w:val="1166"/>
          <w:marRight w:val="0"/>
          <w:marTop w:val="0"/>
          <w:marBottom w:val="0"/>
          <w:divBdr>
            <w:top w:val="none" w:sz="0" w:space="0" w:color="auto"/>
            <w:left w:val="none" w:sz="0" w:space="0" w:color="auto"/>
            <w:bottom w:val="none" w:sz="0" w:space="0" w:color="auto"/>
            <w:right w:val="none" w:sz="0" w:space="0" w:color="auto"/>
          </w:divBdr>
        </w:div>
        <w:div w:id="209076834">
          <w:marLeft w:val="446"/>
          <w:marRight w:val="0"/>
          <w:marTop w:val="0"/>
          <w:marBottom w:val="0"/>
          <w:divBdr>
            <w:top w:val="none" w:sz="0" w:space="0" w:color="auto"/>
            <w:left w:val="none" w:sz="0" w:space="0" w:color="auto"/>
            <w:bottom w:val="none" w:sz="0" w:space="0" w:color="auto"/>
            <w:right w:val="none" w:sz="0" w:space="0" w:color="auto"/>
          </w:divBdr>
        </w:div>
        <w:div w:id="626590288">
          <w:marLeft w:val="1166"/>
          <w:marRight w:val="0"/>
          <w:marTop w:val="0"/>
          <w:marBottom w:val="0"/>
          <w:divBdr>
            <w:top w:val="none" w:sz="0" w:space="0" w:color="auto"/>
            <w:left w:val="none" w:sz="0" w:space="0" w:color="auto"/>
            <w:bottom w:val="none" w:sz="0" w:space="0" w:color="auto"/>
            <w:right w:val="none" w:sz="0" w:space="0" w:color="auto"/>
          </w:divBdr>
        </w:div>
        <w:div w:id="866019863">
          <w:marLeft w:val="446"/>
          <w:marRight w:val="0"/>
          <w:marTop w:val="0"/>
          <w:marBottom w:val="0"/>
          <w:divBdr>
            <w:top w:val="none" w:sz="0" w:space="0" w:color="auto"/>
            <w:left w:val="none" w:sz="0" w:space="0" w:color="auto"/>
            <w:bottom w:val="none" w:sz="0" w:space="0" w:color="auto"/>
            <w:right w:val="none" w:sz="0" w:space="0" w:color="auto"/>
          </w:divBdr>
        </w:div>
        <w:div w:id="1385982788">
          <w:marLeft w:val="446"/>
          <w:marRight w:val="0"/>
          <w:marTop w:val="0"/>
          <w:marBottom w:val="0"/>
          <w:divBdr>
            <w:top w:val="none" w:sz="0" w:space="0" w:color="auto"/>
            <w:left w:val="none" w:sz="0" w:space="0" w:color="auto"/>
            <w:bottom w:val="none" w:sz="0" w:space="0" w:color="auto"/>
            <w:right w:val="none" w:sz="0" w:space="0" w:color="auto"/>
          </w:divBdr>
        </w:div>
        <w:div w:id="1975212460">
          <w:marLeft w:val="446"/>
          <w:marRight w:val="0"/>
          <w:marTop w:val="0"/>
          <w:marBottom w:val="0"/>
          <w:divBdr>
            <w:top w:val="none" w:sz="0" w:space="0" w:color="auto"/>
            <w:left w:val="none" w:sz="0" w:space="0" w:color="auto"/>
            <w:bottom w:val="none" w:sz="0" w:space="0" w:color="auto"/>
            <w:right w:val="none" w:sz="0" w:space="0" w:color="auto"/>
          </w:divBdr>
        </w:div>
      </w:divsChild>
    </w:div>
    <w:div w:id="444077126">
      <w:bodyDiv w:val="1"/>
      <w:marLeft w:val="0"/>
      <w:marRight w:val="0"/>
      <w:marTop w:val="0"/>
      <w:marBottom w:val="0"/>
      <w:divBdr>
        <w:top w:val="none" w:sz="0" w:space="0" w:color="auto"/>
        <w:left w:val="none" w:sz="0" w:space="0" w:color="auto"/>
        <w:bottom w:val="none" w:sz="0" w:space="0" w:color="auto"/>
        <w:right w:val="none" w:sz="0" w:space="0" w:color="auto"/>
      </w:divBdr>
    </w:div>
    <w:div w:id="456458946">
      <w:bodyDiv w:val="1"/>
      <w:marLeft w:val="0"/>
      <w:marRight w:val="0"/>
      <w:marTop w:val="0"/>
      <w:marBottom w:val="0"/>
      <w:divBdr>
        <w:top w:val="none" w:sz="0" w:space="0" w:color="auto"/>
        <w:left w:val="none" w:sz="0" w:space="0" w:color="auto"/>
        <w:bottom w:val="none" w:sz="0" w:space="0" w:color="auto"/>
        <w:right w:val="none" w:sz="0" w:space="0" w:color="auto"/>
      </w:divBdr>
    </w:div>
    <w:div w:id="477309572">
      <w:bodyDiv w:val="1"/>
      <w:marLeft w:val="0"/>
      <w:marRight w:val="0"/>
      <w:marTop w:val="0"/>
      <w:marBottom w:val="0"/>
      <w:divBdr>
        <w:top w:val="none" w:sz="0" w:space="0" w:color="auto"/>
        <w:left w:val="none" w:sz="0" w:space="0" w:color="auto"/>
        <w:bottom w:val="none" w:sz="0" w:space="0" w:color="auto"/>
        <w:right w:val="none" w:sz="0" w:space="0" w:color="auto"/>
      </w:divBdr>
    </w:div>
    <w:div w:id="496582863">
      <w:bodyDiv w:val="1"/>
      <w:marLeft w:val="0"/>
      <w:marRight w:val="0"/>
      <w:marTop w:val="0"/>
      <w:marBottom w:val="0"/>
      <w:divBdr>
        <w:top w:val="none" w:sz="0" w:space="0" w:color="auto"/>
        <w:left w:val="none" w:sz="0" w:space="0" w:color="auto"/>
        <w:bottom w:val="none" w:sz="0" w:space="0" w:color="auto"/>
        <w:right w:val="none" w:sz="0" w:space="0" w:color="auto"/>
      </w:divBdr>
      <w:divsChild>
        <w:div w:id="12147873">
          <w:marLeft w:val="274"/>
          <w:marRight w:val="0"/>
          <w:marTop w:val="0"/>
          <w:marBottom w:val="0"/>
          <w:divBdr>
            <w:top w:val="none" w:sz="0" w:space="0" w:color="auto"/>
            <w:left w:val="none" w:sz="0" w:space="0" w:color="auto"/>
            <w:bottom w:val="none" w:sz="0" w:space="0" w:color="auto"/>
            <w:right w:val="none" w:sz="0" w:space="0" w:color="auto"/>
          </w:divBdr>
        </w:div>
        <w:div w:id="338965815">
          <w:marLeft w:val="274"/>
          <w:marRight w:val="0"/>
          <w:marTop w:val="0"/>
          <w:marBottom w:val="0"/>
          <w:divBdr>
            <w:top w:val="none" w:sz="0" w:space="0" w:color="auto"/>
            <w:left w:val="none" w:sz="0" w:space="0" w:color="auto"/>
            <w:bottom w:val="none" w:sz="0" w:space="0" w:color="auto"/>
            <w:right w:val="none" w:sz="0" w:space="0" w:color="auto"/>
          </w:divBdr>
        </w:div>
        <w:div w:id="1427383268">
          <w:marLeft w:val="274"/>
          <w:marRight w:val="0"/>
          <w:marTop w:val="0"/>
          <w:marBottom w:val="0"/>
          <w:divBdr>
            <w:top w:val="none" w:sz="0" w:space="0" w:color="auto"/>
            <w:left w:val="none" w:sz="0" w:space="0" w:color="auto"/>
            <w:bottom w:val="none" w:sz="0" w:space="0" w:color="auto"/>
            <w:right w:val="none" w:sz="0" w:space="0" w:color="auto"/>
          </w:divBdr>
        </w:div>
      </w:divsChild>
    </w:div>
    <w:div w:id="499782455">
      <w:bodyDiv w:val="1"/>
      <w:marLeft w:val="0"/>
      <w:marRight w:val="0"/>
      <w:marTop w:val="0"/>
      <w:marBottom w:val="0"/>
      <w:divBdr>
        <w:top w:val="none" w:sz="0" w:space="0" w:color="auto"/>
        <w:left w:val="none" w:sz="0" w:space="0" w:color="auto"/>
        <w:bottom w:val="none" w:sz="0" w:space="0" w:color="auto"/>
        <w:right w:val="none" w:sz="0" w:space="0" w:color="auto"/>
      </w:divBdr>
      <w:divsChild>
        <w:div w:id="1123116830">
          <w:marLeft w:val="331"/>
          <w:marRight w:val="0"/>
          <w:marTop w:val="0"/>
          <w:marBottom w:val="0"/>
          <w:divBdr>
            <w:top w:val="none" w:sz="0" w:space="0" w:color="auto"/>
            <w:left w:val="none" w:sz="0" w:space="0" w:color="auto"/>
            <w:bottom w:val="none" w:sz="0" w:space="0" w:color="auto"/>
            <w:right w:val="none" w:sz="0" w:space="0" w:color="auto"/>
          </w:divBdr>
        </w:div>
      </w:divsChild>
    </w:div>
    <w:div w:id="561411511">
      <w:bodyDiv w:val="1"/>
      <w:marLeft w:val="0"/>
      <w:marRight w:val="0"/>
      <w:marTop w:val="0"/>
      <w:marBottom w:val="0"/>
      <w:divBdr>
        <w:top w:val="none" w:sz="0" w:space="0" w:color="auto"/>
        <w:left w:val="none" w:sz="0" w:space="0" w:color="auto"/>
        <w:bottom w:val="none" w:sz="0" w:space="0" w:color="auto"/>
        <w:right w:val="none" w:sz="0" w:space="0" w:color="auto"/>
      </w:divBdr>
      <w:divsChild>
        <w:div w:id="1576015633">
          <w:marLeft w:val="360"/>
          <w:marRight w:val="0"/>
          <w:marTop w:val="200"/>
          <w:marBottom w:val="0"/>
          <w:divBdr>
            <w:top w:val="none" w:sz="0" w:space="0" w:color="auto"/>
            <w:left w:val="none" w:sz="0" w:space="0" w:color="auto"/>
            <w:bottom w:val="none" w:sz="0" w:space="0" w:color="auto"/>
            <w:right w:val="none" w:sz="0" w:space="0" w:color="auto"/>
          </w:divBdr>
        </w:div>
        <w:div w:id="1921602281">
          <w:marLeft w:val="360"/>
          <w:marRight w:val="0"/>
          <w:marTop w:val="200"/>
          <w:marBottom w:val="0"/>
          <w:divBdr>
            <w:top w:val="none" w:sz="0" w:space="0" w:color="auto"/>
            <w:left w:val="none" w:sz="0" w:space="0" w:color="auto"/>
            <w:bottom w:val="none" w:sz="0" w:space="0" w:color="auto"/>
            <w:right w:val="none" w:sz="0" w:space="0" w:color="auto"/>
          </w:divBdr>
        </w:div>
        <w:div w:id="1899243195">
          <w:marLeft w:val="360"/>
          <w:marRight w:val="0"/>
          <w:marTop w:val="200"/>
          <w:marBottom w:val="0"/>
          <w:divBdr>
            <w:top w:val="none" w:sz="0" w:space="0" w:color="auto"/>
            <w:left w:val="none" w:sz="0" w:space="0" w:color="auto"/>
            <w:bottom w:val="none" w:sz="0" w:space="0" w:color="auto"/>
            <w:right w:val="none" w:sz="0" w:space="0" w:color="auto"/>
          </w:divBdr>
        </w:div>
        <w:div w:id="655187683">
          <w:marLeft w:val="360"/>
          <w:marRight w:val="0"/>
          <w:marTop w:val="200"/>
          <w:marBottom w:val="0"/>
          <w:divBdr>
            <w:top w:val="none" w:sz="0" w:space="0" w:color="auto"/>
            <w:left w:val="none" w:sz="0" w:space="0" w:color="auto"/>
            <w:bottom w:val="none" w:sz="0" w:space="0" w:color="auto"/>
            <w:right w:val="none" w:sz="0" w:space="0" w:color="auto"/>
          </w:divBdr>
        </w:div>
        <w:div w:id="16199633">
          <w:marLeft w:val="360"/>
          <w:marRight w:val="0"/>
          <w:marTop w:val="200"/>
          <w:marBottom w:val="0"/>
          <w:divBdr>
            <w:top w:val="none" w:sz="0" w:space="0" w:color="auto"/>
            <w:left w:val="none" w:sz="0" w:space="0" w:color="auto"/>
            <w:bottom w:val="none" w:sz="0" w:space="0" w:color="auto"/>
            <w:right w:val="none" w:sz="0" w:space="0" w:color="auto"/>
          </w:divBdr>
        </w:div>
        <w:div w:id="299919899">
          <w:marLeft w:val="360"/>
          <w:marRight w:val="0"/>
          <w:marTop w:val="200"/>
          <w:marBottom w:val="0"/>
          <w:divBdr>
            <w:top w:val="none" w:sz="0" w:space="0" w:color="auto"/>
            <w:left w:val="none" w:sz="0" w:space="0" w:color="auto"/>
            <w:bottom w:val="none" w:sz="0" w:space="0" w:color="auto"/>
            <w:right w:val="none" w:sz="0" w:space="0" w:color="auto"/>
          </w:divBdr>
        </w:div>
        <w:div w:id="302853487">
          <w:marLeft w:val="360"/>
          <w:marRight w:val="0"/>
          <w:marTop w:val="200"/>
          <w:marBottom w:val="0"/>
          <w:divBdr>
            <w:top w:val="none" w:sz="0" w:space="0" w:color="auto"/>
            <w:left w:val="none" w:sz="0" w:space="0" w:color="auto"/>
            <w:bottom w:val="none" w:sz="0" w:space="0" w:color="auto"/>
            <w:right w:val="none" w:sz="0" w:space="0" w:color="auto"/>
          </w:divBdr>
        </w:div>
      </w:divsChild>
    </w:div>
    <w:div w:id="572855696">
      <w:bodyDiv w:val="1"/>
      <w:marLeft w:val="0"/>
      <w:marRight w:val="0"/>
      <w:marTop w:val="0"/>
      <w:marBottom w:val="0"/>
      <w:divBdr>
        <w:top w:val="none" w:sz="0" w:space="0" w:color="auto"/>
        <w:left w:val="none" w:sz="0" w:space="0" w:color="auto"/>
        <w:bottom w:val="none" w:sz="0" w:space="0" w:color="auto"/>
        <w:right w:val="none" w:sz="0" w:space="0" w:color="auto"/>
      </w:divBdr>
      <w:divsChild>
        <w:div w:id="1214318633">
          <w:marLeft w:val="547"/>
          <w:marRight w:val="0"/>
          <w:marTop w:val="200"/>
          <w:marBottom w:val="0"/>
          <w:divBdr>
            <w:top w:val="none" w:sz="0" w:space="0" w:color="auto"/>
            <w:left w:val="none" w:sz="0" w:space="0" w:color="auto"/>
            <w:bottom w:val="none" w:sz="0" w:space="0" w:color="auto"/>
            <w:right w:val="none" w:sz="0" w:space="0" w:color="auto"/>
          </w:divBdr>
        </w:div>
        <w:div w:id="1729723779">
          <w:marLeft w:val="547"/>
          <w:marRight w:val="0"/>
          <w:marTop w:val="200"/>
          <w:marBottom w:val="0"/>
          <w:divBdr>
            <w:top w:val="none" w:sz="0" w:space="0" w:color="auto"/>
            <w:left w:val="none" w:sz="0" w:space="0" w:color="auto"/>
            <w:bottom w:val="none" w:sz="0" w:space="0" w:color="auto"/>
            <w:right w:val="none" w:sz="0" w:space="0" w:color="auto"/>
          </w:divBdr>
        </w:div>
        <w:div w:id="1320503313">
          <w:marLeft w:val="547"/>
          <w:marRight w:val="0"/>
          <w:marTop w:val="200"/>
          <w:marBottom w:val="0"/>
          <w:divBdr>
            <w:top w:val="none" w:sz="0" w:space="0" w:color="auto"/>
            <w:left w:val="none" w:sz="0" w:space="0" w:color="auto"/>
            <w:bottom w:val="none" w:sz="0" w:space="0" w:color="auto"/>
            <w:right w:val="none" w:sz="0" w:space="0" w:color="auto"/>
          </w:divBdr>
        </w:div>
        <w:div w:id="1700740199">
          <w:marLeft w:val="547"/>
          <w:marRight w:val="0"/>
          <w:marTop w:val="200"/>
          <w:marBottom w:val="0"/>
          <w:divBdr>
            <w:top w:val="none" w:sz="0" w:space="0" w:color="auto"/>
            <w:left w:val="none" w:sz="0" w:space="0" w:color="auto"/>
            <w:bottom w:val="none" w:sz="0" w:space="0" w:color="auto"/>
            <w:right w:val="none" w:sz="0" w:space="0" w:color="auto"/>
          </w:divBdr>
        </w:div>
        <w:div w:id="393352432">
          <w:marLeft w:val="547"/>
          <w:marRight w:val="0"/>
          <w:marTop w:val="200"/>
          <w:marBottom w:val="0"/>
          <w:divBdr>
            <w:top w:val="none" w:sz="0" w:space="0" w:color="auto"/>
            <w:left w:val="none" w:sz="0" w:space="0" w:color="auto"/>
            <w:bottom w:val="none" w:sz="0" w:space="0" w:color="auto"/>
            <w:right w:val="none" w:sz="0" w:space="0" w:color="auto"/>
          </w:divBdr>
        </w:div>
        <w:div w:id="1248422277">
          <w:marLeft w:val="547"/>
          <w:marRight w:val="0"/>
          <w:marTop w:val="200"/>
          <w:marBottom w:val="0"/>
          <w:divBdr>
            <w:top w:val="none" w:sz="0" w:space="0" w:color="auto"/>
            <w:left w:val="none" w:sz="0" w:space="0" w:color="auto"/>
            <w:bottom w:val="none" w:sz="0" w:space="0" w:color="auto"/>
            <w:right w:val="none" w:sz="0" w:space="0" w:color="auto"/>
          </w:divBdr>
        </w:div>
        <w:div w:id="691348215">
          <w:marLeft w:val="547"/>
          <w:marRight w:val="0"/>
          <w:marTop w:val="200"/>
          <w:marBottom w:val="0"/>
          <w:divBdr>
            <w:top w:val="none" w:sz="0" w:space="0" w:color="auto"/>
            <w:left w:val="none" w:sz="0" w:space="0" w:color="auto"/>
            <w:bottom w:val="none" w:sz="0" w:space="0" w:color="auto"/>
            <w:right w:val="none" w:sz="0" w:space="0" w:color="auto"/>
          </w:divBdr>
        </w:div>
        <w:div w:id="1981110699">
          <w:marLeft w:val="547"/>
          <w:marRight w:val="0"/>
          <w:marTop w:val="200"/>
          <w:marBottom w:val="0"/>
          <w:divBdr>
            <w:top w:val="none" w:sz="0" w:space="0" w:color="auto"/>
            <w:left w:val="none" w:sz="0" w:space="0" w:color="auto"/>
            <w:bottom w:val="none" w:sz="0" w:space="0" w:color="auto"/>
            <w:right w:val="none" w:sz="0" w:space="0" w:color="auto"/>
          </w:divBdr>
        </w:div>
      </w:divsChild>
    </w:div>
    <w:div w:id="589312500">
      <w:bodyDiv w:val="1"/>
      <w:marLeft w:val="0"/>
      <w:marRight w:val="0"/>
      <w:marTop w:val="0"/>
      <w:marBottom w:val="0"/>
      <w:divBdr>
        <w:top w:val="none" w:sz="0" w:space="0" w:color="auto"/>
        <w:left w:val="none" w:sz="0" w:space="0" w:color="auto"/>
        <w:bottom w:val="none" w:sz="0" w:space="0" w:color="auto"/>
        <w:right w:val="none" w:sz="0" w:space="0" w:color="auto"/>
      </w:divBdr>
      <w:divsChild>
        <w:div w:id="1253275565">
          <w:marLeft w:val="547"/>
          <w:marRight w:val="0"/>
          <w:marTop w:val="200"/>
          <w:marBottom w:val="0"/>
          <w:divBdr>
            <w:top w:val="none" w:sz="0" w:space="0" w:color="auto"/>
            <w:left w:val="none" w:sz="0" w:space="0" w:color="auto"/>
            <w:bottom w:val="none" w:sz="0" w:space="0" w:color="auto"/>
            <w:right w:val="none" w:sz="0" w:space="0" w:color="auto"/>
          </w:divBdr>
        </w:div>
        <w:div w:id="973874909">
          <w:marLeft w:val="547"/>
          <w:marRight w:val="0"/>
          <w:marTop w:val="200"/>
          <w:marBottom w:val="0"/>
          <w:divBdr>
            <w:top w:val="none" w:sz="0" w:space="0" w:color="auto"/>
            <w:left w:val="none" w:sz="0" w:space="0" w:color="auto"/>
            <w:bottom w:val="none" w:sz="0" w:space="0" w:color="auto"/>
            <w:right w:val="none" w:sz="0" w:space="0" w:color="auto"/>
          </w:divBdr>
        </w:div>
        <w:div w:id="294022699">
          <w:marLeft w:val="547"/>
          <w:marRight w:val="0"/>
          <w:marTop w:val="200"/>
          <w:marBottom w:val="0"/>
          <w:divBdr>
            <w:top w:val="none" w:sz="0" w:space="0" w:color="auto"/>
            <w:left w:val="none" w:sz="0" w:space="0" w:color="auto"/>
            <w:bottom w:val="none" w:sz="0" w:space="0" w:color="auto"/>
            <w:right w:val="none" w:sz="0" w:space="0" w:color="auto"/>
          </w:divBdr>
        </w:div>
        <w:div w:id="654914887">
          <w:marLeft w:val="547"/>
          <w:marRight w:val="0"/>
          <w:marTop w:val="200"/>
          <w:marBottom w:val="0"/>
          <w:divBdr>
            <w:top w:val="none" w:sz="0" w:space="0" w:color="auto"/>
            <w:left w:val="none" w:sz="0" w:space="0" w:color="auto"/>
            <w:bottom w:val="none" w:sz="0" w:space="0" w:color="auto"/>
            <w:right w:val="none" w:sz="0" w:space="0" w:color="auto"/>
          </w:divBdr>
        </w:div>
        <w:div w:id="1172598143">
          <w:marLeft w:val="547"/>
          <w:marRight w:val="0"/>
          <w:marTop w:val="200"/>
          <w:marBottom w:val="0"/>
          <w:divBdr>
            <w:top w:val="none" w:sz="0" w:space="0" w:color="auto"/>
            <w:left w:val="none" w:sz="0" w:space="0" w:color="auto"/>
            <w:bottom w:val="none" w:sz="0" w:space="0" w:color="auto"/>
            <w:right w:val="none" w:sz="0" w:space="0" w:color="auto"/>
          </w:divBdr>
        </w:div>
        <w:div w:id="492842904">
          <w:marLeft w:val="547"/>
          <w:marRight w:val="0"/>
          <w:marTop w:val="200"/>
          <w:marBottom w:val="0"/>
          <w:divBdr>
            <w:top w:val="none" w:sz="0" w:space="0" w:color="auto"/>
            <w:left w:val="none" w:sz="0" w:space="0" w:color="auto"/>
            <w:bottom w:val="none" w:sz="0" w:space="0" w:color="auto"/>
            <w:right w:val="none" w:sz="0" w:space="0" w:color="auto"/>
          </w:divBdr>
        </w:div>
        <w:div w:id="430781815">
          <w:marLeft w:val="547"/>
          <w:marRight w:val="0"/>
          <w:marTop w:val="200"/>
          <w:marBottom w:val="0"/>
          <w:divBdr>
            <w:top w:val="none" w:sz="0" w:space="0" w:color="auto"/>
            <w:left w:val="none" w:sz="0" w:space="0" w:color="auto"/>
            <w:bottom w:val="none" w:sz="0" w:space="0" w:color="auto"/>
            <w:right w:val="none" w:sz="0" w:space="0" w:color="auto"/>
          </w:divBdr>
        </w:div>
        <w:div w:id="1572277693">
          <w:marLeft w:val="547"/>
          <w:marRight w:val="0"/>
          <w:marTop w:val="200"/>
          <w:marBottom w:val="0"/>
          <w:divBdr>
            <w:top w:val="none" w:sz="0" w:space="0" w:color="auto"/>
            <w:left w:val="none" w:sz="0" w:space="0" w:color="auto"/>
            <w:bottom w:val="none" w:sz="0" w:space="0" w:color="auto"/>
            <w:right w:val="none" w:sz="0" w:space="0" w:color="auto"/>
          </w:divBdr>
        </w:div>
      </w:divsChild>
    </w:div>
    <w:div w:id="623119767">
      <w:bodyDiv w:val="1"/>
      <w:marLeft w:val="0"/>
      <w:marRight w:val="0"/>
      <w:marTop w:val="0"/>
      <w:marBottom w:val="0"/>
      <w:divBdr>
        <w:top w:val="none" w:sz="0" w:space="0" w:color="auto"/>
        <w:left w:val="none" w:sz="0" w:space="0" w:color="auto"/>
        <w:bottom w:val="none" w:sz="0" w:space="0" w:color="auto"/>
        <w:right w:val="none" w:sz="0" w:space="0" w:color="auto"/>
      </w:divBdr>
      <w:divsChild>
        <w:div w:id="106127437">
          <w:marLeft w:val="0"/>
          <w:marRight w:val="0"/>
          <w:marTop w:val="0"/>
          <w:marBottom w:val="0"/>
          <w:divBdr>
            <w:top w:val="none" w:sz="0" w:space="0" w:color="auto"/>
            <w:left w:val="none" w:sz="0" w:space="0" w:color="auto"/>
            <w:bottom w:val="none" w:sz="0" w:space="0" w:color="auto"/>
            <w:right w:val="none" w:sz="0" w:space="0" w:color="auto"/>
          </w:divBdr>
        </w:div>
        <w:div w:id="145438359">
          <w:marLeft w:val="0"/>
          <w:marRight w:val="0"/>
          <w:marTop w:val="0"/>
          <w:marBottom w:val="0"/>
          <w:divBdr>
            <w:top w:val="none" w:sz="0" w:space="0" w:color="auto"/>
            <w:left w:val="none" w:sz="0" w:space="0" w:color="auto"/>
            <w:bottom w:val="none" w:sz="0" w:space="0" w:color="auto"/>
            <w:right w:val="none" w:sz="0" w:space="0" w:color="auto"/>
          </w:divBdr>
        </w:div>
        <w:div w:id="1192961137">
          <w:marLeft w:val="0"/>
          <w:marRight w:val="0"/>
          <w:marTop w:val="0"/>
          <w:marBottom w:val="0"/>
          <w:divBdr>
            <w:top w:val="none" w:sz="0" w:space="0" w:color="auto"/>
            <w:left w:val="none" w:sz="0" w:space="0" w:color="auto"/>
            <w:bottom w:val="none" w:sz="0" w:space="0" w:color="auto"/>
            <w:right w:val="none" w:sz="0" w:space="0" w:color="auto"/>
          </w:divBdr>
        </w:div>
        <w:div w:id="1772823186">
          <w:marLeft w:val="0"/>
          <w:marRight w:val="0"/>
          <w:marTop w:val="0"/>
          <w:marBottom w:val="0"/>
          <w:divBdr>
            <w:top w:val="none" w:sz="0" w:space="0" w:color="auto"/>
            <w:left w:val="none" w:sz="0" w:space="0" w:color="auto"/>
            <w:bottom w:val="none" w:sz="0" w:space="0" w:color="auto"/>
            <w:right w:val="none" w:sz="0" w:space="0" w:color="auto"/>
          </w:divBdr>
        </w:div>
        <w:div w:id="2143110403">
          <w:marLeft w:val="0"/>
          <w:marRight w:val="0"/>
          <w:marTop w:val="0"/>
          <w:marBottom w:val="0"/>
          <w:divBdr>
            <w:top w:val="none" w:sz="0" w:space="0" w:color="auto"/>
            <w:left w:val="none" w:sz="0" w:space="0" w:color="auto"/>
            <w:bottom w:val="none" w:sz="0" w:space="0" w:color="auto"/>
            <w:right w:val="none" w:sz="0" w:space="0" w:color="auto"/>
          </w:divBdr>
        </w:div>
      </w:divsChild>
    </w:div>
    <w:div w:id="653265337">
      <w:bodyDiv w:val="1"/>
      <w:marLeft w:val="0"/>
      <w:marRight w:val="0"/>
      <w:marTop w:val="0"/>
      <w:marBottom w:val="0"/>
      <w:divBdr>
        <w:top w:val="none" w:sz="0" w:space="0" w:color="auto"/>
        <w:left w:val="none" w:sz="0" w:space="0" w:color="auto"/>
        <w:bottom w:val="none" w:sz="0" w:space="0" w:color="auto"/>
        <w:right w:val="none" w:sz="0" w:space="0" w:color="auto"/>
      </w:divBdr>
    </w:div>
    <w:div w:id="656348275">
      <w:bodyDiv w:val="1"/>
      <w:marLeft w:val="0"/>
      <w:marRight w:val="0"/>
      <w:marTop w:val="0"/>
      <w:marBottom w:val="0"/>
      <w:divBdr>
        <w:top w:val="none" w:sz="0" w:space="0" w:color="auto"/>
        <w:left w:val="none" w:sz="0" w:space="0" w:color="auto"/>
        <w:bottom w:val="none" w:sz="0" w:space="0" w:color="auto"/>
        <w:right w:val="none" w:sz="0" w:space="0" w:color="auto"/>
      </w:divBdr>
      <w:divsChild>
        <w:div w:id="717241831">
          <w:marLeft w:val="446"/>
          <w:marRight w:val="0"/>
          <w:marTop w:val="0"/>
          <w:marBottom w:val="0"/>
          <w:divBdr>
            <w:top w:val="none" w:sz="0" w:space="0" w:color="auto"/>
            <w:left w:val="none" w:sz="0" w:space="0" w:color="auto"/>
            <w:bottom w:val="none" w:sz="0" w:space="0" w:color="auto"/>
            <w:right w:val="none" w:sz="0" w:space="0" w:color="auto"/>
          </w:divBdr>
        </w:div>
        <w:div w:id="1027097732">
          <w:marLeft w:val="446"/>
          <w:marRight w:val="0"/>
          <w:marTop w:val="0"/>
          <w:marBottom w:val="0"/>
          <w:divBdr>
            <w:top w:val="none" w:sz="0" w:space="0" w:color="auto"/>
            <w:left w:val="none" w:sz="0" w:space="0" w:color="auto"/>
            <w:bottom w:val="none" w:sz="0" w:space="0" w:color="auto"/>
            <w:right w:val="none" w:sz="0" w:space="0" w:color="auto"/>
          </w:divBdr>
        </w:div>
        <w:div w:id="1461144459">
          <w:marLeft w:val="446"/>
          <w:marRight w:val="0"/>
          <w:marTop w:val="0"/>
          <w:marBottom w:val="0"/>
          <w:divBdr>
            <w:top w:val="none" w:sz="0" w:space="0" w:color="auto"/>
            <w:left w:val="none" w:sz="0" w:space="0" w:color="auto"/>
            <w:bottom w:val="none" w:sz="0" w:space="0" w:color="auto"/>
            <w:right w:val="none" w:sz="0" w:space="0" w:color="auto"/>
          </w:divBdr>
        </w:div>
      </w:divsChild>
    </w:div>
    <w:div w:id="674768641">
      <w:bodyDiv w:val="1"/>
      <w:marLeft w:val="0"/>
      <w:marRight w:val="0"/>
      <w:marTop w:val="0"/>
      <w:marBottom w:val="0"/>
      <w:divBdr>
        <w:top w:val="none" w:sz="0" w:space="0" w:color="auto"/>
        <w:left w:val="none" w:sz="0" w:space="0" w:color="auto"/>
        <w:bottom w:val="none" w:sz="0" w:space="0" w:color="auto"/>
        <w:right w:val="none" w:sz="0" w:space="0" w:color="auto"/>
      </w:divBdr>
      <w:divsChild>
        <w:div w:id="1692099774">
          <w:marLeft w:val="446"/>
          <w:marRight w:val="0"/>
          <w:marTop w:val="0"/>
          <w:marBottom w:val="0"/>
          <w:divBdr>
            <w:top w:val="none" w:sz="0" w:space="0" w:color="auto"/>
            <w:left w:val="none" w:sz="0" w:space="0" w:color="auto"/>
            <w:bottom w:val="none" w:sz="0" w:space="0" w:color="auto"/>
            <w:right w:val="none" w:sz="0" w:space="0" w:color="auto"/>
          </w:divBdr>
        </w:div>
        <w:div w:id="1724475447">
          <w:marLeft w:val="446"/>
          <w:marRight w:val="0"/>
          <w:marTop w:val="0"/>
          <w:marBottom w:val="0"/>
          <w:divBdr>
            <w:top w:val="none" w:sz="0" w:space="0" w:color="auto"/>
            <w:left w:val="none" w:sz="0" w:space="0" w:color="auto"/>
            <w:bottom w:val="none" w:sz="0" w:space="0" w:color="auto"/>
            <w:right w:val="none" w:sz="0" w:space="0" w:color="auto"/>
          </w:divBdr>
        </w:div>
      </w:divsChild>
    </w:div>
    <w:div w:id="695355426">
      <w:bodyDiv w:val="1"/>
      <w:marLeft w:val="0"/>
      <w:marRight w:val="0"/>
      <w:marTop w:val="0"/>
      <w:marBottom w:val="0"/>
      <w:divBdr>
        <w:top w:val="none" w:sz="0" w:space="0" w:color="auto"/>
        <w:left w:val="none" w:sz="0" w:space="0" w:color="auto"/>
        <w:bottom w:val="none" w:sz="0" w:space="0" w:color="auto"/>
        <w:right w:val="none" w:sz="0" w:space="0" w:color="auto"/>
      </w:divBdr>
    </w:div>
    <w:div w:id="712966739">
      <w:bodyDiv w:val="1"/>
      <w:marLeft w:val="0"/>
      <w:marRight w:val="0"/>
      <w:marTop w:val="0"/>
      <w:marBottom w:val="0"/>
      <w:divBdr>
        <w:top w:val="none" w:sz="0" w:space="0" w:color="auto"/>
        <w:left w:val="none" w:sz="0" w:space="0" w:color="auto"/>
        <w:bottom w:val="none" w:sz="0" w:space="0" w:color="auto"/>
        <w:right w:val="none" w:sz="0" w:space="0" w:color="auto"/>
      </w:divBdr>
    </w:div>
    <w:div w:id="727263253">
      <w:bodyDiv w:val="1"/>
      <w:marLeft w:val="0"/>
      <w:marRight w:val="0"/>
      <w:marTop w:val="0"/>
      <w:marBottom w:val="0"/>
      <w:divBdr>
        <w:top w:val="none" w:sz="0" w:space="0" w:color="auto"/>
        <w:left w:val="none" w:sz="0" w:space="0" w:color="auto"/>
        <w:bottom w:val="none" w:sz="0" w:space="0" w:color="auto"/>
        <w:right w:val="none" w:sz="0" w:space="0" w:color="auto"/>
      </w:divBdr>
    </w:div>
    <w:div w:id="728304661">
      <w:bodyDiv w:val="1"/>
      <w:marLeft w:val="0"/>
      <w:marRight w:val="0"/>
      <w:marTop w:val="0"/>
      <w:marBottom w:val="0"/>
      <w:divBdr>
        <w:top w:val="none" w:sz="0" w:space="0" w:color="auto"/>
        <w:left w:val="none" w:sz="0" w:space="0" w:color="auto"/>
        <w:bottom w:val="none" w:sz="0" w:space="0" w:color="auto"/>
        <w:right w:val="none" w:sz="0" w:space="0" w:color="auto"/>
      </w:divBdr>
    </w:div>
    <w:div w:id="761878313">
      <w:bodyDiv w:val="1"/>
      <w:marLeft w:val="0"/>
      <w:marRight w:val="0"/>
      <w:marTop w:val="0"/>
      <w:marBottom w:val="0"/>
      <w:divBdr>
        <w:top w:val="none" w:sz="0" w:space="0" w:color="auto"/>
        <w:left w:val="none" w:sz="0" w:space="0" w:color="auto"/>
        <w:bottom w:val="none" w:sz="0" w:space="0" w:color="auto"/>
        <w:right w:val="none" w:sz="0" w:space="0" w:color="auto"/>
      </w:divBdr>
    </w:div>
    <w:div w:id="799609048">
      <w:bodyDiv w:val="1"/>
      <w:marLeft w:val="0"/>
      <w:marRight w:val="0"/>
      <w:marTop w:val="0"/>
      <w:marBottom w:val="0"/>
      <w:divBdr>
        <w:top w:val="none" w:sz="0" w:space="0" w:color="auto"/>
        <w:left w:val="none" w:sz="0" w:space="0" w:color="auto"/>
        <w:bottom w:val="none" w:sz="0" w:space="0" w:color="auto"/>
        <w:right w:val="none" w:sz="0" w:space="0" w:color="auto"/>
      </w:divBdr>
    </w:div>
    <w:div w:id="853495806">
      <w:bodyDiv w:val="1"/>
      <w:marLeft w:val="0"/>
      <w:marRight w:val="0"/>
      <w:marTop w:val="0"/>
      <w:marBottom w:val="0"/>
      <w:divBdr>
        <w:top w:val="none" w:sz="0" w:space="0" w:color="auto"/>
        <w:left w:val="none" w:sz="0" w:space="0" w:color="auto"/>
        <w:bottom w:val="none" w:sz="0" w:space="0" w:color="auto"/>
        <w:right w:val="none" w:sz="0" w:space="0" w:color="auto"/>
      </w:divBdr>
    </w:div>
    <w:div w:id="894389204">
      <w:bodyDiv w:val="1"/>
      <w:marLeft w:val="0"/>
      <w:marRight w:val="0"/>
      <w:marTop w:val="0"/>
      <w:marBottom w:val="0"/>
      <w:divBdr>
        <w:top w:val="none" w:sz="0" w:space="0" w:color="auto"/>
        <w:left w:val="none" w:sz="0" w:space="0" w:color="auto"/>
        <w:bottom w:val="none" w:sz="0" w:space="0" w:color="auto"/>
        <w:right w:val="none" w:sz="0" w:space="0" w:color="auto"/>
      </w:divBdr>
    </w:div>
    <w:div w:id="901673995">
      <w:bodyDiv w:val="1"/>
      <w:marLeft w:val="0"/>
      <w:marRight w:val="0"/>
      <w:marTop w:val="0"/>
      <w:marBottom w:val="0"/>
      <w:divBdr>
        <w:top w:val="none" w:sz="0" w:space="0" w:color="auto"/>
        <w:left w:val="none" w:sz="0" w:space="0" w:color="auto"/>
        <w:bottom w:val="none" w:sz="0" w:space="0" w:color="auto"/>
        <w:right w:val="none" w:sz="0" w:space="0" w:color="auto"/>
      </w:divBdr>
    </w:div>
    <w:div w:id="904073889">
      <w:bodyDiv w:val="1"/>
      <w:marLeft w:val="0"/>
      <w:marRight w:val="0"/>
      <w:marTop w:val="0"/>
      <w:marBottom w:val="0"/>
      <w:divBdr>
        <w:top w:val="none" w:sz="0" w:space="0" w:color="auto"/>
        <w:left w:val="none" w:sz="0" w:space="0" w:color="auto"/>
        <w:bottom w:val="none" w:sz="0" w:space="0" w:color="auto"/>
        <w:right w:val="none" w:sz="0" w:space="0" w:color="auto"/>
      </w:divBdr>
    </w:div>
    <w:div w:id="940797480">
      <w:bodyDiv w:val="1"/>
      <w:marLeft w:val="0"/>
      <w:marRight w:val="0"/>
      <w:marTop w:val="0"/>
      <w:marBottom w:val="0"/>
      <w:divBdr>
        <w:top w:val="none" w:sz="0" w:space="0" w:color="auto"/>
        <w:left w:val="none" w:sz="0" w:space="0" w:color="auto"/>
        <w:bottom w:val="none" w:sz="0" w:space="0" w:color="auto"/>
        <w:right w:val="none" w:sz="0" w:space="0" w:color="auto"/>
      </w:divBdr>
      <w:divsChild>
        <w:div w:id="236287211">
          <w:marLeft w:val="360"/>
          <w:marRight w:val="0"/>
          <w:marTop w:val="200"/>
          <w:marBottom w:val="0"/>
          <w:divBdr>
            <w:top w:val="none" w:sz="0" w:space="0" w:color="auto"/>
            <w:left w:val="none" w:sz="0" w:space="0" w:color="auto"/>
            <w:bottom w:val="none" w:sz="0" w:space="0" w:color="auto"/>
            <w:right w:val="none" w:sz="0" w:space="0" w:color="auto"/>
          </w:divBdr>
        </w:div>
        <w:div w:id="1032610434">
          <w:marLeft w:val="360"/>
          <w:marRight w:val="0"/>
          <w:marTop w:val="200"/>
          <w:marBottom w:val="0"/>
          <w:divBdr>
            <w:top w:val="none" w:sz="0" w:space="0" w:color="auto"/>
            <w:left w:val="none" w:sz="0" w:space="0" w:color="auto"/>
            <w:bottom w:val="none" w:sz="0" w:space="0" w:color="auto"/>
            <w:right w:val="none" w:sz="0" w:space="0" w:color="auto"/>
          </w:divBdr>
        </w:div>
        <w:div w:id="1677927646">
          <w:marLeft w:val="360"/>
          <w:marRight w:val="0"/>
          <w:marTop w:val="200"/>
          <w:marBottom w:val="0"/>
          <w:divBdr>
            <w:top w:val="none" w:sz="0" w:space="0" w:color="auto"/>
            <w:left w:val="none" w:sz="0" w:space="0" w:color="auto"/>
            <w:bottom w:val="none" w:sz="0" w:space="0" w:color="auto"/>
            <w:right w:val="none" w:sz="0" w:space="0" w:color="auto"/>
          </w:divBdr>
        </w:div>
        <w:div w:id="2090761431">
          <w:marLeft w:val="360"/>
          <w:marRight w:val="0"/>
          <w:marTop w:val="200"/>
          <w:marBottom w:val="0"/>
          <w:divBdr>
            <w:top w:val="none" w:sz="0" w:space="0" w:color="auto"/>
            <w:left w:val="none" w:sz="0" w:space="0" w:color="auto"/>
            <w:bottom w:val="none" w:sz="0" w:space="0" w:color="auto"/>
            <w:right w:val="none" w:sz="0" w:space="0" w:color="auto"/>
          </w:divBdr>
        </w:div>
      </w:divsChild>
    </w:div>
    <w:div w:id="942542328">
      <w:bodyDiv w:val="1"/>
      <w:marLeft w:val="0"/>
      <w:marRight w:val="0"/>
      <w:marTop w:val="0"/>
      <w:marBottom w:val="0"/>
      <w:divBdr>
        <w:top w:val="none" w:sz="0" w:space="0" w:color="auto"/>
        <w:left w:val="none" w:sz="0" w:space="0" w:color="auto"/>
        <w:bottom w:val="none" w:sz="0" w:space="0" w:color="auto"/>
        <w:right w:val="none" w:sz="0" w:space="0" w:color="auto"/>
      </w:divBdr>
    </w:div>
    <w:div w:id="993996538">
      <w:bodyDiv w:val="1"/>
      <w:marLeft w:val="0"/>
      <w:marRight w:val="0"/>
      <w:marTop w:val="0"/>
      <w:marBottom w:val="0"/>
      <w:divBdr>
        <w:top w:val="none" w:sz="0" w:space="0" w:color="auto"/>
        <w:left w:val="none" w:sz="0" w:space="0" w:color="auto"/>
        <w:bottom w:val="none" w:sz="0" w:space="0" w:color="auto"/>
        <w:right w:val="none" w:sz="0" w:space="0" w:color="auto"/>
      </w:divBdr>
    </w:div>
    <w:div w:id="995500049">
      <w:bodyDiv w:val="1"/>
      <w:marLeft w:val="0"/>
      <w:marRight w:val="0"/>
      <w:marTop w:val="0"/>
      <w:marBottom w:val="0"/>
      <w:divBdr>
        <w:top w:val="none" w:sz="0" w:space="0" w:color="auto"/>
        <w:left w:val="none" w:sz="0" w:space="0" w:color="auto"/>
        <w:bottom w:val="none" w:sz="0" w:space="0" w:color="auto"/>
        <w:right w:val="none" w:sz="0" w:space="0" w:color="auto"/>
      </w:divBdr>
    </w:div>
    <w:div w:id="1008605736">
      <w:bodyDiv w:val="1"/>
      <w:marLeft w:val="0"/>
      <w:marRight w:val="0"/>
      <w:marTop w:val="0"/>
      <w:marBottom w:val="0"/>
      <w:divBdr>
        <w:top w:val="none" w:sz="0" w:space="0" w:color="auto"/>
        <w:left w:val="none" w:sz="0" w:space="0" w:color="auto"/>
        <w:bottom w:val="none" w:sz="0" w:space="0" w:color="auto"/>
        <w:right w:val="none" w:sz="0" w:space="0" w:color="auto"/>
      </w:divBdr>
    </w:div>
    <w:div w:id="1011563667">
      <w:bodyDiv w:val="1"/>
      <w:marLeft w:val="0"/>
      <w:marRight w:val="0"/>
      <w:marTop w:val="0"/>
      <w:marBottom w:val="0"/>
      <w:divBdr>
        <w:top w:val="none" w:sz="0" w:space="0" w:color="auto"/>
        <w:left w:val="none" w:sz="0" w:space="0" w:color="auto"/>
        <w:bottom w:val="none" w:sz="0" w:space="0" w:color="auto"/>
        <w:right w:val="none" w:sz="0" w:space="0" w:color="auto"/>
      </w:divBdr>
    </w:div>
    <w:div w:id="1017659679">
      <w:bodyDiv w:val="1"/>
      <w:marLeft w:val="0"/>
      <w:marRight w:val="0"/>
      <w:marTop w:val="0"/>
      <w:marBottom w:val="0"/>
      <w:divBdr>
        <w:top w:val="none" w:sz="0" w:space="0" w:color="auto"/>
        <w:left w:val="none" w:sz="0" w:space="0" w:color="auto"/>
        <w:bottom w:val="none" w:sz="0" w:space="0" w:color="auto"/>
        <w:right w:val="none" w:sz="0" w:space="0" w:color="auto"/>
      </w:divBdr>
    </w:div>
    <w:div w:id="1028095437">
      <w:bodyDiv w:val="1"/>
      <w:marLeft w:val="0"/>
      <w:marRight w:val="0"/>
      <w:marTop w:val="0"/>
      <w:marBottom w:val="0"/>
      <w:divBdr>
        <w:top w:val="none" w:sz="0" w:space="0" w:color="auto"/>
        <w:left w:val="none" w:sz="0" w:space="0" w:color="auto"/>
        <w:bottom w:val="none" w:sz="0" w:space="0" w:color="auto"/>
        <w:right w:val="none" w:sz="0" w:space="0" w:color="auto"/>
      </w:divBdr>
    </w:div>
    <w:div w:id="1039277754">
      <w:bodyDiv w:val="1"/>
      <w:marLeft w:val="0"/>
      <w:marRight w:val="0"/>
      <w:marTop w:val="0"/>
      <w:marBottom w:val="0"/>
      <w:divBdr>
        <w:top w:val="none" w:sz="0" w:space="0" w:color="auto"/>
        <w:left w:val="none" w:sz="0" w:space="0" w:color="auto"/>
        <w:bottom w:val="none" w:sz="0" w:space="0" w:color="auto"/>
        <w:right w:val="none" w:sz="0" w:space="0" w:color="auto"/>
      </w:divBdr>
      <w:divsChild>
        <w:div w:id="1555504362">
          <w:marLeft w:val="360"/>
          <w:marRight w:val="0"/>
          <w:marTop w:val="200"/>
          <w:marBottom w:val="0"/>
          <w:divBdr>
            <w:top w:val="none" w:sz="0" w:space="0" w:color="auto"/>
            <w:left w:val="none" w:sz="0" w:space="0" w:color="auto"/>
            <w:bottom w:val="none" w:sz="0" w:space="0" w:color="auto"/>
            <w:right w:val="none" w:sz="0" w:space="0" w:color="auto"/>
          </w:divBdr>
        </w:div>
      </w:divsChild>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121874331">
      <w:bodyDiv w:val="1"/>
      <w:marLeft w:val="0"/>
      <w:marRight w:val="0"/>
      <w:marTop w:val="0"/>
      <w:marBottom w:val="0"/>
      <w:divBdr>
        <w:top w:val="none" w:sz="0" w:space="0" w:color="auto"/>
        <w:left w:val="none" w:sz="0" w:space="0" w:color="auto"/>
        <w:bottom w:val="none" w:sz="0" w:space="0" w:color="auto"/>
        <w:right w:val="none" w:sz="0" w:space="0" w:color="auto"/>
      </w:divBdr>
      <w:divsChild>
        <w:div w:id="349796666">
          <w:marLeft w:val="446"/>
          <w:marRight w:val="0"/>
          <w:marTop w:val="0"/>
          <w:marBottom w:val="0"/>
          <w:divBdr>
            <w:top w:val="none" w:sz="0" w:space="0" w:color="auto"/>
            <w:left w:val="none" w:sz="0" w:space="0" w:color="auto"/>
            <w:bottom w:val="none" w:sz="0" w:space="0" w:color="auto"/>
            <w:right w:val="none" w:sz="0" w:space="0" w:color="auto"/>
          </w:divBdr>
        </w:div>
        <w:div w:id="624039304">
          <w:marLeft w:val="446"/>
          <w:marRight w:val="0"/>
          <w:marTop w:val="0"/>
          <w:marBottom w:val="0"/>
          <w:divBdr>
            <w:top w:val="none" w:sz="0" w:space="0" w:color="auto"/>
            <w:left w:val="none" w:sz="0" w:space="0" w:color="auto"/>
            <w:bottom w:val="none" w:sz="0" w:space="0" w:color="auto"/>
            <w:right w:val="none" w:sz="0" w:space="0" w:color="auto"/>
          </w:divBdr>
        </w:div>
        <w:div w:id="1270772648">
          <w:marLeft w:val="446"/>
          <w:marRight w:val="0"/>
          <w:marTop w:val="0"/>
          <w:marBottom w:val="0"/>
          <w:divBdr>
            <w:top w:val="none" w:sz="0" w:space="0" w:color="auto"/>
            <w:left w:val="none" w:sz="0" w:space="0" w:color="auto"/>
            <w:bottom w:val="none" w:sz="0" w:space="0" w:color="auto"/>
            <w:right w:val="none" w:sz="0" w:space="0" w:color="auto"/>
          </w:divBdr>
        </w:div>
        <w:div w:id="1414005478">
          <w:marLeft w:val="446"/>
          <w:marRight w:val="0"/>
          <w:marTop w:val="0"/>
          <w:marBottom w:val="0"/>
          <w:divBdr>
            <w:top w:val="none" w:sz="0" w:space="0" w:color="auto"/>
            <w:left w:val="none" w:sz="0" w:space="0" w:color="auto"/>
            <w:bottom w:val="none" w:sz="0" w:space="0" w:color="auto"/>
            <w:right w:val="none" w:sz="0" w:space="0" w:color="auto"/>
          </w:divBdr>
        </w:div>
        <w:div w:id="1906407210">
          <w:marLeft w:val="446"/>
          <w:marRight w:val="0"/>
          <w:marTop w:val="0"/>
          <w:marBottom w:val="0"/>
          <w:divBdr>
            <w:top w:val="none" w:sz="0" w:space="0" w:color="auto"/>
            <w:left w:val="none" w:sz="0" w:space="0" w:color="auto"/>
            <w:bottom w:val="none" w:sz="0" w:space="0" w:color="auto"/>
            <w:right w:val="none" w:sz="0" w:space="0" w:color="auto"/>
          </w:divBdr>
        </w:div>
        <w:div w:id="1994672954">
          <w:marLeft w:val="446"/>
          <w:marRight w:val="0"/>
          <w:marTop w:val="0"/>
          <w:marBottom w:val="0"/>
          <w:divBdr>
            <w:top w:val="none" w:sz="0" w:space="0" w:color="auto"/>
            <w:left w:val="none" w:sz="0" w:space="0" w:color="auto"/>
            <w:bottom w:val="none" w:sz="0" w:space="0" w:color="auto"/>
            <w:right w:val="none" w:sz="0" w:space="0" w:color="auto"/>
          </w:divBdr>
        </w:div>
      </w:divsChild>
    </w:div>
    <w:div w:id="1140655032">
      <w:bodyDiv w:val="1"/>
      <w:marLeft w:val="0"/>
      <w:marRight w:val="0"/>
      <w:marTop w:val="0"/>
      <w:marBottom w:val="0"/>
      <w:divBdr>
        <w:top w:val="none" w:sz="0" w:space="0" w:color="auto"/>
        <w:left w:val="none" w:sz="0" w:space="0" w:color="auto"/>
        <w:bottom w:val="none" w:sz="0" w:space="0" w:color="auto"/>
        <w:right w:val="none" w:sz="0" w:space="0" w:color="auto"/>
      </w:divBdr>
    </w:div>
    <w:div w:id="1147477612">
      <w:bodyDiv w:val="1"/>
      <w:marLeft w:val="0"/>
      <w:marRight w:val="0"/>
      <w:marTop w:val="0"/>
      <w:marBottom w:val="0"/>
      <w:divBdr>
        <w:top w:val="none" w:sz="0" w:space="0" w:color="auto"/>
        <w:left w:val="none" w:sz="0" w:space="0" w:color="auto"/>
        <w:bottom w:val="none" w:sz="0" w:space="0" w:color="auto"/>
        <w:right w:val="none" w:sz="0" w:space="0" w:color="auto"/>
      </w:divBdr>
    </w:div>
    <w:div w:id="1150634225">
      <w:bodyDiv w:val="1"/>
      <w:marLeft w:val="0"/>
      <w:marRight w:val="0"/>
      <w:marTop w:val="0"/>
      <w:marBottom w:val="0"/>
      <w:divBdr>
        <w:top w:val="none" w:sz="0" w:space="0" w:color="auto"/>
        <w:left w:val="none" w:sz="0" w:space="0" w:color="auto"/>
        <w:bottom w:val="none" w:sz="0" w:space="0" w:color="auto"/>
        <w:right w:val="none" w:sz="0" w:space="0" w:color="auto"/>
      </w:divBdr>
      <w:divsChild>
        <w:div w:id="6450711">
          <w:marLeft w:val="446"/>
          <w:marRight w:val="0"/>
          <w:marTop w:val="0"/>
          <w:marBottom w:val="0"/>
          <w:divBdr>
            <w:top w:val="none" w:sz="0" w:space="0" w:color="auto"/>
            <w:left w:val="none" w:sz="0" w:space="0" w:color="auto"/>
            <w:bottom w:val="none" w:sz="0" w:space="0" w:color="auto"/>
            <w:right w:val="none" w:sz="0" w:space="0" w:color="auto"/>
          </w:divBdr>
        </w:div>
        <w:div w:id="93792821">
          <w:marLeft w:val="446"/>
          <w:marRight w:val="0"/>
          <w:marTop w:val="0"/>
          <w:marBottom w:val="0"/>
          <w:divBdr>
            <w:top w:val="none" w:sz="0" w:space="0" w:color="auto"/>
            <w:left w:val="none" w:sz="0" w:space="0" w:color="auto"/>
            <w:bottom w:val="none" w:sz="0" w:space="0" w:color="auto"/>
            <w:right w:val="none" w:sz="0" w:space="0" w:color="auto"/>
          </w:divBdr>
        </w:div>
        <w:div w:id="148329404">
          <w:marLeft w:val="446"/>
          <w:marRight w:val="0"/>
          <w:marTop w:val="0"/>
          <w:marBottom w:val="0"/>
          <w:divBdr>
            <w:top w:val="none" w:sz="0" w:space="0" w:color="auto"/>
            <w:left w:val="none" w:sz="0" w:space="0" w:color="auto"/>
            <w:bottom w:val="none" w:sz="0" w:space="0" w:color="auto"/>
            <w:right w:val="none" w:sz="0" w:space="0" w:color="auto"/>
          </w:divBdr>
        </w:div>
        <w:div w:id="418257959">
          <w:marLeft w:val="1166"/>
          <w:marRight w:val="0"/>
          <w:marTop w:val="0"/>
          <w:marBottom w:val="0"/>
          <w:divBdr>
            <w:top w:val="none" w:sz="0" w:space="0" w:color="auto"/>
            <w:left w:val="none" w:sz="0" w:space="0" w:color="auto"/>
            <w:bottom w:val="none" w:sz="0" w:space="0" w:color="auto"/>
            <w:right w:val="none" w:sz="0" w:space="0" w:color="auto"/>
          </w:divBdr>
        </w:div>
        <w:div w:id="949551448">
          <w:marLeft w:val="1166"/>
          <w:marRight w:val="0"/>
          <w:marTop w:val="0"/>
          <w:marBottom w:val="0"/>
          <w:divBdr>
            <w:top w:val="none" w:sz="0" w:space="0" w:color="auto"/>
            <w:left w:val="none" w:sz="0" w:space="0" w:color="auto"/>
            <w:bottom w:val="none" w:sz="0" w:space="0" w:color="auto"/>
            <w:right w:val="none" w:sz="0" w:space="0" w:color="auto"/>
          </w:divBdr>
        </w:div>
        <w:div w:id="2036732521">
          <w:marLeft w:val="1166"/>
          <w:marRight w:val="0"/>
          <w:marTop w:val="0"/>
          <w:marBottom w:val="0"/>
          <w:divBdr>
            <w:top w:val="none" w:sz="0" w:space="0" w:color="auto"/>
            <w:left w:val="none" w:sz="0" w:space="0" w:color="auto"/>
            <w:bottom w:val="none" w:sz="0" w:space="0" w:color="auto"/>
            <w:right w:val="none" w:sz="0" w:space="0" w:color="auto"/>
          </w:divBdr>
        </w:div>
      </w:divsChild>
    </w:div>
    <w:div w:id="1156922711">
      <w:bodyDiv w:val="1"/>
      <w:marLeft w:val="0"/>
      <w:marRight w:val="0"/>
      <w:marTop w:val="0"/>
      <w:marBottom w:val="0"/>
      <w:divBdr>
        <w:top w:val="none" w:sz="0" w:space="0" w:color="auto"/>
        <w:left w:val="none" w:sz="0" w:space="0" w:color="auto"/>
        <w:bottom w:val="none" w:sz="0" w:space="0" w:color="auto"/>
        <w:right w:val="none" w:sz="0" w:space="0" w:color="auto"/>
      </w:divBdr>
    </w:div>
    <w:div w:id="1157694031">
      <w:bodyDiv w:val="1"/>
      <w:marLeft w:val="0"/>
      <w:marRight w:val="0"/>
      <w:marTop w:val="0"/>
      <w:marBottom w:val="0"/>
      <w:divBdr>
        <w:top w:val="none" w:sz="0" w:space="0" w:color="auto"/>
        <w:left w:val="none" w:sz="0" w:space="0" w:color="auto"/>
        <w:bottom w:val="none" w:sz="0" w:space="0" w:color="auto"/>
        <w:right w:val="none" w:sz="0" w:space="0" w:color="auto"/>
      </w:divBdr>
    </w:div>
    <w:div w:id="1160197033">
      <w:bodyDiv w:val="1"/>
      <w:marLeft w:val="0"/>
      <w:marRight w:val="0"/>
      <w:marTop w:val="0"/>
      <w:marBottom w:val="0"/>
      <w:divBdr>
        <w:top w:val="none" w:sz="0" w:space="0" w:color="auto"/>
        <w:left w:val="none" w:sz="0" w:space="0" w:color="auto"/>
        <w:bottom w:val="none" w:sz="0" w:space="0" w:color="auto"/>
        <w:right w:val="none" w:sz="0" w:space="0" w:color="auto"/>
      </w:divBdr>
      <w:divsChild>
        <w:div w:id="42222594">
          <w:marLeft w:val="446"/>
          <w:marRight w:val="0"/>
          <w:marTop w:val="0"/>
          <w:marBottom w:val="0"/>
          <w:divBdr>
            <w:top w:val="none" w:sz="0" w:space="0" w:color="auto"/>
            <w:left w:val="none" w:sz="0" w:space="0" w:color="auto"/>
            <w:bottom w:val="none" w:sz="0" w:space="0" w:color="auto"/>
            <w:right w:val="none" w:sz="0" w:space="0" w:color="auto"/>
          </w:divBdr>
        </w:div>
        <w:div w:id="1363742988">
          <w:marLeft w:val="446"/>
          <w:marRight w:val="0"/>
          <w:marTop w:val="0"/>
          <w:marBottom w:val="0"/>
          <w:divBdr>
            <w:top w:val="none" w:sz="0" w:space="0" w:color="auto"/>
            <w:left w:val="none" w:sz="0" w:space="0" w:color="auto"/>
            <w:bottom w:val="none" w:sz="0" w:space="0" w:color="auto"/>
            <w:right w:val="none" w:sz="0" w:space="0" w:color="auto"/>
          </w:divBdr>
        </w:div>
        <w:div w:id="1505440229">
          <w:marLeft w:val="446"/>
          <w:marRight w:val="0"/>
          <w:marTop w:val="0"/>
          <w:marBottom w:val="0"/>
          <w:divBdr>
            <w:top w:val="none" w:sz="0" w:space="0" w:color="auto"/>
            <w:left w:val="none" w:sz="0" w:space="0" w:color="auto"/>
            <w:bottom w:val="none" w:sz="0" w:space="0" w:color="auto"/>
            <w:right w:val="none" w:sz="0" w:space="0" w:color="auto"/>
          </w:divBdr>
        </w:div>
        <w:div w:id="1610821483">
          <w:marLeft w:val="446"/>
          <w:marRight w:val="0"/>
          <w:marTop w:val="0"/>
          <w:marBottom w:val="0"/>
          <w:divBdr>
            <w:top w:val="none" w:sz="0" w:space="0" w:color="auto"/>
            <w:left w:val="none" w:sz="0" w:space="0" w:color="auto"/>
            <w:bottom w:val="none" w:sz="0" w:space="0" w:color="auto"/>
            <w:right w:val="none" w:sz="0" w:space="0" w:color="auto"/>
          </w:divBdr>
        </w:div>
        <w:div w:id="2035422142">
          <w:marLeft w:val="446"/>
          <w:marRight w:val="0"/>
          <w:marTop w:val="0"/>
          <w:marBottom w:val="0"/>
          <w:divBdr>
            <w:top w:val="none" w:sz="0" w:space="0" w:color="auto"/>
            <w:left w:val="none" w:sz="0" w:space="0" w:color="auto"/>
            <w:bottom w:val="none" w:sz="0" w:space="0" w:color="auto"/>
            <w:right w:val="none" w:sz="0" w:space="0" w:color="auto"/>
          </w:divBdr>
        </w:div>
      </w:divsChild>
    </w:div>
    <w:div w:id="1189223641">
      <w:bodyDiv w:val="1"/>
      <w:marLeft w:val="0"/>
      <w:marRight w:val="0"/>
      <w:marTop w:val="0"/>
      <w:marBottom w:val="0"/>
      <w:divBdr>
        <w:top w:val="none" w:sz="0" w:space="0" w:color="auto"/>
        <w:left w:val="none" w:sz="0" w:space="0" w:color="auto"/>
        <w:bottom w:val="none" w:sz="0" w:space="0" w:color="auto"/>
        <w:right w:val="none" w:sz="0" w:space="0" w:color="auto"/>
      </w:divBdr>
      <w:divsChild>
        <w:div w:id="986973604">
          <w:marLeft w:val="446"/>
          <w:marRight w:val="0"/>
          <w:marTop w:val="0"/>
          <w:marBottom w:val="0"/>
          <w:divBdr>
            <w:top w:val="none" w:sz="0" w:space="0" w:color="auto"/>
            <w:left w:val="none" w:sz="0" w:space="0" w:color="auto"/>
            <w:bottom w:val="none" w:sz="0" w:space="0" w:color="auto"/>
            <w:right w:val="none" w:sz="0" w:space="0" w:color="auto"/>
          </w:divBdr>
        </w:div>
        <w:div w:id="18743485">
          <w:marLeft w:val="446"/>
          <w:marRight w:val="0"/>
          <w:marTop w:val="0"/>
          <w:marBottom w:val="0"/>
          <w:divBdr>
            <w:top w:val="none" w:sz="0" w:space="0" w:color="auto"/>
            <w:left w:val="none" w:sz="0" w:space="0" w:color="auto"/>
            <w:bottom w:val="none" w:sz="0" w:space="0" w:color="auto"/>
            <w:right w:val="none" w:sz="0" w:space="0" w:color="auto"/>
          </w:divBdr>
        </w:div>
        <w:div w:id="1020090199">
          <w:marLeft w:val="446"/>
          <w:marRight w:val="0"/>
          <w:marTop w:val="0"/>
          <w:marBottom w:val="0"/>
          <w:divBdr>
            <w:top w:val="none" w:sz="0" w:space="0" w:color="auto"/>
            <w:left w:val="none" w:sz="0" w:space="0" w:color="auto"/>
            <w:bottom w:val="none" w:sz="0" w:space="0" w:color="auto"/>
            <w:right w:val="none" w:sz="0" w:space="0" w:color="auto"/>
          </w:divBdr>
        </w:div>
        <w:div w:id="1887989699">
          <w:marLeft w:val="446"/>
          <w:marRight w:val="0"/>
          <w:marTop w:val="0"/>
          <w:marBottom w:val="0"/>
          <w:divBdr>
            <w:top w:val="none" w:sz="0" w:space="0" w:color="auto"/>
            <w:left w:val="none" w:sz="0" w:space="0" w:color="auto"/>
            <w:bottom w:val="none" w:sz="0" w:space="0" w:color="auto"/>
            <w:right w:val="none" w:sz="0" w:space="0" w:color="auto"/>
          </w:divBdr>
        </w:div>
      </w:divsChild>
    </w:div>
    <w:div w:id="1194659710">
      <w:bodyDiv w:val="1"/>
      <w:marLeft w:val="0"/>
      <w:marRight w:val="0"/>
      <w:marTop w:val="0"/>
      <w:marBottom w:val="0"/>
      <w:divBdr>
        <w:top w:val="none" w:sz="0" w:space="0" w:color="auto"/>
        <w:left w:val="none" w:sz="0" w:space="0" w:color="auto"/>
        <w:bottom w:val="none" w:sz="0" w:space="0" w:color="auto"/>
        <w:right w:val="none" w:sz="0" w:space="0" w:color="auto"/>
      </w:divBdr>
    </w:div>
    <w:div w:id="1216311426">
      <w:bodyDiv w:val="1"/>
      <w:marLeft w:val="0"/>
      <w:marRight w:val="0"/>
      <w:marTop w:val="0"/>
      <w:marBottom w:val="0"/>
      <w:divBdr>
        <w:top w:val="none" w:sz="0" w:space="0" w:color="auto"/>
        <w:left w:val="none" w:sz="0" w:space="0" w:color="auto"/>
        <w:bottom w:val="none" w:sz="0" w:space="0" w:color="auto"/>
        <w:right w:val="none" w:sz="0" w:space="0" w:color="auto"/>
      </w:divBdr>
    </w:div>
    <w:div w:id="1225023563">
      <w:bodyDiv w:val="1"/>
      <w:marLeft w:val="0"/>
      <w:marRight w:val="0"/>
      <w:marTop w:val="0"/>
      <w:marBottom w:val="0"/>
      <w:divBdr>
        <w:top w:val="none" w:sz="0" w:space="0" w:color="auto"/>
        <w:left w:val="none" w:sz="0" w:space="0" w:color="auto"/>
        <w:bottom w:val="none" w:sz="0" w:space="0" w:color="auto"/>
        <w:right w:val="none" w:sz="0" w:space="0" w:color="auto"/>
      </w:divBdr>
    </w:div>
    <w:div w:id="1245452551">
      <w:bodyDiv w:val="1"/>
      <w:marLeft w:val="0"/>
      <w:marRight w:val="0"/>
      <w:marTop w:val="0"/>
      <w:marBottom w:val="0"/>
      <w:divBdr>
        <w:top w:val="none" w:sz="0" w:space="0" w:color="auto"/>
        <w:left w:val="none" w:sz="0" w:space="0" w:color="auto"/>
        <w:bottom w:val="none" w:sz="0" w:space="0" w:color="auto"/>
        <w:right w:val="none" w:sz="0" w:space="0" w:color="auto"/>
      </w:divBdr>
    </w:div>
    <w:div w:id="1250116596">
      <w:bodyDiv w:val="1"/>
      <w:marLeft w:val="0"/>
      <w:marRight w:val="0"/>
      <w:marTop w:val="0"/>
      <w:marBottom w:val="0"/>
      <w:divBdr>
        <w:top w:val="none" w:sz="0" w:space="0" w:color="auto"/>
        <w:left w:val="none" w:sz="0" w:space="0" w:color="auto"/>
        <w:bottom w:val="none" w:sz="0" w:space="0" w:color="auto"/>
        <w:right w:val="none" w:sz="0" w:space="0" w:color="auto"/>
      </w:divBdr>
    </w:div>
    <w:div w:id="1274558984">
      <w:bodyDiv w:val="1"/>
      <w:marLeft w:val="0"/>
      <w:marRight w:val="0"/>
      <w:marTop w:val="0"/>
      <w:marBottom w:val="0"/>
      <w:divBdr>
        <w:top w:val="none" w:sz="0" w:space="0" w:color="auto"/>
        <w:left w:val="none" w:sz="0" w:space="0" w:color="auto"/>
        <w:bottom w:val="none" w:sz="0" w:space="0" w:color="auto"/>
        <w:right w:val="none" w:sz="0" w:space="0" w:color="auto"/>
      </w:divBdr>
    </w:div>
    <w:div w:id="1313212614">
      <w:bodyDiv w:val="1"/>
      <w:marLeft w:val="0"/>
      <w:marRight w:val="0"/>
      <w:marTop w:val="0"/>
      <w:marBottom w:val="0"/>
      <w:divBdr>
        <w:top w:val="none" w:sz="0" w:space="0" w:color="auto"/>
        <w:left w:val="none" w:sz="0" w:space="0" w:color="auto"/>
        <w:bottom w:val="none" w:sz="0" w:space="0" w:color="auto"/>
        <w:right w:val="none" w:sz="0" w:space="0" w:color="auto"/>
      </w:divBdr>
    </w:div>
    <w:div w:id="1325737732">
      <w:bodyDiv w:val="1"/>
      <w:marLeft w:val="0"/>
      <w:marRight w:val="0"/>
      <w:marTop w:val="0"/>
      <w:marBottom w:val="0"/>
      <w:divBdr>
        <w:top w:val="none" w:sz="0" w:space="0" w:color="auto"/>
        <w:left w:val="none" w:sz="0" w:space="0" w:color="auto"/>
        <w:bottom w:val="none" w:sz="0" w:space="0" w:color="auto"/>
        <w:right w:val="none" w:sz="0" w:space="0" w:color="auto"/>
      </w:divBdr>
    </w:div>
    <w:div w:id="1337922013">
      <w:bodyDiv w:val="1"/>
      <w:marLeft w:val="0"/>
      <w:marRight w:val="0"/>
      <w:marTop w:val="0"/>
      <w:marBottom w:val="0"/>
      <w:divBdr>
        <w:top w:val="none" w:sz="0" w:space="0" w:color="auto"/>
        <w:left w:val="none" w:sz="0" w:space="0" w:color="auto"/>
        <w:bottom w:val="none" w:sz="0" w:space="0" w:color="auto"/>
        <w:right w:val="none" w:sz="0" w:space="0" w:color="auto"/>
      </w:divBdr>
    </w:div>
    <w:div w:id="1389643323">
      <w:bodyDiv w:val="1"/>
      <w:marLeft w:val="0"/>
      <w:marRight w:val="0"/>
      <w:marTop w:val="0"/>
      <w:marBottom w:val="0"/>
      <w:divBdr>
        <w:top w:val="none" w:sz="0" w:space="0" w:color="auto"/>
        <w:left w:val="none" w:sz="0" w:space="0" w:color="auto"/>
        <w:bottom w:val="none" w:sz="0" w:space="0" w:color="auto"/>
        <w:right w:val="none" w:sz="0" w:space="0" w:color="auto"/>
      </w:divBdr>
      <w:divsChild>
        <w:div w:id="518394133">
          <w:marLeft w:val="360"/>
          <w:marRight w:val="0"/>
          <w:marTop w:val="200"/>
          <w:marBottom w:val="0"/>
          <w:divBdr>
            <w:top w:val="none" w:sz="0" w:space="0" w:color="auto"/>
            <w:left w:val="none" w:sz="0" w:space="0" w:color="auto"/>
            <w:bottom w:val="none" w:sz="0" w:space="0" w:color="auto"/>
            <w:right w:val="none" w:sz="0" w:space="0" w:color="auto"/>
          </w:divBdr>
        </w:div>
        <w:div w:id="803737638">
          <w:marLeft w:val="360"/>
          <w:marRight w:val="0"/>
          <w:marTop w:val="200"/>
          <w:marBottom w:val="0"/>
          <w:divBdr>
            <w:top w:val="none" w:sz="0" w:space="0" w:color="auto"/>
            <w:left w:val="none" w:sz="0" w:space="0" w:color="auto"/>
            <w:bottom w:val="none" w:sz="0" w:space="0" w:color="auto"/>
            <w:right w:val="none" w:sz="0" w:space="0" w:color="auto"/>
          </w:divBdr>
        </w:div>
      </w:divsChild>
    </w:div>
    <w:div w:id="1427922160">
      <w:bodyDiv w:val="1"/>
      <w:marLeft w:val="0"/>
      <w:marRight w:val="0"/>
      <w:marTop w:val="0"/>
      <w:marBottom w:val="0"/>
      <w:divBdr>
        <w:top w:val="none" w:sz="0" w:space="0" w:color="auto"/>
        <w:left w:val="none" w:sz="0" w:space="0" w:color="auto"/>
        <w:bottom w:val="none" w:sz="0" w:space="0" w:color="auto"/>
        <w:right w:val="none" w:sz="0" w:space="0" w:color="auto"/>
      </w:divBdr>
    </w:div>
    <w:div w:id="1435830824">
      <w:bodyDiv w:val="1"/>
      <w:marLeft w:val="0"/>
      <w:marRight w:val="0"/>
      <w:marTop w:val="0"/>
      <w:marBottom w:val="0"/>
      <w:divBdr>
        <w:top w:val="none" w:sz="0" w:space="0" w:color="auto"/>
        <w:left w:val="none" w:sz="0" w:space="0" w:color="auto"/>
        <w:bottom w:val="none" w:sz="0" w:space="0" w:color="auto"/>
        <w:right w:val="none" w:sz="0" w:space="0" w:color="auto"/>
      </w:divBdr>
    </w:div>
    <w:div w:id="1507591121">
      <w:bodyDiv w:val="1"/>
      <w:marLeft w:val="0"/>
      <w:marRight w:val="0"/>
      <w:marTop w:val="0"/>
      <w:marBottom w:val="0"/>
      <w:divBdr>
        <w:top w:val="none" w:sz="0" w:space="0" w:color="auto"/>
        <w:left w:val="none" w:sz="0" w:space="0" w:color="auto"/>
        <w:bottom w:val="none" w:sz="0" w:space="0" w:color="auto"/>
        <w:right w:val="none" w:sz="0" w:space="0" w:color="auto"/>
      </w:divBdr>
    </w:div>
    <w:div w:id="1521159646">
      <w:bodyDiv w:val="1"/>
      <w:marLeft w:val="0"/>
      <w:marRight w:val="0"/>
      <w:marTop w:val="0"/>
      <w:marBottom w:val="0"/>
      <w:divBdr>
        <w:top w:val="none" w:sz="0" w:space="0" w:color="auto"/>
        <w:left w:val="none" w:sz="0" w:space="0" w:color="auto"/>
        <w:bottom w:val="none" w:sz="0" w:space="0" w:color="auto"/>
        <w:right w:val="none" w:sz="0" w:space="0" w:color="auto"/>
      </w:divBdr>
    </w:div>
    <w:div w:id="1555191895">
      <w:bodyDiv w:val="1"/>
      <w:marLeft w:val="0"/>
      <w:marRight w:val="0"/>
      <w:marTop w:val="0"/>
      <w:marBottom w:val="0"/>
      <w:divBdr>
        <w:top w:val="none" w:sz="0" w:space="0" w:color="auto"/>
        <w:left w:val="none" w:sz="0" w:space="0" w:color="auto"/>
        <w:bottom w:val="none" w:sz="0" w:space="0" w:color="auto"/>
        <w:right w:val="none" w:sz="0" w:space="0" w:color="auto"/>
      </w:divBdr>
      <w:divsChild>
        <w:div w:id="464079743">
          <w:marLeft w:val="446"/>
          <w:marRight w:val="0"/>
          <w:marTop w:val="0"/>
          <w:marBottom w:val="0"/>
          <w:divBdr>
            <w:top w:val="none" w:sz="0" w:space="0" w:color="auto"/>
            <w:left w:val="none" w:sz="0" w:space="0" w:color="auto"/>
            <w:bottom w:val="none" w:sz="0" w:space="0" w:color="auto"/>
            <w:right w:val="none" w:sz="0" w:space="0" w:color="auto"/>
          </w:divBdr>
        </w:div>
        <w:div w:id="775490712">
          <w:marLeft w:val="446"/>
          <w:marRight w:val="0"/>
          <w:marTop w:val="0"/>
          <w:marBottom w:val="0"/>
          <w:divBdr>
            <w:top w:val="none" w:sz="0" w:space="0" w:color="auto"/>
            <w:left w:val="none" w:sz="0" w:space="0" w:color="auto"/>
            <w:bottom w:val="none" w:sz="0" w:space="0" w:color="auto"/>
            <w:right w:val="none" w:sz="0" w:space="0" w:color="auto"/>
          </w:divBdr>
        </w:div>
        <w:div w:id="1233196824">
          <w:marLeft w:val="446"/>
          <w:marRight w:val="0"/>
          <w:marTop w:val="0"/>
          <w:marBottom w:val="0"/>
          <w:divBdr>
            <w:top w:val="none" w:sz="0" w:space="0" w:color="auto"/>
            <w:left w:val="none" w:sz="0" w:space="0" w:color="auto"/>
            <w:bottom w:val="none" w:sz="0" w:space="0" w:color="auto"/>
            <w:right w:val="none" w:sz="0" w:space="0" w:color="auto"/>
          </w:divBdr>
        </w:div>
        <w:div w:id="1240755043">
          <w:marLeft w:val="446"/>
          <w:marRight w:val="0"/>
          <w:marTop w:val="0"/>
          <w:marBottom w:val="0"/>
          <w:divBdr>
            <w:top w:val="none" w:sz="0" w:space="0" w:color="auto"/>
            <w:left w:val="none" w:sz="0" w:space="0" w:color="auto"/>
            <w:bottom w:val="none" w:sz="0" w:space="0" w:color="auto"/>
            <w:right w:val="none" w:sz="0" w:space="0" w:color="auto"/>
          </w:divBdr>
        </w:div>
      </w:divsChild>
    </w:div>
    <w:div w:id="1564025015">
      <w:bodyDiv w:val="1"/>
      <w:marLeft w:val="0"/>
      <w:marRight w:val="0"/>
      <w:marTop w:val="0"/>
      <w:marBottom w:val="0"/>
      <w:divBdr>
        <w:top w:val="none" w:sz="0" w:space="0" w:color="auto"/>
        <w:left w:val="none" w:sz="0" w:space="0" w:color="auto"/>
        <w:bottom w:val="none" w:sz="0" w:space="0" w:color="auto"/>
        <w:right w:val="none" w:sz="0" w:space="0" w:color="auto"/>
      </w:divBdr>
    </w:div>
    <w:div w:id="1575429024">
      <w:bodyDiv w:val="1"/>
      <w:marLeft w:val="0"/>
      <w:marRight w:val="0"/>
      <w:marTop w:val="0"/>
      <w:marBottom w:val="0"/>
      <w:divBdr>
        <w:top w:val="none" w:sz="0" w:space="0" w:color="auto"/>
        <w:left w:val="none" w:sz="0" w:space="0" w:color="auto"/>
        <w:bottom w:val="none" w:sz="0" w:space="0" w:color="auto"/>
        <w:right w:val="none" w:sz="0" w:space="0" w:color="auto"/>
      </w:divBdr>
    </w:div>
    <w:div w:id="1585919980">
      <w:bodyDiv w:val="1"/>
      <w:marLeft w:val="0"/>
      <w:marRight w:val="0"/>
      <w:marTop w:val="0"/>
      <w:marBottom w:val="0"/>
      <w:divBdr>
        <w:top w:val="none" w:sz="0" w:space="0" w:color="auto"/>
        <w:left w:val="none" w:sz="0" w:space="0" w:color="auto"/>
        <w:bottom w:val="none" w:sz="0" w:space="0" w:color="auto"/>
        <w:right w:val="none" w:sz="0" w:space="0" w:color="auto"/>
      </w:divBdr>
    </w:div>
    <w:div w:id="1601062429">
      <w:bodyDiv w:val="1"/>
      <w:marLeft w:val="0"/>
      <w:marRight w:val="0"/>
      <w:marTop w:val="0"/>
      <w:marBottom w:val="0"/>
      <w:divBdr>
        <w:top w:val="none" w:sz="0" w:space="0" w:color="auto"/>
        <w:left w:val="none" w:sz="0" w:space="0" w:color="auto"/>
        <w:bottom w:val="none" w:sz="0" w:space="0" w:color="auto"/>
        <w:right w:val="none" w:sz="0" w:space="0" w:color="auto"/>
      </w:divBdr>
    </w:div>
    <w:div w:id="1615206047">
      <w:bodyDiv w:val="1"/>
      <w:marLeft w:val="0"/>
      <w:marRight w:val="0"/>
      <w:marTop w:val="0"/>
      <w:marBottom w:val="0"/>
      <w:divBdr>
        <w:top w:val="none" w:sz="0" w:space="0" w:color="auto"/>
        <w:left w:val="none" w:sz="0" w:space="0" w:color="auto"/>
        <w:bottom w:val="none" w:sz="0" w:space="0" w:color="auto"/>
        <w:right w:val="none" w:sz="0" w:space="0" w:color="auto"/>
      </w:divBdr>
      <w:divsChild>
        <w:div w:id="141776554">
          <w:marLeft w:val="360"/>
          <w:marRight w:val="0"/>
          <w:marTop w:val="200"/>
          <w:marBottom w:val="0"/>
          <w:divBdr>
            <w:top w:val="none" w:sz="0" w:space="0" w:color="auto"/>
            <w:left w:val="none" w:sz="0" w:space="0" w:color="auto"/>
            <w:bottom w:val="none" w:sz="0" w:space="0" w:color="auto"/>
            <w:right w:val="none" w:sz="0" w:space="0" w:color="auto"/>
          </w:divBdr>
        </w:div>
        <w:div w:id="842234487">
          <w:marLeft w:val="360"/>
          <w:marRight w:val="0"/>
          <w:marTop w:val="200"/>
          <w:marBottom w:val="0"/>
          <w:divBdr>
            <w:top w:val="none" w:sz="0" w:space="0" w:color="auto"/>
            <w:left w:val="none" w:sz="0" w:space="0" w:color="auto"/>
            <w:bottom w:val="none" w:sz="0" w:space="0" w:color="auto"/>
            <w:right w:val="none" w:sz="0" w:space="0" w:color="auto"/>
          </w:divBdr>
        </w:div>
      </w:divsChild>
    </w:div>
    <w:div w:id="1617909306">
      <w:bodyDiv w:val="1"/>
      <w:marLeft w:val="0"/>
      <w:marRight w:val="0"/>
      <w:marTop w:val="0"/>
      <w:marBottom w:val="0"/>
      <w:divBdr>
        <w:top w:val="none" w:sz="0" w:space="0" w:color="auto"/>
        <w:left w:val="none" w:sz="0" w:space="0" w:color="auto"/>
        <w:bottom w:val="none" w:sz="0" w:space="0" w:color="auto"/>
        <w:right w:val="none" w:sz="0" w:space="0" w:color="auto"/>
      </w:divBdr>
      <w:divsChild>
        <w:div w:id="114639182">
          <w:marLeft w:val="360"/>
          <w:marRight w:val="0"/>
          <w:marTop w:val="200"/>
          <w:marBottom w:val="0"/>
          <w:divBdr>
            <w:top w:val="none" w:sz="0" w:space="0" w:color="auto"/>
            <w:left w:val="none" w:sz="0" w:space="0" w:color="auto"/>
            <w:bottom w:val="none" w:sz="0" w:space="0" w:color="auto"/>
            <w:right w:val="none" w:sz="0" w:space="0" w:color="auto"/>
          </w:divBdr>
        </w:div>
        <w:div w:id="393358088">
          <w:marLeft w:val="360"/>
          <w:marRight w:val="0"/>
          <w:marTop w:val="200"/>
          <w:marBottom w:val="0"/>
          <w:divBdr>
            <w:top w:val="none" w:sz="0" w:space="0" w:color="auto"/>
            <w:left w:val="none" w:sz="0" w:space="0" w:color="auto"/>
            <w:bottom w:val="none" w:sz="0" w:space="0" w:color="auto"/>
            <w:right w:val="none" w:sz="0" w:space="0" w:color="auto"/>
          </w:divBdr>
        </w:div>
        <w:div w:id="546062733">
          <w:marLeft w:val="360"/>
          <w:marRight w:val="0"/>
          <w:marTop w:val="200"/>
          <w:marBottom w:val="0"/>
          <w:divBdr>
            <w:top w:val="none" w:sz="0" w:space="0" w:color="auto"/>
            <w:left w:val="none" w:sz="0" w:space="0" w:color="auto"/>
            <w:bottom w:val="none" w:sz="0" w:space="0" w:color="auto"/>
            <w:right w:val="none" w:sz="0" w:space="0" w:color="auto"/>
          </w:divBdr>
        </w:div>
        <w:div w:id="2044866586">
          <w:marLeft w:val="360"/>
          <w:marRight w:val="0"/>
          <w:marTop w:val="200"/>
          <w:marBottom w:val="0"/>
          <w:divBdr>
            <w:top w:val="none" w:sz="0" w:space="0" w:color="auto"/>
            <w:left w:val="none" w:sz="0" w:space="0" w:color="auto"/>
            <w:bottom w:val="none" w:sz="0" w:space="0" w:color="auto"/>
            <w:right w:val="none" w:sz="0" w:space="0" w:color="auto"/>
          </w:divBdr>
        </w:div>
      </w:divsChild>
    </w:div>
    <w:div w:id="1662807477">
      <w:bodyDiv w:val="1"/>
      <w:marLeft w:val="0"/>
      <w:marRight w:val="0"/>
      <w:marTop w:val="0"/>
      <w:marBottom w:val="0"/>
      <w:divBdr>
        <w:top w:val="none" w:sz="0" w:space="0" w:color="auto"/>
        <w:left w:val="none" w:sz="0" w:space="0" w:color="auto"/>
        <w:bottom w:val="none" w:sz="0" w:space="0" w:color="auto"/>
        <w:right w:val="none" w:sz="0" w:space="0" w:color="auto"/>
      </w:divBdr>
      <w:divsChild>
        <w:div w:id="1720208886">
          <w:marLeft w:val="360"/>
          <w:marRight w:val="0"/>
          <w:marTop w:val="200"/>
          <w:marBottom w:val="0"/>
          <w:divBdr>
            <w:top w:val="none" w:sz="0" w:space="0" w:color="auto"/>
            <w:left w:val="none" w:sz="0" w:space="0" w:color="auto"/>
            <w:bottom w:val="none" w:sz="0" w:space="0" w:color="auto"/>
            <w:right w:val="none" w:sz="0" w:space="0" w:color="auto"/>
          </w:divBdr>
        </w:div>
      </w:divsChild>
    </w:div>
    <w:div w:id="1666667118">
      <w:bodyDiv w:val="1"/>
      <w:marLeft w:val="0"/>
      <w:marRight w:val="0"/>
      <w:marTop w:val="0"/>
      <w:marBottom w:val="0"/>
      <w:divBdr>
        <w:top w:val="none" w:sz="0" w:space="0" w:color="auto"/>
        <w:left w:val="none" w:sz="0" w:space="0" w:color="auto"/>
        <w:bottom w:val="none" w:sz="0" w:space="0" w:color="auto"/>
        <w:right w:val="none" w:sz="0" w:space="0" w:color="auto"/>
      </w:divBdr>
    </w:div>
    <w:div w:id="1680811042">
      <w:bodyDiv w:val="1"/>
      <w:marLeft w:val="0"/>
      <w:marRight w:val="0"/>
      <w:marTop w:val="0"/>
      <w:marBottom w:val="0"/>
      <w:divBdr>
        <w:top w:val="none" w:sz="0" w:space="0" w:color="auto"/>
        <w:left w:val="none" w:sz="0" w:space="0" w:color="auto"/>
        <w:bottom w:val="none" w:sz="0" w:space="0" w:color="auto"/>
        <w:right w:val="none" w:sz="0" w:space="0" w:color="auto"/>
      </w:divBdr>
      <w:divsChild>
        <w:div w:id="805198733">
          <w:marLeft w:val="446"/>
          <w:marRight w:val="0"/>
          <w:marTop w:val="0"/>
          <w:marBottom w:val="0"/>
          <w:divBdr>
            <w:top w:val="none" w:sz="0" w:space="0" w:color="auto"/>
            <w:left w:val="none" w:sz="0" w:space="0" w:color="auto"/>
            <w:bottom w:val="none" w:sz="0" w:space="0" w:color="auto"/>
            <w:right w:val="none" w:sz="0" w:space="0" w:color="auto"/>
          </w:divBdr>
        </w:div>
        <w:div w:id="1878741103">
          <w:marLeft w:val="446"/>
          <w:marRight w:val="0"/>
          <w:marTop w:val="0"/>
          <w:marBottom w:val="0"/>
          <w:divBdr>
            <w:top w:val="none" w:sz="0" w:space="0" w:color="auto"/>
            <w:left w:val="none" w:sz="0" w:space="0" w:color="auto"/>
            <w:bottom w:val="none" w:sz="0" w:space="0" w:color="auto"/>
            <w:right w:val="none" w:sz="0" w:space="0" w:color="auto"/>
          </w:divBdr>
        </w:div>
      </w:divsChild>
    </w:div>
    <w:div w:id="1715884557">
      <w:bodyDiv w:val="1"/>
      <w:marLeft w:val="0"/>
      <w:marRight w:val="0"/>
      <w:marTop w:val="0"/>
      <w:marBottom w:val="0"/>
      <w:divBdr>
        <w:top w:val="none" w:sz="0" w:space="0" w:color="auto"/>
        <w:left w:val="none" w:sz="0" w:space="0" w:color="auto"/>
        <w:bottom w:val="none" w:sz="0" w:space="0" w:color="auto"/>
        <w:right w:val="none" w:sz="0" w:space="0" w:color="auto"/>
      </w:divBdr>
    </w:div>
    <w:div w:id="1763716673">
      <w:bodyDiv w:val="1"/>
      <w:marLeft w:val="0"/>
      <w:marRight w:val="0"/>
      <w:marTop w:val="0"/>
      <w:marBottom w:val="0"/>
      <w:divBdr>
        <w:top w:val="none" w:sz="0" w:space="0" w:color="auto"/>
        <w:left w:val="none" w:sz="0" w:space="0" w:color="auto"/>
        <w:bottom w:val="none" w:sz="0" w:space="0" w:color="auto"/>
        <w:right w:val="none" w:sz="0" w:space="0" w:color="auto"/>
      </w:divBdr>
      <w:divsChild>
        <w:div w:id="321158569">
          <w:marLeft w:val="360"/>
          <w:marRight w:val="0"/>
          <w:marTop w:val="200"/>
          <w:marBottom w:val="0"/>
          <w:divBdr>
            <w:top w:val="none" w:sz="0" w:space="0" w:color="auto"/>
            <w:left w:val="none" w:sz="0" w:space="0" w:color="auto"/>
            <w:bottom w:val="none" w:sz="0" w:space="0" w:color="auto"/>
            <w:right w:val="none" w:sz="0" w:space="0" w:color="auto"/>
          </w:divBdr>
        </w:div>
        <w:div w:id="1188833074">
          <w:marLeft w:val="360"/>
          <w:marRight w:val="0"/>
          <w:marTop w:val="200"/>
          <w:marBottom w:val="0"/>
          <w:divBdr>
            <w:top w:val="none" w:sz="0" w:space="0" w:color="auto"/>
            <w:left w:val="none" w:sz="0" w:space="0" w:color="auto"/>
            <w:bottom w:val="none" w:sz="0" w:space="0" w:color="auto"/>
            <w:right w:val="none" w:sz="0" w:space="0" w:color="auto"/>
          </w:divBdr>
        </w:div>
      </w:divsChild>
    </w:div>
    <w:div w:id="1764180669">
      <w:bodyDiv w:val="1"/>
      <w:marLeft w:val="0"/>
      <w:marRight w:val="0"/>
      <w:marTop w:val="0"/>
      <w:marBottom w:val="0"/>
      <w:divBdr>
        <w:top w:val="none" w:sz="0" w:space="0" w:color="auto"/>
        <w:left w:val="none" w:sz="0" w:space="0" w:color="auto"/>
        <w:bottom w:val="none" w:sz="0" w:space="0" w:color="auto"/>
        <w:right w:val="none" w:sz="0" w:space="0" w:color="auto"/>
      </w:divBdr>
    </w:div>
    <w:div w:id="1768498997">
      <w:bodyDiv w:val="1"/>
      <w:marLeft w:val="0"/>
      <w:marRight w:val="0"/>
      <w:marTop w:val="0"/>
      <w:marBottom w:val="0"/>
      <w:divBdr>
        <w:top w:val="none" w:sz="0" w:space="0" w:color="auto"/>
        <w:left w:val="none" w:sz="0" w:space="0" w:color="auto"/>
        <w:bottom w:val="none" w:sz="0" w:space="0" w:color="auto"/>
        <w:right w:val="none" w:sz="0" w:space="0" w:color="auto"/>
      </w:divBdr>
      <w:divsChild>
        <w:div w:id="836070010">
          <w:marLeft w:val="446"/>
          <w:marRight w:val="0"/>
          <w:marTop w:val="0"/>
          <w:marBottom w:val="0"/>
          <w:divBdr>
            <w:top w:val="none" w:sz="0" w:space="0" w:color="auto"/>
            <w:left w:val="none" w:sz="0" w:space="0" w:color="auto"/>
            <w:bottom w:val="none" w:sz="0" w:space="0" w:color="auto"/>
            <w:right w:val="none" w:sz="0" w:space="0" w:color="auto"/>
          </w:divBdr>
        </w:div>
        <w:div w:id="1336609262">
          <w:marLeft w:val="446"/>
          <w:marRight w:val="0"/>
          <w:marTop w:val="0"/>
          <w:marBottom w:val="0"/>
          <w:divBdr>
            <w:top w:val="none" w:sz="0" w:space="0" w:color="auto"/>
            <w:left w:val="none" w:sz="0" w:space="0" w:color="auto"/>
            <w:bottom w:val="none" w:sz="0" w:space="0" w:color="auto"/>
            <w:right w:val="none" w:sz="0" w:space="0" w:color="auto"/>
          </w:divBdr>
        </w:div>
      </w:divsChild>
    </w:div>
    <w:div w:id="1793742698">
      <w:bodyDiv w:val="1"/>
      <w:marLeft w:val="0"/>
      <w:marRight w:val="0"/>
      <w:marTop w:val="0"/>
      <w:marBottom w:val="0"/>
      <w:divBdr>
        <w:top w:val="none" w:sz="0" w:space="0" w:color="auto"/>
        <w:left w:val="none" w:sz="0" w:space="0" w:color="auto"/>
        <w:bottom w:val="none" w:sz="0" w:space="0" w:color="auto"/>
        <w:right w:val="none" w:sz="0" w:space="0" w:color="auto"/>
      </w:divBdr>
      <w:divsChild>
        <w:div w:id="825360410">
          <w:marLeft w:val="360"/>
          <w:marRight w:val="0"/>
          <w:marTop w:val="200"/>
          <w:marBottom w:val="0"/>
          <w:divBdr>
            <w:top w:val="none" w:sz="0" w:space="0" w:color="auto"/>
            <w:left w:val="none" w:sz="0" w:space="0" w:color="auto"/>
            <w:bottom w:val="none" w:sz="0" w:space="0" w:color="auto"/>
            <w:right w:val="none" w:sz="0" w:space="0" w:color="auto"/>
          </w:divBdr>
        </w:div>
        <w:div w:id="1828936469">
          <w:marLeft w:val="360"/>
          <w:marRight w:val="0"/>
          <w:marTop w:val="200"/>
          <w:marBottom w:val="0"/>
          <w:divBdr>
            <w:top w:val="none" w:sz="0" w:space="0" w:color="auto"/>
            <w:left w:val="none" w:sz="0" w:space="0" w:color="auto"/>
            <w:bottom w:val="none" w:sz="0" w:space="0" w:color="auto"/>
            <w:right w:val="none" w:sz="0" w:space="0" w:color="auto"/>
          </w:divBdr>
        </w:div>
      </w:divsChild>
    </w:div>
    <w:div w:id="1843080138">
      <w:bodyDiv w:val="1"/>
      <w:marLeft w:val="0"/>
      <w:marRight w:val="0"/>
      <w:marTop w:val="0"/>
      <w:marBottom w:val="0"/>
      <w:divBdr>
        <w:top w:val="none" w:sz="0" w:space="0" w:color="auto"/>
        <w:left w:val="none" w:sz="0" w:space="0" w:color="auto"/>
        <w:bottom w:val="none" w:sz="0" w:space="0" w:color="auto"/>
        <w:right w:val="none" w:sz="0" w:space="0" w:color="auto"/>
      </w:divBdr>
    </w:div>
    <w:div w:id="1845826812">
      <w:bodyDiv w:val="1"/>
      <w:marLeft w:val="0"/>
      <w:marRight w:val="0"/>
      <w:marTop w:val="0"/>
      <w:marBottom w:val="0"/>
      <w:divBdr>
        <w:top w:val="none" w:sz="0" w:space="0" w:color="auto"/>
        <w:left w:val="none" w:sz="0" w:space="0" w:color="auto"/>
        <w:bottom w:val="none" w:sz="0" w:space="0" w:color="auto"/>
        <w:right w:val="none" w:sz="0" w:space="0" w:color="auto"/>
      </w:divBdr>
      <w:divsChild>
        <w:div w:id="239798448">
          <w:marLeft w:val="1080"/>
          <w:marRight w:val="0"/>
          <w:marTop w:val="100"/>
          <w:marBottom w:val="0"/>
          <w:divBdr>
            <w:top w:val="none" w:sz="0" w:space="0" w:color="auto"/>
            <w:left w:val="none" w:sz="0" w:space="0" w:color="auto"/>
            <w:bottom w:val="none" w:sz="0" w:space="0" w:color="auto"/>
            <w:right w:val="none" w:sz="0" w:space="0" w:color="auto"/>
          </w:divBdr>
        </w:div>
        <w:div w:id="438111688">
          <w:marLeft w:val="360"/>
          <w:marRight w:val="0"/>
          <w:marTop w:val="200"/>
          <w:marBottom w:val="0"/>
          <w:divBdr>
            <w:top w:val="none" w:sz="0" w:space="0" w:color="auto"/>
            <w:left w:val="none" w:sz="0" w:space="0" w:color="auto"/>
            <w:bottom w:val="none" w:sz="0" w:space="0" w:color="auto"/>
            <w:right w:val="none" w:sz="0" w:space="0" w:color="auto"/>
          </w:divBdr>
        </w:div>
        <w:div w:id="487669344">
          <w:marLeft w:val="1080"/>
          <w:marRight w:val="0"/>
          <w:marTop w:val="100"/>
          <w:marBottom w:val="0"/>
          <w:divBdr>
            <w:top w:val="none" w:sz="0" w:space="0" w:color="auto"/>
            <w:left w:val="none" w:sz="0" w:space="0" w:color="auto"/>
            <w:bottom w:val="none" w:sz="0" w:space="0" w:color="auto"/>
            <w:right w:val="none" w:sz="0" w:space="0" w:color="auto"/>
          </w:divBdr>
        </w:div>
        <w:div w:id="709568275">
          <w:marLeft w:val="1080"/>
          <w:marRight w:val="0"/>
          <w:marTop w:val="100"/>
          <w:marBottom w:val="0"/>
          <w:divBdr>
            <w:top w:val="none" w:sz="0" w:space="0" w:color="auto"/>
            <w:left w:val="none" w:sz="0" w:space="0" w:color="auto"/>
            <w:bottom w:val="none" w:sz="0" w:space="0" w:color="auto"/>
            <w:right w:val="none" w:sz="0" w:space="0" w:color="auto"/>
          </w:divBdr>
        </w:div>
        <w:div w:id="1029725973">
          <w:marLeft w:val="360"/>
          <w:marRight w:val="0"/>
          <w:marTop w:val="200"/>
          <w:marBottom w:val="0"/>
          <w:divBdr>
            <w:top w:val="none" w:sz="0" w:space="0" w:color="auto"/>
            <w:left w:val="none" w:sz="0" w:space="0" w:color="auto"/>
            <w:bottom w:val="none" w:sz="0" w:space="0" w:color="auto"/>
            <w:right w:val="none" w:sz="0" w:space="0" w:color="auto"/>
          </w:divBdr>
        </w:div>
        <w:div w:id="1048065658">
          <w:marLeft w:val="1080"/>
          <w:marRight w:val="0"/>
          <w:marTop w:val="100"/>
          <w:marBottom w:val="0"/>
          <w:divBdr>
            <w:top w:val="none" w:sz="0" w:space="0" w:color="auto"/>
            <w:left w:val="none" w:sz="0" w:space="0" w:color="auto"/>
            <w:bottom w:val="none" w:sz="0" w:space="0" w:color="auto"/>
            <w:right w:val="none" w:sz="0" w:space="0" w:color="auto"/>
          </w:divBdr>
        </w:div>
        <w:div w:id="1171918174">
          <w:marLeft w:val="360"/>
          <w:marRight w:val="0"/>
          <w:marTop w:val="200"/>
          <w:marBottom w:val="0"/>
          <w:divBdr>
            <w:top w:val="none" w:sz="0" w:space="0" w:color="auto"/>
            <w:left w:val="none" w:sz="0" w:space="0" w:color="auto"/>
            <w:bottom w:val="none" w:sz="0" w:space="0" w:color="auto"/>
            <w:right w:val="none" w:sz="0" w:space="0" w:color="auto"/>
          </w:divBdr>
        </w:div>
      </w:divsChild>
    </w:div>
    <w:div w:id="1854876521">
      <w:bodyDiv w:val="1"/>
      <w:marLeft w:val="0"/>
      <w:marRight w:val="0"/>
      <w:marTop w:val="0"/>
      <w:marBottom w:val="0"/>
      <w:divBdr>
        <w:top w:val="none" w:sz="0" w:space="0" w:color="auto"/>
        <w:left w:val="none" w:sz="0" w:space="0" w:color="auto"/>
        <w:bottom w:val="none" w:sz="0" w:space="0" w:color="auto"/>
        <w:right w:val="none" w:sz="0" w:space="0" w:color="auto"/>
      </w:divBdr>
    </w:div>
    <w:div w:id="1864056668">
      <w:bodyDiv w:val="1"/>
      <w:marLeft w:val="0"/>
      <w:marRight w:val="0"/>
      <w:marTop w:val="0"/>
      <w:marBottom w:val="0"/>
      <w:divBdr>
        <w:top w:val="none" w:sz="0" w:space="0" w:color="auto"/>
        <w:left w:val="none" w:sz="0" w:space="0" w:color="auto"/>
        <w:bottom w:val="none" w:sz="0" w:space="0" w:color="auto"/>
        <w:right w:val="none" w:sz="0" w:space="0" w:color="auto"/>
      </w:divBdr>
      <w:divsChild>
        <w:div w:id="834612791">
          <w:marLeft w:val="360"/>
          <w:marRight w:val="0"/>
          <w:marTop w:val="200"/>
          <w:marBottom w:val="0"/>
          <w:divBdr>
            <w:top w:val="none" w:sz="0" w:space="0" w:color="auto"/>
            <w:left w:val="none" w:sz="0" w:space="0" w:color="auto"/>
            <w:bottom w:val="none" w:sz="0" w:space="0" w:color="auto"/>
            <w:right w:val="none" w:sz="0" w:space="0" w:color="auto"/>
          </w:divBdr>
        </w:div>
        <w:div w:id="1466922042">
          <w:marLeft w:val="360"/>
          <w:marRight w:val="0"/>
          <w:marTop w:val="200"/>
          <w:marBottom w:val="0"/>
          <w:divBdr>
            <w:top w:val="none" w:sz="0" w:space="0" w:color="auto"/>
            <w:left w:val="none" w:sz="0" w:space="0" w:color="auto"/>
            <w:bottom w:val="none" w:sz="0" w:space="0" w:color="auto"/>
            <w:right w:val="none" w:sz="0" w:space="0" w:color="auto"/>
          </w:divBdr>
        </w:div>
        <w:div w:id="1676804803">
          <w:marLeft w:val="360"/>
          <w:marRight w:val="0"/>
          <w:marTop w:val="200"/>
          <w:marBottom w:val="0"/>
          <w:divBdr>
            <w:top w:val="none" w:sz="0" w:space="0" w:color="auto"/>
            <w:left w:val="none" w:sz="0" w:space="0" w:color="auto"/>
            <w:bottom w:val="none" w:sz="0" w:space="0" w:color="auto"/>
            <w:right w:val="none" w:sz="0" w:space="0" w:color="auto"/>
          </w:divBdr>
        </w:div>
        <w:div w:id="1834685422">
          <w:marLeft w:val="360"/>
          <w:marRight w:val="0"/>
          <w:marTop w:val="200"/>
          <w:marBottom w:val="0"/>
          <w:divBdr>
            <w:top w:val="none" w:sz="0" w:space="0" w:color="auto"/>
            <w:left w:val="none" w:sz="0" w:space="0" w:color="auto"/>
            <w:bottom w:val="none" w:sz="0" w:space="0" w:color="auto"/>
            <w:right w:val="none" w:sz="0" w:space="0" w:color="auto"/>
          </w:divBdr>
        </w:div>
      </w:divsChild>
    </w:div>
    <w:div w:id="1872916192">
      <w:bodyDiv w:val="1"/>
      <w:marLeft w:val="0"/>
      <w:marRight w:val="0"/>
      <w:marTop w:val="0"/>
      <w:marBottom w:val="0"/>
      <w:divBdr>
        <w:top w:val="none" w:sz="0" w:space="0" w:color="auto"/>
        <w:left w:val="none" w:sz="0" w:space="0" w:color="auto"/>
        <w:bottom w:val="none" w:sz="0" w:space="0" w:color="auto"/>
        <w:right w:val="none" w:sz="0" w:space="0" w:color="auto"/>
      </w:divBdr>
    </w:div>
    <w:div w:id="1885095847">
      <w:bodyDiv w:val="1"/>
      <w:marLeft w:val="0"/>
      <w:marRight w:val="0"/>
      <w:marTop w:val="0"/>
      <w:marBottom w:val="0"/>
      <w:divBdr>
        <w:top w:val="none" w:sz="0" w:space="0" w:color="auto"/>
        <w:left w:val="none" w:sz="0" w:space="0" w:color="auto"/>
        <w:bottom w:val="none" w:sz="0" w:space="0" w:color="auto"/>
        <w:right w:val="none" w:sz="0" w:space="0" w:color="auto"/>
      </w:divBdr>
    </w:div>
    <w:div w:id="1944877214">
      <w:bodyDiv w:val="1"/>
      <w:marLeft w:val="0"/>
      <w:marRight w:val="0"/>
      <w:marTop w:val="0"/>
      <w:marBottom w:val="0"/>
      <w:divBdr>
        <w:top w:val="none" w:sz="0" w:space="0" w:color="auto"/>
        <w:left w:val="none" w:sz="0" w:space="0" w:color="auto"/>
        <w:bottom w:val="none" w:sz="0" w:space="0" w:color="auto"/>
        <w:right w:val="none" w:sz="0" w:space="0" w:color="auto"/>
      </w:divBdr>
    </w:div>
    <w:div w:id="1963804292">
      <w:bodyDiv w:val="1"/>
      <w:marLeft w:val="0"/>
      <w:marRight w:val="0"/>
      <w:marTop w:val="0"/>
      <w:marBottom w:val="0"/>
      <w:divBdr>
        <w:top w:val="none" w:sz="0" w:space="0" w:color="auto"/>
        <w:left w:val="none" w:sz="0" w:space="0" w:color="auto"/>
        <w:bottom w:val="none" w:sz="0" w:space="0" w:color="auto"/>
        <w:right w:val="none" w:sz="0" w:space="0" w:color="auto"/>
      </w:divBdr>
    </w:div>
    <w:div w:id="1966504920">
      <w:bodyDiv w:val="1"/>
      <w:marLeft w:val="0"/>
      <w:marRight w:val="0"/>
      <w:marTop w:val="0"/>
      <w:marBottom w:val="0"/>
      <w:divBdr>
        <w:top w:val="none" w:sz="0" w:space="0" w:color="auto"/>
        <w:left w:val="none" w:sz="0" w:space="0" w:color="auto"/>
        <w:bottom w:val="none" w:sz="0" w:space="0" w:color="auto"/>
        <w:right w:val="none" w:sz="0" w:space="0" w:color="auto"/>
      </w:divBdr>
    </w:div>
    <w:div w:id="2034769119">
      <w:bodyDiv w:val="1"/>
      <w:marLeft w:val="0"/>
      <w:marRight w:val="0"/>
      <w:marTop w:val="0"/>
      <w:marBottom w:val="0"/>
      <w:divBdr>
        <w:top w:val="none" w:sz="0" w:space="0" w:color="auto"/>
        <w:left w:val="none" w:sz="0" w:space="0" w:color="auto"/>
        <w:bottom w:val="none" w:sz="0" w:space="0" w:color="auto"/>
        <w:right w:val="none" w:sz="0" w:space="0" w:color="auto"/>
      </w:divBdr>
      <w:divsChild>
        <w:div w:id="75565207">
          <w:marLeft w:val="187"/>
          <w:marRight w:val="0"/>
          <w:marTop w:val="0"/>
          <w:marBottom w:val="0"/>
          <w:divBdr>
            <w:top w:val="none" w:sz="0" w:space="0" w:color="auto"/>
            <w:left w:val="none" w:sz="0" w:space="0" w:color="auto"/>
            <w:bottom w:val="none" w:sz="0" w:space="0" w:color="auto"/>
            <w:right w:val="none" w:sz="0" w:space="0" w:color="auto"/>
          </w:divBdr>
        </w:div>
        <w:div w:id="445848906">
          <w:marLeft w:val="187"/>
          <w:marRight w:val="0"/>
          <w:marTop w:val="0"/>
          <w:marBottom w:val="0"/>
          <w:divBdr>
            <w:top w:val="none" w:sz="0" w:space="0" w:color="auto"/>
            <w:left w:val="none" w:sz="0" w:space="0" w:color="auto"/>
            <w:bottom w:val="none" w:sz="0" w:space="0" w:color="auto"/>
            <w:right w:val="none" w:sz="0" w:space="0" w:color="auto"/>
          </w:divBdr>
        </w:div>
        <w:div w:id="1706054759">
          <w:marLeft w:val="187"/>
          <w:marRight w:val="0"/>
          <w:marTop w:val="0"/>
          <w:marBottom w:val="0"/>
          <w:divBdr>
            <w:top w:val="none" w:sz="0" w:space="0" w:color="auto"/>
            <w:left w:val="none" w:sz="0" w:space="0" w:color="auto"/>
            <w:bottom w:val="none" w:sz="0" w:space="0" w:color="auto"/>
            <w:right w:val="none" w:sz="0" w:space="0" w:color="auto"/>
          </w:divBdr>
        </w:div>
        <w:div w:id="2094006709">
          <w:marLeft w:val="187"/>
          <w:marRight w:val="0"/>
          <w:marTop w:val="0"/>
          <w:marBottom w:val="0"/>
          <w:divBdr>
            <w:top w:val="none" w:sz="0" w:space="0" w:color="auto"/>
            <w:left w:val="none" w:sz="0" w:space="0" w:color="auto"/>
            <w:bottom w:val="none" w:sz="0" w:space="0" w:color="auto"/>
            <w:right w:val="none" w:sz="0" w:space="0" w:color="auto"/>
          </w:divBdr>
        </w:div>
        <w:div w:id="1311592994">
          <w:marLeft w:val="187"/>
          <w:marRight w:val="0"/>
          <w:marTop w:val="0"/>
          <w:marBottom w:val="0"/>
          <w:divBdr>
            <w:top w:val="none" w:sz="0" w:space="0" w:color="auto"/>
            <w:left w:val="none" w:sz="0" w:space="0" w:color="auto"/>
            <w:bottom w:val="none" w:sz="0" w:space="0" w:color="auto"/>
            <w:right w:val="none" w:sz="0" w:space="0" w:color="auto"/>
          </w:divBdr>
        </w:div>
        <w:div w:id="1065681042">
          <w:marLeft w:val="187"/>
          <w:marRight w:val="0"/>
          <w:marTop w:val="0"/>
          <w:marBottom w:val="0"/>
          <w:divBdr>
            <w:top w:val="none" w:sz="0" w:space="0" w:color="auto"/>
            <w:left w:val="none" w:sz="0" w:space="0" w:color="auto"/>
            <w:bottom w:val="none" w:sz="0" w:space="0" w:color="auto"/>
            <w:right w:val="none" w:sz="0" w:space="0" w:color="auto"/>
          </w:divBdr>
        </w:div>
        <w:div w:id="906110251">
          <w:marLeft w:val="187"/>
          <w:marRight w:val="0"/>
          <w:marTop w:val="0"/>
          <w:marBottom w:val="0"/>
          <w:divBdr>
            <w:top w:val="none" w:sz="0" w:space="0" w:color="auto"/>
            <w:left w:val="none" w:sz="0" w:space="0" w:color="auto"/>
            <w:bottom w:val="none" w:sz="0" w:space="0" w:color="auto"/>
            <w:right w:val="none" w:sz="0" w:space="0" w:color="auto"/>
          </w:divBdr>
        </w:div>
        <w:div w:id="1706176000">
          <w:marLeft w:val="187"/>
          <w:marRight w:val="0"/>
          <w:marTop w:val="0"/>
          <w:marBottom w:val="0"/>
          <w:divBdr>
            <w:top w:val="none" w:sz="0" w:space="0" w:color="auto"/>
            <w:left w:val="none" w:sz="0" w:space="0" w:color="auto"/>
            <w:bottom w:val="none" w:sz="0" w:space="0" w:color="auto"/>
            <w:right w:val="none" w:sz="0" w:space="0" w:color="auto"/>
          </w:divBdr>
        </w:div>
        <w:div w:id="1819684283">
          <w:marLeft w:val="187"/>
          <w:marRight w:val="0"/>
          <w:marTop w:val="0"/>
          <w:marBottom w:val="0"/>
          <w:divBdr>
            <w:top w:val="none" w:sz="0" w:space="0" w:color="auto"/>
            <w:left w:val="none" w:sz="0" w:space="0" w:color="auto"/>
            <w:bottom w:val="none" w:sz="0" w:space="0" w:color="auto"/>
            <w:right w:val="none" w:sz="0" w:space="0" w:color="auto"/>
          </w:divBdr>
        </w:div>
        <w:div w:id="1442261986">
          <w:marLeft w:val="187"/>
          <w:marRight w:val="0"/>
          <w:marTop w:val="0"/>
          <w:marBottom w:val="0"/>
          <w:divBdr>
            <w:top w:val="none" w:sz="0" w:space="0" w:color="auto"/>
            <w:left w:val="none" w:sz="0" w:space="0" w:color="auto"/>
            <w:bottom w:val="none" w:sz="0" w:space="0" w:color="auto"/>
            <w:right w:val="none" w:sz="0" w:space="0" w:color="auto"/>
          </w:divBdr>
        </w:div>
        <w:div w:id="685443485">
          <w:marLeft w:val="187"/>
          <w:marRight w:val="0"/>
          <w:marTop w:val="0"/>
          <w:marBottom w:val="0"/>
          <w:divBdr>
            <w:top w:val="none" w:sz="0" w:space="0" w:color="auto"/>
            <w:left w:val="none" w:sz="0" w:space="0" w:color="auto"/>
            <w:bottom w:val="none" w:sz="0" w:space="0" w:color="auto"/>
            <w:right w:val="none" w:sz="0" w:space="0" w:color="auto"/>
          </w:divBdr>
        </w:div>
        <w:div w:id="217320976">
          <w:marLeft w:val="187"/>
          <w:marRight w:val="0"/>
          <w:marTop w:val="0"/>
          <w:marBottom w:val="0"/>
          <w:divBdr>
            <w:top w:val="none" w:sz="0" w:space="0" w:color="auto"/>
            <w:left w:val="none" w:sz="0" w:space="0" w:color="auto"/>
            <w:bottom w:val="none" w:sz="0" w:space="0" w:color="auto"/>
            <w:right w:val="none" w:sz="0" w:space="0" w:color="auto"/>
          </w:divBdr>
        </w:div>
        <w:div w:id="1144204423">
          <w:marLeft w:val="187"/>
          <w:marRight w:val="0"/>
          <w:marTop w:val="0"/>
          <w:marBottom w:val="0"/>
          <w:divBdr>
            <w:top w:val="none" w:sz="0" w:space="0" w:color="auto"/>
            <w:left w:val="none" w:sz="0" w:space="0" w:color="auto"/>
            <w:bottom w:val="none" w:sz="0" w:space="0" w:color="auto"/>
            <w:right w:val="none" w:sz="0" w:space="0" w:color="auto"/>
          </w:divBdr>
        </w:div>
        <w:div w:id="775514965">
          <w:marLeft w:val="187"/>
          <w:marRight w:val="0"/>
          <w:marTop w:val="0"/>
          <w:marBottom w:val="0"/>
          <w:divBdr>
            <w:top w:val="none" w:sz="0" w:space="0" w:color="auto"/>
            <w:left w:val="none" w:sz="0" w:space="0" w:color="auto"/>
            <w:bottom w:val="none" w:sz="0" w:space="0" w:color="auto"/>
            <w:right w:val="none" w:sz="0" w:space="0" w:color="auto"/>
          </w:divBdr>
        </w:div>
        <w:div w:id="1495105398">
          <w:marLeft w:val="187"/>
          <w:marRight w:val="0"/>
          <w:marTop w:val="0"/>
          <w:marBottom w:val="0"/>
          <w:divBdr>
            <w:top w:val="none" w:sz="0" w:space="0" w:color="auto"/>
            <w:left w:val="none" w:sz="0" w:space="0" w:color="auto"/>
            <w:bottom w:val="none" w:sz="0" w:space="0" w:color="auto"/>
            <w:right w:val="none" w:sz="0" w:space="0" w:color="auto"/>
          </w:divBdr>
        </w:div>
        <w:div w:id="993876012">
          <w:marLeft w:val="187"/>
          <w:marRight w:val="0"/>
          <w:marTop w:val="0"/>
          <w:marBottom w:val="0"/>
          <w:divBdr>
            <w:top w:val="none" w:sz="0" w:space="0" w:color="auto"/>
            <w:left w:val="none" w:sz="0" w:space="0" w:color="auto"/>
            <w:bottom w:val="none" w:sz="0" w:space="0" w:color="auto"/>
            <w:right w:val="none" w:sz="0" w:space="0" w:color="auto"/>
          </w:divBdr>
        </w:div>
        <w:div w:id="250814524">
          <w:marLeft w:val="187"/>
          <w:marRight w:val="0"/>
          <w:marTop w:val="0"/>
          <w:marBottom w:val="0"/>
          <w:divBdr>
            <w:top w:val="none" w:sz="0" w:space="0" w:color="auto"/>
            <w:left w:val="none" w:sz="0" w:space="0" w:color="auto"/>
            <w:bottom w:val="none" w:sz="0" w:space="0" w:color="auto"/>
            <w:right w:val="none" w:sz="0" w:space="0" w:color="auto"/>
          </w:divBdr>
        </w:div>
        <w:div w:id="1568690566">
          <w:marLeft w:val="187"/>
          <w:marRight w:val="0"/>
          <w:marTop w:val="0"/>
          <w:marBottom w:val="0"/>
          <w:divBdr>
            <w:top w:val="none" w:sz="0" w:space="0" w:color="auto"/>
            <w:left w:val="none" w:sz="0" w:space="0" w:color="auto"/>
            <w:bottom w:val="none" w:sz="0" w:space="0" w:color="auto"/>
            <w:right w:val="none" w:sz="0" w:space="0" w:color="auto"/>
          </w:divBdr>
        </w:div>
        <w:div w:id="132211790">
          <w:marLeft w:val="187"/>
          <w:marRight w:val="0"/>
          <w:marTop w:val="0"/>
          <w:marBottom w:val="0"/>
          <w:divBdr>
            <w:top w:val="none" w:sz="0" w:space="0" w:color="auto"/>
            <w:left w:val="none" w:sz="0" w:space="0" w:color="auto"/>
            <w:bottom w:val="none" w:sz="0" w:space="0" w:color="auto"/>
            <w:right w:val="none" w:sz="0" w:space="0" w:color="auto"/>
          </w:divBdr>
        </w:div>
        <w:div w:id="1181120009">
          <w:marLeft w:val="187"/>
          <w:marRight w:val="0"/>
          <w:marTop w:val="0"/>
          <w:marBottom w:val="0"/>
          <w:divBdr>
            <w:top w:val="none" w:sz="0" w:space="0" w:color="auto"/>
            <w:left w:val="none" w:sz="0" w:space="0" w:color="auto"/>
            <w:bottom w:val="none" w:sz="0" w:space="0" w:color="auto"/>
            <w:right w:val="none" w:sz="0" w:space="0" w:color="auto"/>
          </w:divBdr>
        </w:div>
        <w:div w:id="1045909270">
          <w:marLeft w:val="187"/>
          <w:marRight w:val="0"/>
          <w:marTop w:val="0"/>
          <w:marBottom w:val="0"/>
          <w:divBdr>
            <w:top w:val="none" w:sz="0" w:space="0" w:color="auto"/>
            <w:left w:val="none" w:sz="0" w:space="0" w:color="auto"/>
            <w:bottom w:val="none" w:sz="0" w:space="0" w:color="auto"/>
            <w:right w:val="none" w:sz="0" w:space="0" w:color="auto"/>
          </w:divBdr>
        </w:div>
        <w:div w:id="1960984792">
          <w:marLeft w:val="187"/>
          <w:marRight w:val="0"/>
          <w:marTop w:val="0"/>
          <w:marBottom w:val="0"/>
          <w:divBdr>
            <w:top w:val="none" w:sz="0" w:space="0" w:color="auto"/>
            <w:left w:val="none" w:sz="0" w:space="0" w:color="auto"/>
            <w:bottom w:val="none" w:sz="0" w:space="0" w:color="auto"/>
            <w:right w:val="none" w:sz="0" w:space="0" w:color="auto"/>
          </w:divBdr>
        </w:div>
        <w:div w:id="1672416146">
          <w:marLeft w:val="446"/>
          <w:marRight w:val="0"/>
          <w:marTop w:val="0"/>
          <w:marBottom w:val="0"/>
          <w:divBdr>
            <w:top w:val="none" w:sz="0" w:space="0" w:color="auto"/>
            <w:left w:val="none" w:sz="0" w:space="0" w:color="auto"/>
            <w:bottom w:val="none" w:sz="0" w:space="0" w:color="auto"/>
            <w:right w:val="none" w:sz="0" w:space="0" w:color="auto"/>
          </w:divBdr>
        </w:div>
        <w:div w:id="1407801563">
          <w:marLeft w:val="446"/>
          <w:marRight w:val="0"/>
          <w:marTop w:val="0"/>
          <w:marBottom w:val="0"/>
          <w:divBdr>
            <w:top w:val="none" w:sz="0" w:space="0" w:color="auto"/>
            <w:left w:val="none" w:sz="0" w:space="0" w:color="auto"/>
            <w:bottom w:val="none" w:sz="0" w:space="0" w:color="auto"/>
            <w:right w:val="none" w:sz="0" w:space="0" w:color="auto"/>
          </w:divBdr>
        </w:div>
        <w:div w:id="464156044">
          <w:marLeft w:val="446"/>
          <w:marRight w:val="0"/>
          <w:marTop w:val="0"/>
          <w:marBottom w:val="0"/>
          <w:divBdr>
            <w:top w:val="none" w:sz="0" w:space="0" w:color="auto"/>
            <w:left w:val="none" w:sz="0" w:space="0" w:color="auto"/>
            <w:bottom w:val="none" w:sz="0" w:space="0" w:color="auto"/>
            <w:right w:val="none" w:sz="0" w:space="0" w:color="auto"/>
          </w:divBdr>
        </w:div>
        <w:div w:id="900555430">
          <w:marLeft w:val="446"/>
          <w:marRight w:val="0"/>
          <w:marTop w:val="0"/>
          <w:marBottom w:val="0"/>
          <w:divBdr>
            <w:top w:val="none" w:sz="0" w:space="0" w:color="auto"/>
            <w:left w:val="none" w:sz="0" w:space="0" w:color="auto"/>
            <w:bottom w:val="none" w:sz="0" w:space="0" w:color="auto"/>
            <w:right w:val="none" w:sz="0" w:space="0" w:color="auto"/>
          </w:divBdr>
        </w:div>
        <w:div w:id="179971533">
          <w:marLeft w:val="446"/>
          <w:marRight w:val="0"/>
          <w:marTop w:val="0"/>
          <w:marBottom w:val="0"/>
          <w:divBdr>
            <w:top w:val="none" w:sz="0" w:space="0" w:color="auto"/>
            <w:left w:val="none" w:sz="0" w:space="0" w:color="auto"/>
            <w:bottom w:val="none" w:sz="0" w:space="0" w:color="auto"/>
            <w:right w:val="none" w:sz="0" w:space="0" w:color="auto"/>
          </w:divBdr>
        </w:div>
        <w:div w:id="2086560782">
          <w:marLeft w:val="446"/>
          <w:marRight w:val="0"/>
          <w:marTop w:val="0"/>
          <w:marBottom w:val="0"/>
          <w:divBdr>
            <w:top w:val="none" w:sz="0" w:space="0" w:color="auto"/>
            <w:left w:val="none" w:sz="0" w:space="0" w:color="auto"/>
            <w:bottom w:val="none" w:sz="0" w:space="0" w:color="auto"/>
            <w:right w:val="none" w:sz="0" w:space="0" w:color="auto"/>
          </w:divBdr>
        </w:div>
        <w:div w:id="1482386861">
          <w:marLeft w:val="446"/>
          <w:marRight w:val="0"/>
          <w:marTop w:val="0"/>
          <w:marBottom w:val="0"/>
          <w:divBdr>
            <w:top w:val="none" w:sz="0" w:space="0" w:color="auto"/>
            <w:left w:val="none" w:sz="0" w:space="0" w:color="auto"/>
            <w:bottom w:val="none" w:sz="0" w:space="0" w:color="auto"/>
            <w:right w:val="none" w:sz="0" w:space="0" w:color="auto"/>
          </w:divBdr>
        </w:div>
        <w:div w:id="343290264">
          <w:marLeft w:val="446"/>
          <w:marRight w:val="0"/>
          <w:marTop w:val="0"/>
          <w:marBottom w:val="0"/>
          <w:divBdr>
            <w:top w:val="none" w:sz="0" w:space="0" w:color="auto"/>
            <w:left w:val="none" w:sz="0" w:space="0" w:color="auto"/>
            <w:bottom w:val="none" w:sz="0" w:space="0" w:color="auto"/>
            <w:right w:val="none" w:sz="0" w:space="0" w:color="auto"/>
          </w:divBdr>
        </w:div>
        <w:div w:id="834495152">
          <w:marLeft w:val="446"/>
          <w:marRight w:val="0"/>
          <w:marTop w:val="0"/>
          <w:marBottom w:val="0"/>
          <w:divBdr>
            <w:top w:val="none" w:sz="0" w:space="0" w:color="auto"/>
            <w:left w:val="none" w:sz="0" w:space="0" w:color="auto"/>
            <w:bottom w:val="none" w:sz="0" w:space="0" w:color="auto"/>
            <w:right w:val="none" w:sz="0" w:space="0" w:color="auto"/>
          </w:divBdr>
        </w:div>
        <w:div w:id="369885276">
          <w:marLeft w:val="446"/>
          <w:marRight w:val="0"/>
          <w:marTop w:val="0"/>
          <w:marBottom w:val="0"/>
          <w:divBdr>
            <w:top w:val="none" w:sz="0" w:space="0" w:color="auto"/>
            <w:left w:val="none" w:sz="0" w:space="0" w:color="auto"/>
            <w:bottom w:val="none" w:sz="0" w:space="0" w:color="auto"/>
            <w:right w:val="none" w:sz="0" w:space="0" w:color="auto"/>
          </w:divBdr>
        </w:div>
        <w:div w:id="1311791709">
          <w:marLeft w:val="446"/>
          <w:marRight w:val="0"/>
          <w:marTop w:val="0"/>
          <w:marBottom w:val="0"/>
          <w:divBdr>
            <w:top w:val="none" w:sz="0" w:space="0" w:color="auto"/>
            <w:left w:val="none" w:sz="0" w:space="0" w:color="auto"/>
            <w:bottom w:val="none" w:sz="0" w:space="0" w:color="auto"/>
            <w:right w:val="none" w:sz="0" w:space="0" w:color="auto"/>
          </w:divBdr>
        </w:div>
        <w:div w:id="36248613">
          <w:marLeft w:val="446"/>
          <w:marRight w:val="0"/>
          <w:marTop w:val="0"/>
          <w:marBottom w:val="0"/>
          <w:divBdr>
            <w:top w:val="none" w:sz="0" w:space="0" w:color="auto"/>
            <w:left w:val="none" w:sz="0" w:space="0" w:color="auto"/>
            <w:bottom w:val="none" w:sz="0" w:space="0" w:color="auto"/>
            <w:right w:val="none" w:sz="0" w:space="0" w:color="auto"/>
          </w:divBdr>
        </w:div>
        <w:div w:id="949630234">
          <w:marLeft w:val="446"/>
          <w:marRight w:val="0"/>
          <w:marTop w:val="0"/>
          <w:marBottom w:val="0"/>
          <w:divBdr>
            <w:top w:val="none" w:sz="0" w:space="0" w:color="auto"/>
            <w:left w:val="none" w:sz="0" w:space="0" w:color="auto"/>
            <w:bottom w:val="none" w:sz="0" w:space="0" w:color="auto"/>
            <w:right w:val="none" w:sz="0" w:space="0" w:color="auto"/>
          </w:divBdr>
        </w:div>
        <w:div w:id="1051536229">
          <w:marLeft w:val="446"/>
          <w:marRight w:val="0"/>
          <w:marTop w:val="0"/>
          <w:marBottom w:val="0"/>
          <w:divBdr>
            <w:top w:val="none" w:sz="0" w:space="0" w:color="auto"/>
            <w:left w:val="none" w:sz="0" w:space="0" w:color="auto"/>
            <w:bottom w:val="none" w:sz="0" w:space="0" w:color="auto"/>
            <w:right w:val="none" w:sz="0" w:space="0" w:color="auto"/>
          </w:divBdr>
        </w:div>
        <w:div w:id="834763508">
          <w:marLeft w:val="446"/>
          <w:marRight w:val="0"/>
          <w:marTop w:val="0"/>
          <w:marBottom w:val="0"/>
          <w:divBdr>
            <w:top w:val="none" w:sz="0" w:space="0" w:color="auto"/>
            <w:left w:val="none" w:sz="0" w:space="0" w:color="auto"/>
            <w:bottom w:val="none" w:sz="0" w:space="0" w:color="auto"/>
            <w:right w:val="none" w:sz="0" w:space="0" w:color="auto"/>
          </w:divBdr>
        </w:div>
        <w:div w:id="142281153">
          <w:marLeft w:val="446"/>
          <w:marRight w:val="0"/>
          <w:marTop w:val="0"/>
          <w:marBottom w:val="0"/>
          <w:divBdr>
            <w:top w:val="none" w:sz="0" w:space="0" w:color="auto"/>
            <w:left w:val="none" w:sz="0" w:space="0" w:color="auto"/>
            <w:bottom w:val="none" w:sz="0" w:space="0" w:color="auto"/>
            <w:right w:val="none" w:sz="0" w:space="0" w:color="auto"/>
          </w:divBdr>
        </w:div>
        <w:div w:id="1620333521">
          <w:marLeft w:val="446"/>
          <w:marRight w:val="0"/>
          <w:marTop w:val="0"/>
          <w:marBottom w:val="0"/>
          <w:divBdr>
            <w:top w:val="none" w:sz="0" w:space="0" w:color="auto"/>
            <w:left w:val="none" w:sz="0" w:space="0" w:color="auto"/>
            <w:bottom w:val="none" w:sz="0" w:space="0" w:color="auto"/>
            <w:right w:val="none" w:sz="0" w:space="0" w:color="auto"/>
          </w:divBdr>
        </w:div>
        <w:div w:id="970794506">
          <w:marLeft w:val="446"/>
          <w:marRight w:val="0"/>
          <w:marTop w:val="0"/>
          <w:marBottom w:val="0"/>
          <w:divBdr>
            <w:top w:val="none" w:sz="0" w:space="0" w:color="auto"/>
            <w:left w:val="none" w:sz="0" w:space="0" w:color="auto"/>
            <w:bottom w:val="none" w:sz="0" w:space="0" w:color="auto"/>
            <w:right w:val="none" w:sz="0" w:space="0" w:color="auto"/>
          </w:divBdr>
        </w:div>
        <w:div w:id="92479927">
          <w:marLeft w:val="446"/>
          <w:marRight w:val="0"/>
          <w:marTop w:val="0"/>
          <w:marBottom w:val="0"/>
          <w:divBdr>
            <w:top w:val="none" w:sz="0" w:space="0" w:color="auto"/>
            <w:left w:val="none" w:sz="0" w:space="0" w:color="auto"/>
            <w:bottom w:val="none" w:sz="0" w:space="0" w:color="auto"/>
            <w:right w:val="none" w:sz="0" w:space="0" w:color="auto"/>
          </w:divBdr>
        </w:div>
        <w:div w:id="991060501">
          <w:marLeft w:val="446"/>
          <w:marRight w:val="0"/>
          <w:marTop w:val="0"/>
          <w:marBottom w:val="0"/>
          <w:divBdr>
            <w:top w:val="none" w:sz="0" w:space="0" w:color="auto"/>
            <w:left w:val="none" w:sz="0" w:space="0" w:color="auto"/>
            <w:bottom w:val="none" w:sz="0" w:space="0" w:color="auto"/>
            <w:right w:val="none" w:sz="0" w:space="0" w:color="auto"/>
          </w:divBdr>
        </w:div>
        <w:div w:id="586620785">
          <w:marLeft w:val="446"/>
          <w:marRight w:val="0"/>
          <w:marTop w:val="0"/>
          <w:marBottom w:val="0"/>
          <w:divBdr>
            <w:top w:val="none" w:sz="0" w:space="0" w:color="auto"/>
            <w:left w:val="none" w:sz="0" w:space="0" w:color="auto"/>
            <w:bottom w:val="none" w:sz="0" w:space="0" w:color="auto"/>
            <w:right w:val="none" w:sz="0" w:space="0" w:color="auto"/>
          </w:divBdr>
        </w:div>
        <w:div w:id="2083136718">
          <w:marLeft w:val="446"/>
          <w:marRight w:val="0"/>
          <w:marTop w:val="0"/>
          <w:marBottom w:val="0"/>
          <w:divBdr>
            <w:top w:val="none" w:sz="0" w:space="0" w:color="auto"/>
            <w:left w:val="none" w:sz="0" w:space="0" w:color="auto"/>
            <w:bottom w:val="none" w:sz="0" w:space="0" w:color="auto"/>
            <w:right w:val="none" w:sz="0" w:space="0" w:color="auto"/>
          </w:divBdr>
        </w:div>
        <w:div w:id="1629166808">
          <w:marLeft w:val="446"/>
          <w:marRight w:val="0"/>
          <w:marTop w:val="0"/>
          <w:marBottom w:val="0"/>
          <w:divBdr>
            <w:top w:val="none" w:sz="0" w:space="0" w:color="auto"/>
            <w:left w:val="none" w:sz="0" w:space="0" w:color="auto"/>
            <w:bottom w:val="none" w:sz="0" w:space="0" w:color="auto"/>
            <w:right w:val="none" w:sz="0" w:space="0" w:color="auto"/>
          </w:divBdr>
        </w:div>
        <w:div w:id="296843121">
          <w:marLeft w:val="446"/>
          <w:marRight w:val="0"/>
          <w:marTop w:val="0"/>
          <w:marBottom w:val="0"/>
          <w:divBdr>
            <w:top w:val="none" w:sz="0" w:space="0" w:color="auto"/>
            <w:left w:val="none" w:sz="0" w:space="0" w:color="auto"/>
            <w:bottom w:val="none" w:sz="0" w:space="0" w:color="auto"/>
            <w:right w:val="none" w:sz="0" w:space="0" w:color="auto"/>
          </w:divBdr>
        </w:div>
      </w:divsChild>
    </w:div>
    <w:div w:id="2042392040">
      <w:bodyDiv w:val="1"/>
      <w:marLeft w:val="0"/>
      <w:marRight w:val="0"/>
      <w:marTop w:val="0"/>
      <w:marBottom w:val="0"/>
      <w:divBdr>
        <w:top w:val="none" w:sz="0" w:space="0" w:color="auto"/>
        <w:left w:val="none" w:sz="0" w:space="0" w:color="auto"/>
        <w:bottom w:val="none" w:sz="0" w:space="0" w:color="auto"/>
        <w:right w:val="none" w:sz="0" w:space="0" w:color="auto"/>
      </w:divBdr>
    </w:div>
    <w:div w:id="2046248203">
      <w:bodyDiv w:val="1"/>
      <w:marLeft w:val="0"/>
      <w:marRight w:val="0"/>
      <w:marTop w:val="0"/>
      <w:marBottom w:val="0"/>
      <w:divBdr>
        <w:top w:val="none" w:sz="0" w:space="0" w:color="auto"/>
        <w:left w:val="none" w:sz="0" w:space="0" w:color="auto"/>
        <w:bottom w:val="none" w:sz="0" w:space="0" w:color="auto"/>
        <w:right w:val="none" w:sz="0" w:space="0" w:color="auto"/>
      </w:divBdr>
    </w:div>
    <w:div w:id="2050104869">
      <w:bodyDiv w:val="1"/>
      <w:marLeft w:val="0"/>
      <w:marRight w:val="0"/>
      <w:marTop w:val="0"/>
      <w:marBottom w:val="0"/>
      <w:divBdr>
        <w:top w:val="none" w:sz="0" w:space="0" w:color="auto"/>
        <w:left w:val="none" w:sz="0" w:space="0" w:color="auto"/>
        <w:bottom w:val="none" w:sz="0" w:space="0" w:color="auto"/>
        <w:right w:val="none" w:sz="0" w:space="0" w:color="auto"/>
      </w:divBdr>
    </w:div>
    <w:div w:id="2050374232">
      <w:bodyDiv w:val="1"/>
      <w:marLeft w:val="0"/>
      <w:marRight w:val="0"/>
      <w:marTop w:val="0"/>
      <w:marBottom w:val="0"/>
      <w:divBdr>
        <w:top w:val="none" w:sz="0" w:space="0" w:color="auto"/>
        <w:left w:val="none" w:sz="0" w:space="0" w:color="auto"/>
        <w:bottom w:val="none" w:sz="0" w:space="0" w:color="auto"/>
        <w:right w:val="none" w:sz="0" w:space="0" w:color="auto"/>
      </w:divBdr>
    </w:div>
    <w:div w:id="2051032533">
      <w:bodyDiv w:val="1"/>
      <w:marLeft w:val="0"/>
      <w:marRight w:val="0"/>
      <w:marTop w:val="0"/>
      <w:marBottom w:val="0"/>
      <w:divBdr>
        <w:top w:val="none" w:sz="0" w:space="0" w:color="auto"/>
        <w:left w:val="none" w:sz="0" w:space="0" w:color="auto"/>
        <w:bottom w:val="none" w:sz="0" w:space="0" w:color="auto"/>
        <w:right w:val="none" w:sz="0" w:space="0" w:color="auto"/>
      </w:divBdr>
    </w:div>
    <w:div w:id="2053848435">
      <w:bodyDiv w:val="1"/>
      <w:marLeft w:val="0"/>
      <w:marRight w:val="0"/>
      <w:marTop w:val="0"/>
      <w:marBottom w:val="0"/>
      <w:divBdr>
        <w:top w:val="none" w:sz="0" w:space="0" w:color="auto"/>
        <w:left w:val="none" w:sz="0" w:space="0" w:color="auto"/>
        <w:bottom w:val="none" w:sz="0" w:space="0" w:color="auto"/>
        <w:right w:val="none" w:sz="0" w:space="0" w:color="auto"/>
      </w:divBdr>
      <w:divsChild>
        <w:div w:id="242103305">
          <w:marLeft w:val="0"/>
          <w:marRight w:val="0"/>
          <w:marTop w:val="0"/>
          <w:marBottom w:val="0"/>
          <w:divBdr>
            <w:top w:val="none" w:sz="0" w:space="0" w:color="auto"/>
            <w:left w:val="none" w:sz="0" w:space="0" w:color="auto"/>
            <w:bottom w:val="none" w:sz="0" w:space="0" w:color="auto"/>
            <w:right w:val="none" w:sz="0" w:space="0" w:color="auto"/>
          </w:divBdr>
        </w:div>
        <w:div w:id="745692133">
          <w:marLeft w:val="0"/>
          <w:marRight w:val="0"/>
          <w:marTop w:val="0"/>
          <w:marBottom w:val="0"/>
          <w:divBdr>
            <w:top w:val="none" w:sz="0" w:space="0" w:color="auto"/>
            <w:left w:val="none" w:sz="0" w:space="0" w:color="auto"/>
            <w:bottom w:val="none" w:sz="0" w:space="0" w:color="auto"/>
            <w:right w:val="none" w:sz="0" w:space="0" w:color="auto"/>
          </w:divBdr>
        </w:div>
        <w:div w:id="1132015592">
          <w:marLeft w:val="0"/>
          <w:marRight w:val="0"/>
          <w:marTop w:val="0"/>
          <w:marBottom w:val="0"/>
          <w:divBdr>
            <w:top w:val="none" w:sz="0" w:space="0" w:color="auto"/>
            <w:left w:val="none" w:sz="0" w:space="0" w:color="auto"/>
            <w:bottom w:val="none" w:sz="0" w:space="0" w:color="auto"/>
            <w:right w:val="none" w:sz="0" w:space="0" w:color="auto"/>
          </w:divBdr>
        </w:div>
        <w:div w:id="1290742552">
          <w:marLeft w:val="0"/>
          <w:marRight w:val="0"/>
          <w:marTop w:val="0"/>
          <w:marBottom w:val="0"/>
          <w:divBdr>
            <w:top w:val="none" w:sz="0" w:space="0" w:color="auto"/>
            <w:left w:val="none" w:sz="0" w:space="0" w:color="auto"/>
            <w:bottom w:val="none" w:sz="0" w:space="0" w:color="auto"/>
            <w:right w:val="none" w:sz="0" w:space="0" w:color="auto"/>
          </w:divBdr>
        </w:div>
        <w:div w:id="14346662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210056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10.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image" Target="media/image14.png"/><Relationship Id="rId16"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9.png"/><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image" Target="media/image12.png"/><Relationship Id="rId74" Type="http://schemas.openxmlformats.org/officeDocument/2006/relationships/hyperlink" Target="https://www.unaids.org/sites/default/files/media_asset/UNA17026_Annoucement_QA_009.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3.xml"/><Relationship Id="rId19" Type="http://schemas.openxmlformats.org/officeDocument/2006/relationships/image" Target="media/image4.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image" Target="media/image10.png"/><Relationship Id="rId69" Type="http://schemas.openxmlformats.org/officeDocument/2006/relationships/chart" Target="charts/chart46.xml"/><Relationship Id="rId77" Type="http://schemas.openxmlformats.org/officeDocument/2006/relationships/hyperlink" Target="https://apps.who.int/iris/bitstream/handle/10665/273632/WHO-CDS-HIV-18.18-eng.pdf?ua=1" TargetMode="External"/><Relationship Id="rId8" Type="http://schemas.openxmlformats.org/officeDocument/2006/relationships/image" Target="media/image1.png"/><Relationship Id="rId51" Type="http://schemas.openxmlformats.org/officeDocument/2006/relationships/chart" Target="charts/chart33.xml"/><Relationship Id="rId72" Type="http://schemas.openxmlformats.org/officeDocument/2006/relationships/hyperlink" Target="http://regist2.virology-education.com/2017/INTEREST/12_Mangenah.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png"/><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image" Target="media/image13.png"/><Relationship Id="rId20" Type="http://schemas.openxmlformats.org/officeDocument/2006/relationships/chart" Target="charts/chart9.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hyperlink" Target="https://www.ncbi.nlm.nih.gov/pubmed/12000779" TargetMode="External"/><Relationship Id="rId75" Type="http://schemas.openxmlformats.org/officeDocument/2006/relationships/hyperlink" Target="http://aidsinfo.unaid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3.emf"/><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image" Target="media/image11.png"/><Relationship Id="rId73" Type="http://schemas.openxmlformats.org/officeDocument/2006/relationships/hyperlink" Target="https://www.pepfar.gov/documents/organization/253960.pdf" TargetMode="External"/><Relationship Id="rId78" Type="http://schemas.openxmlformats.org/officeDocument/2006/relationships/hyperlink" Target="https://www.ncbi.nlm.nih.gov/pubmed/29603882/"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chart" Target="charts/chart8.xml"/><Relationship Id="rId39" Type="http://schemas.microsoft.com/office/2014/relationships/chartEx" Target="charts/chartEx1.xml"/><Relationship Id="rId34" Type="http://schemas.openxmlformats.org/officeDocument/2006/relationships/chart" Target="charts/chart18.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hyperlink" Target="http://www.worldbank.org/en/news/feature/2016/11/18/tanzanias-conditional-cash-transfer-program-helps-reduce-extreme-poverty" TargetMode="External"/><Relationship Id="rId7" Type="http://schemas.openxmlformats.org/officeDocument/2006/relationships/endnotes" Target="endnotes.xml"/><Relationship Id="rId71" Type="http://schemas.openxmlformats.org/officeDocument/2006/relationships/hyperlink" Target="https://www.ncbi.nlm.nih.gov/pubmed/11089626" TargetMode="External"/><Relationship Id="rId2" Type="http://schemas.openxmlformats.org/officeDocument/2006/relationships/numbering" Target="numbering.xml"/><Relationship Id="rId29"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indsey%20Hiebert\Dropbox%20(Pharos%20Global%20Health)\Tanzania%20HIV%20Investment%20Case\Goals%20modeling\Scenario%20results%2020may19.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carls\Google%20Drive\SDC%20Shared%20Drive\WIP_CS\Tanzania%20IC%20revision\Financing%20and%20costing\Macro%20econ%20and%20health%20spending\Tanzania%20IC%20revision%20macro%20analysis_8%20April.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Lindsey%20Hiebert\Downloads\District%20prioritization.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10.xml"/><Relationship Id="rId2" Type="http://schemas.microsoft.com/office/2011/relationships/chartStyle" Target="style210.xml"/><Relationship Id="rId1" Type="http://schemas.openxmlformats.org/officeDocument/2006/relationships/package" Target="../embeddings/Microsoft_Excel_Worksheet21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50481189851283E-2"/>
          <c:y val="7.60966938991781E-2"/>
          <c:w val="0.87040556918090162"/>
          <c:h val="0.71544336007294862"/>
        </c:manualLayout>
      </c:layout>
      <c:barChart>
        <c:barDir val="col"/>
        <c:grouping val="stacked"/>
        <c:varyColors val="0"/>
        <c:ser>
          <c:idx val="0"/>
          <c:order val="0"/>
          <c:tx>
            <c:strRef>
              <c:f>Sheet1!$B$1</c:f>
              <c:strCache>
                <c:ptCount val="1"/>
                <c:pt idx="0">
                  <c:v>Domestic</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2020</c:v>
                </c:pt>
              </c:numCache>
            </c:numRef>
          </c:cat>
          <c:val>
            <c:numRef>
              <c:f>Sheet1!$B$2:$B$6</c:f>
              <c:numCache>
                <c:formatCode>General</c:formatCode>
                <c:ptCount val="5"/>
                <c:pt idx="0">
                  <c:v>36.799999999999997</c:v>
                </c:pt>
                <c:pt idx="1">
                  <c:v>49.8</c:v>
                </c:pt>
                <c:pt idx="2">
                  <c:v>52.3</c:v>
                </c:pt>
                <c:pt idx="3">
                  <c:v>54.9</c:v>
                </c:pt>
                <c:pt idx="4">
                  <c:v>65</c:v>
                </c:pt>
              </c:numCache>
            </c:numRef>
          </c:val>
          <c:extLst>
            <c:ext xmlns:c16="http://schemas.microsoft.com/office/drawing/2014/chart" uri="{C3380CC4-5D6E-409C-BE32-E72D297353CC}">
              <c16:uniqueId val="{00000000-7763-41B2-A6AB-26D99443C829}"/>
            </c:ext>
          </c:extLst>
        </c:ser>
        <c:ser>
          <c:idx val="1"/>
          <c:order val="1"/>
          <c:tx>
            <c:strRef>
              <c:f>Sheet1!$C$1</c:f>
              <c:strCache>
                <c:ptCount val="1"/>
                <c:pt idx="0">
                  <c:v>External</c:v>
                </c:pt>
              </c:strCache>
            </c:strRef>
          </c:tx>
          <c:spPr>
            <a:solidFill>
              <a:schemeClr val="accent6">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2020</c:v>
                </c:pt>
              </c:numCache>
            </c:numRef>
          </c:cat>
          <c:val>
            <c:numRef>
              <c:f>Sheet1!$C$2:$C$6</c:f>
              <c:numCache>
                <c:formatCode>General</c:formatCode>
                <c:ptCount val="5"/>
                <c:pt idx="0">
                  <c:v>317.7</c:v>
                </c:pt>
                <c:pt idx="1">
                  <c:v>425.00000000000006</c:v>
                </c:pt>
                <c:pt idx="2">
                  <c:v>554.5</c:v>
                </c:pt>
                <c:pt idx="3">
                  <c:v>544.4</c:v>
                </c:pt>
                <c:pt idx="4">
                  <c:v>407.7</c:v>
                </c:pt>
              </c:numCache>
            </c:numRef>
          </c:val>
          <c:extLst>
            <c:ext xmlns:c16="http://schemas.microsoft.com/office/drawing/2014/chart" uri="{C3380CC4-5D6E-409C-BE32-E72D297353CC}">
              <c16:uniqueId val="{00000001-7763-41B2-A6AB-26D99443C829}"/>
            </c:ext>
          </c:extLst>
        </c:ser>
        <c:dLbls>
          <c:showLegendKey val="0"/>
          <c:showVal val="0"/>
          <c:showCatName val="0"/>
          <c:showSerName val="0"/>
          <c:showPercent val="0"/>
          <c:showBubbleSize val="0"/>
        </c:dLbls>
        <c:gapWidth val="150"/>
        <c:overlap val="100"/>
        <c:axId val="380581688"/>
        <c:axId val="380572504"/>
      </c:barChart>
      <c:catAx>
        <c:axId val="380581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572504"/>
        <c:crosses val="autoZero"/>
        <c:auto val="1"/>
        <c:lblAlgn val="ctr"/>
        <c:lblOffset val="100"/>
        <c:noMultiLvlLbl val="0"/>
      </c:catAx>
      <c:valAx>
        <c:axId val="380572504"/>
        <c:scaling>
          <c:orientation val="minMax"/>
          <c:max val="700"/>
          <c:min val="0"/>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financing (USD Millions)</a:t>
                </a:r>
              </a:p>
            </c:rich>
          </c:tx>
          <c:layout>
            <c:manualLayout>
              <c:xMode val="edge"/>
              <c:yMode val="edge"/>
              <c:x val="1.5113197940421385E-2"/>
              <c:y val="0.1464044968883138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alpha val="64000"/>
              </a:schemeClr>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581688"/>
        <c:crosses val="autoZero"/>
        <c:crossBetween val="between"/>
      </c:valAx>
      <c:spPr>
        <a:noFill/>
        <a:ln>
          <a:noFill/>
        </a:ln>
        <a:effectLst/>
      </c:spPr>
    </c:plotArea>
    <c:legend>
      <c:legendPos val="b"/>
      <c:layout>
        <c:manualLayout>
          <c:xMode val="edge"/>
          <c:yMode val="edge"/>
          <c:x val="0.24452619025777453"/>
          <c:y val="0.89878431786316271"/>
          <c:w val="0.57362511552438122"/>
          <c:h val="6.870354322229213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sz="8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900" b="0" i="1"/>
              <a:t>Figure 2-2. Prevalence of HIV across age groups by gender</a:t>
            </a:r>
          </a:p>
        </c:rich>
      </c:tx>
      <c:layout>
        <c:manualLayout>
          <c:xMode val="edge"/>
          <c:yMode val="edge"/>
          <c:x val="0.14451294030289435"/>
          <c:y val="4.0792540792540792E-2"/>
        </c:manualLayout>
      </c:layout>
      <c:overlay val="0"/>
    </c:title>
    <c:autoTitleDeleted val="0"/>
    <c:plotArea>
      <c:layout>
        <c:manualLayout>
          <c:layoutTarget val="inner"/>
          <c:xMode val="edge"/>
          <c:yMode val="edge"/>
          <c:x val="0.13299686998850094"/>
          <c:y val="0.13582493621863703"/>
          <c:w val="0.6973820315682544"/>
          <c:h val="0.59980039645393979"/>
        </c:manualLayout>
      </c:layout>
      <c:barChart>
        <c:barDir val="col"/>
        <c:grouping val="clustered"/>
        <c:varyColors val="0"/>
        <c:ser>
          <c:idx val="0"/>
          <c:order val="0"/>
          <c:tx>
            <c:strRef>
              <c:f>Sheet1!$B$1</c:f>
              <c:strCache>
                <c:ptCount val="1"/>
                <c:pt idx="0">
                  <c:v>Females</c:v>
                </c:pt>
              </c:strCache>
            </c:strRef>
          </c:tx>
          <c:spPr>
            <a:solidFill>
              <a:srgbClr val="00B0F0"/>
            </a:solidFill>
          </c:spPr>
          <c:invertIfNegative val="0"/>
          <c:cat>
            <c:strRef>
              <c:f>Sheet1!$A$2:$A$14</c:f>
              <c:strCache>
                <c:ptCount val="13"/>
                <c:pt idx="0">
                  <c:v>0-4 yrs</c:v>
                </c:pt>
                <c:pt idx="1">
                  <c:v>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strCache>
            </c:strRef>
          </c:cat>
          <c:val>
            <c:numRef>
              <c:f>Sheet1!$B$2:$B$14</c:f>
              <c:numCache>
                <c:formatCode>0.00%</c:formatCode>
                <c:ptCount val="13"/>
                <c:pt idx="0">
                  <c:v>6.0000000000000001E-3</c:v>
                </c:pt>
                <c:pt idx="1">
                  <c:v>5.0000000000000001E-3</c:v>
                </c:pt>
                <c:pt idx="2">
                  <c:v>3.0000000000000001E-3</c:v>
                </c:pt>
                <c:pt idx="3">
                  <c:v>0.01</c:v>
                </c:pt>
                <c:pt idx="4">
                  <c:v>3.4000000000000002E-2</c:v>
                </c:pt>
                <c:pt idx="5">
                  <c:v>5.6000000000000001E-2</c:v>
                </c:pt>
                <c:pt idx="6">
                  <c:v>8.5999999999999993E-2</c:v>
                </c:pt>
                <c:pt idx="7">
                  <c:v>0.11600000000000001</c:v>
                </c:pt>
                <c:pt idx="8">
                  <c:v>0.11</c:v>
                </c:pt>
                <c:pt idx="9">
                  <c:v>0.12</c:v>
                </c:pt>
                <c:pt idx="10">
                  <c:v>9.4E-2</c:v>
                </c:pt>
                <c:pt idx="11">
                  <c:v>9.7000000000000003E-2</c:v>
                </c:pt>
                <c:pt idx="12">
                  <c:v>6.5000000000000002E-2</c:v>
                </c:pt>
              </c:numCache>
            </c:numRef>
          </c:val>
          <c:extLst>
            <c:ext xmlns:c16="http://schemas.microsoft.com/office/drawing/2014/chart" uri="{C3380CC4-5D6E-409C-BE32-E72D297353CC}">
              <c16:uniqueId val="{00000000-AD0F-4399-9DF8-8F18CEFC63D3}"/>
            </c:ext>
          </c:extLst>
        </c:ser>
        <c:ser>
          <c:idx val="1"/>
          <c:order val="1"/>
          <c:tx>
            <c:strRef>
              <c:f>Sheet1!$C$1</c:f>
              <c:strCache>
                <c:ptCount val="1"/>
                <c:pt idx="0">
                  <c:v>Males</c:v>
                </c:pt>
              </c:strCache>
            </c:strRef>
          </c:tx>
          <c:spPr>
            <a:solidFill>
              <a:schemeClr val="accent6"/>
            </a:solidFill>
          </c:spPr>
          <c:invertIfNegative val="0"/>
          <c:cat>
            <c:strRef>
              <c:f>Sheet1!$A$2:$A$14</c:f>
              <c:strCache>
                <c:ptCount val="13"/>
                <c:pt idx="0">
                  <c:v>0-4 yrs</c:v>
                </c:pt>
                <c:pt idx="1">
                  <c:v>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strCache>
            </c:strRef>
          </c:cat>
          <c:val>
            <c:numRef>
              <c:f>Sheet1!$C$2:$C$14</c:f>
              <c:numCache>
                <c:formatCode>0.00%</c:formatCode>
                <c:ptCount val="13"/>
                <c:pt idx="0" formatCode="0%">
                  <c:v>2E-3</c:v>
                </c:pt>
                <c:pt idx="1">
                  <c:v>5.0000000000000001E-3</c:v>
                </c:pt>
                <c:pt idx="2">
                  <c:v>3.0000000000000001E-3</c:v>
                </c:pt>
                <c:pt idx="3">
                  <c:v>4.0000000000000001E-3</c:v>
                </c:pt>
                <c:pt idx="4">
                  <c:v>8.9999999999999993E-3</c:v>
                </c:pt>
                <c:pt idx="5">
                  <c:v>2.3E-2</c:v>
                </c:pt>
                <c:pt idx="6">
                  <c:v>3.9E-2</c:v>
                </c:pt>
                <c:pt idx="7">
                  <c:v>5.6000000000000001E-2</c:v>
                </c:pt>
                <c:pt idx="8">
                  <c:v>8.4000000000000005E-2</c:v>
                </c:pt>
                <c:pt idx="9">
                  <c:v>6.8000000000000005E-2</c:v>
                </c:pt>
                <c:pt idx="10">
                  <c:v>7.3999999999999996E-2</c:v>
                </c:pt>
                <c:pt idx="11">
                  <c:v>0.08</c:v>
                </c:pt>
                <c:pt idx="12">
                  <c:v>3.5999999999999997E-2</c:v>
                </c:pt>
              </c:numCache>
            </c:numRef>
          </c:val>
          <c:extLst>
            <c:ext xmlns:c16="http://schemas.microsoft.com/office/drawing/2014/chart" uri="{C3380CC4-5D6E-409C-BE32-E72D297353CC}">
              <c16:uniqueId val="{00000001-AD0F-4399-9DF8-8F18CEFC63D3}"/>
            </c:ext>
          </c:extLst>
        </c:ser>
        <c:dLbls>
          <c:showLegendKey val="0"/>
          <c:showVal val="0"/>
          <c:showCatName val="0"/>
          <c:showSerName val="0"/>
          <c:showPercent val="0"/>
          <c:showBubbleSize val="0"/>
        </c:dLbls>
        <c:gapWidth val="150"/>
        <c:axId val="2136899976"/>
        <c:axId val="-2141865160"/>
      </c:barChart>
      <c:catAx>
        <c:axId val="2136899976"/>
        <c:scaling>
          <c:orientation val="minMax"/>
        </c:scaling>
        <c:delete val="0"/>
        <c:axPos val="b"/>
        <c:numFmt formatCode="General" sourceLinked="0"/>
        <c:majorTickMark val="out"/>
        <c:minorTickMark val="none"/>
        <c:tickLblPos val="nextTo"/>
        <c:txPr>
          <a:bodyPr/>
          <a:lstStyle/>
          <a:p>
            <a:pPr>
              <a:defRPr b="1"/>
            </a:pPr>
            <a:endParaRPr lang="en-US"/>
          </a:p>
        </c:txPr>
        <c:crossAx val="-2141865160"/>
        <c:crosses val="autoZero"/>
        <c:auto val="1"/>
        <c:lblAlgn val="ctr"/>
        <c:lblOffset val="100"/>
        <c:noMultiLvlLbl val="0"/>
      </c:catAx>
      <c:valAx>
        <c:axId val="-2141865160"/>
        <c:scaling>
          <c:orientation val="minMax"/>
        </c:scaling>
        <c:delete val="0"/>
        <c:axPos val="l"/>
        <c:numFmt formatCode="0%" sourceLinked="0"/>
        <c:majorTickMark val="out"/>
        <c:minorTickMark val="none"/>
        <c:tickLblPos val="nextTo"/>
        <c:txPr>
          <a:bodyPr/>
          <a:lstStyle/>
          <a:p>
            <a:pPr>
              <a:defRPr b="1"/>
            </a:pPr>
            <a:endParaRPr lang="en-US"/>
          </a:p>
        </c:txPr>
        <c:crossAx val="2136899976"/>
        <c:crosses val="autoZero"/>
        <c:crossBetween val="between"/>
      </c:valAx>
    </c:plotArea>
    <c:legend>
      <c:legendPos val="r"/>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900" b="0" i="1"/>
              <a:t>Figure 2-3. Incidence of HIV across age groups by gender</a:t>
            </a:r>
          </a:p>
        </c:rich>
      </c:tx>
      <c:layout>
        <c:manualLayout>
          <c:xMode val="edge"/>
          <c:yMode val="edge"/>
          <c:x val="0.14451294030289435"/>
          <c:y val="4.0792540792540792E-2"/>
        </c:manualLayout>
      </c:layout>
      <c:overlay val="0"/>
    </c:title>
    <c:autoTitleDeleted val="0"/>
    <c:plotArea>
      <c:layout>
        <c:manualLayout>
          <c:layoutTarget val="inner"/>
          <c:xMode val="edge"/>
          <c:yMode val="edge"/>
          <c:x val="0.13299686998850094"/>
          <c:y val="0.13582493621863703"/>
          <c:w val="0.6973820315682544"/>
          <c:h val="0.59980039645393979"/>
        </c:manualLayout>
      </c:layout>
      <c:barChart>
        <c:barDir val="col"/>
        <c:grouping val="clustered"/>
        <c:varyColors val="0"/>
        <c:ser>
          <c:idx val="0"/>
          <c:order val="0"/>
          <c:tx>
            <c:strRef>
              <c:f>Sheet1!$B$1</c:f>
              <c:strCache>
                <c:ptCount val="1"/>
                <c:pt idx="0">
                  <c:v>Males</c:v>
                </c:pt>
              </c:strCache>
            </c:strRef>
          </c:tx>
          <c:spPr>
            <a:solidFill>
              <a:srgbClr val="00B0F0"/>
            </a:solidFill>
          </c:spPr>
          <c:invertIfNegative val="0"/>
          <c:cat>
            <c:strRef>
              <c:f>Sheet1!$A$2:$A$8</c:f>
              <c:strCache>
                <c:ptCount val="7"/>
                <c:pt idx="0">
                  <c:v>15-19</c:v>
                </c:pt>
                <c:pt idx="1">
                  <c:v>20-24</c:v>
                </c:pt>
                <c:pt idx="2">
                  <c:v>25-34</c:v>
                </c:pt>
                <c:pt idx="3">
                  <c:v>35-49</c:v>
                </c:pt>
                <c:pt idx="4">
                  <c:v>15-49</c:v>
                </c:pt>
                <c:pt idx="5">
                  <c:v>15-64</c:v>
                </c:pt>
                <c:pt idx="6">
                  <c:v>15+</c:v>
                </c:pt>
              </c:strCache>
            </c:strRef>
          </c:cat>
          <c:val>
            <c:numRef>
              <c:f>Sheet1!$B$2:$B$8</c:f>
              <c:numCache>
                <c:formatCode>0.00%</c:formatCode>
                <c:ptCount val="7"/>
                <c:pt idx="0">
                  <c:v>0</c:v>
                </c:pt>
                <c:pt idx="1">
                  <c:v>0</c:v>
                </c:pt>
                <c:pt idx="2">
                  <c:v>1.5E-3</c:v>
                </c:pt>
                <c:pt idx="3">
                  <c:v>3.7000000000000002E-3</c:v>
                </c:pt>
                <c:pt idx="4">
                  <c:v>2.3999999999999998E-3</c:v>
                </c:pt>
                <c:pt idx="5">
                  <c:v>1.6999999999999999E-3</c:v>
                </c:pt>
                <c:pt idx="6">
                  <c:v>1.6000000000000001E-3</c:v>
                </c:pt>
              </c:numCache>
            </c:numRef>
          </c:val>
          <c:extLst>
            <c:ext xmlns:c16="http://schemas.microsoft.com/office/drawing/2014/chart" uri="{C3380CC4-5D6E-409C-BE32-E72D297353CC}">
              <c16:uniqueId val="{00000000-D89A-45CA-92FE-FBA8CDC6A4EF}"/>
            </c:ext>
          </c:extLst>
        </c:ser>
        <c:ser>
          <c:idx val="1"/>
          <c:order val="1"/>
          <c:tx>
            <c:strRef>
              <c:f>Sheet1!$C$1</c:f>
              <c:strCache>
                <c:ptCount val="1"/>
                <c:pt idx="0">
                  <c:v>Females</c:v>
                </c:pt>
              </c:strCache>
            </c:strRef>
          </c:tx>
          <c:spPr>
            <a:solidFill>
              <a:schemeClr val="accent6"/>
            </a:solidFill>
          </c:spPr>
          <c:invertIfNegative val="0"/>
          <c:cat>
            <c:strRef>
              <c:f>Sheet1!$A$2:$A$8</c:f>
              <c:strCache>
                <c:ptCount val="7"/>
                <c:pt idx="0">
                  <c:v>15-19</c:v>
                </c:pt>
                <c:pt idx="1">
                  <c:v>20-24</c:v>
                </c:pt>
                <c:pt idx="2">
                  <c:v>25-34</c:v>
                </c:pt>
                <c:pt idx="3">
                  <c:v>35-49</c:v>
                </c:pt>
                <c:pt idx="4">
                  <c:v>15-49</c:v>
                </c:pt>
                <c:pt idx="5">
                  <c:v>15-64</c:v>
                </c:pt>
                <c:pt idx="6">
                  <c:v>15+</c:v>
                </c:pt>
              </c:strCache>
            </c:strRef>
          </c:cat>
          <c:val>
            <c:numRef>
              <c:f>Sheet1!$C$2:$C$8</c:f>
              <c:numCache>
                <c:formatCode>0.00%</c:formatCode>
                <c:ptCount val="7"/>
                <c:pt idx="0">
                  <c:v>2.2000000000000001E-3</c:v>
                </c:pt>
                <c:pt idx="1">
                  <c:v>5.0000000000000001E-4</c:v>
                </c:pt>
                <c:pt idx="2">
                  <c:v>7.0000000000000001E-3</c:v>
                </c:pt>
                <c:pt idx="3">
                  <c:v>2.3999999999999998E-3</c:v>
                </c:pt>
                <c:pt idx="4">
                  <c:v>3.3999999999999998E-3</c:v>
                </c:pt>
                <c:pt idx="5">
                  <c:v>3.3999999999999998E-3</c:v>
                </c:pt>
                <c:pt idx="6">
                  <c:v>3.2000000000000002E-3</c:v>
                </c:pt>
              </c:numCache>
            </c:numRef>
          </c:val>
          <c:extLst>
            <c:ext xmlns:c16="http://schemas.microsoft.com/office/drawing/2014/chart" uri="{C3380CC4-5D6E-409C-BE32-E72D297353CC}">
              <c16:uniqueId val="{00000001-D89A-45CA-92FE-FBA8CDC6A4EF}"/>
            </c:ext>
          </c:extLst>
        </c:ser>
        <c:ser>
          <c:idx val="2"/>
          <c:order val="2"/>
          <c:tx>
            <c:strRef>
              <c:f>Sheet1!$D$1</c:f>
              <c:strCache>
                <c:ptCount val="1"/>
                <c:pt idx="0">
                  <c:v>Total</c:v>
                </c:pt>
              </c:strCache>
            </c:strRef>
          </c:tx>
          <c:invertIfNegative val="0"/>
          <c:cat>
            <c:strRef>
              <c:f>Sheet1!$A$2:$A$8</c:f>
              <c:strCache>
                <c:ptCount val="7"/>
                <c:pt idx="0">
                  <c:v>15-19</c:v>
                </c:pt>
                <c:pt idx="1">
                  <c:v>20-24</c:v>
                </c:pt>
                <c:pt idx="2">
                  <c:v>25-34</c:v>
                </c:pt>
                <c:pt idx="3">
                  <c:v>35-49</c:v>
                </c:pt>
                <c:pt idx="4">
                  <c:v>15-49</c:v>
                </c:pt>
                <c:pt idx="5">
                  <c:v>15-64</c:v>
                </c:pt>
                <c:pt idx="6">
                  <c:v>15+</c:v>
                </c:pt>
              </c:strCache>
            </c:strRef>
          </c:cat>
          <c:val>
            <c:numRef>
              <c:f>Sheet1!$D$2:$D$8</c:f>
              <c:numCache>
                <c:formatCode>0.00%</c:formatCode>
                <c:ptCount val="7"/>
                <c:pt idx="0">
                  <c:v>1.1000000000000001E-3</c:v>
                </c:pt>
                <c:pt idx="1">
                  <c:v>2.9999999999999997E-4</c:v>
                </c:pt>
                <c:pt idx="2">
                  <c:v>4.3E-3</c:v>
                </c:pt>
                <c:pt idx="3">
                  <c:v>3.2000000000000002E-3</c:v>
                </c:pt>
                <c:pt idx="4">
                  <c:v>2.3999999999999998E-3</c:v>
                </c:pt>
                <c:pt idx="5">
                  <c:v>2.5000000000000001E-3</c:v>
                </c:pt>
                <c:pt idx="6">
                  <c:v>2.3999999999999998E-3</c:v>
                </c:pt>
              </c:numCache>
            </c:numRef>
          </c:val>
          <c:extLst>
            <c:ext xmlns:c16="http://schemas.microsoft.com/office/drawing/2014/chart" uri="{C3380CC4-5D6E-409C-BE32-E72D297353CC}">
              <c16:uniqueId val="{00000000-8F8D-41AF-9C4D-BB454AC18F35}"/>
            </c:ext>
          </c:extLst>
        </c:ser>
        <c:dLbls>
          <c:showLegendKey val="0"/>
          <c:showVal val="0"/>
          <c:showCatName val="0"/>
          <c:showSerName val="0"/>
          <c:showPercent val="0"/>
          <c:showBubbleSize val="0"/>
        </c:dLbls>
        <c:gapWidth val="150"/>
        <c:axId val="2136899976"/>
        <c:axId val="-2141865160"/>
      </c:barChart>
      <c:catAx>
        <c:axId val="2136899976"/>
        <c:scaling>
          <c:orientation val="minMax"/>
        </c:scaling>
        <c:delete val="0"/>
        <c:axPos val="b"/>
        <c:title>
          <c:tx>
            <c:rich>
              <a:bodyPr/>
              <a:lstStyle/>
              <a:p>
                <a:pPr>
                  <a:defRPr/>
                </a:pPr>
                <a:r>
                  <a:rPr lang="en-US"/>
                  <a:t>Age group</a:t>
                </a:r>
              </a:p>
            </c:rich>
          </c:tx>
          <c:overlay val="0"/>
        </c:title>
        <c:numFmt formatCode="General" sourceLinked="0"/>
        <c:majorTickMark val="out"/>
        <c:minorTickMark val="none"/>
        <c:tickLblPos val="nextTo"/>
        <c:txPr>
          <a:bodyPr/>
          <a:lstStyle/>
          <a:p>
            <a:pPr>
              <a:defRPr b="1"/>
            </a:pPr>
            <a:endParaRPr lang="en-US"/>
          </a:p>
        </c:txPr>
        <c:crossAx val="-2141865160"/>
        <c:crosses val="autoZero"/>
        <c:auto val="1"/>
        <c:lblAlgn val="ctr"/>
        <c:lblOffset val="100"/>
        <c:noMultiLvlLbl val="0"/>
      </c:catAx>
      <c:valAx>
        <c:axId val="-2141865160"/>
        <c:scaling>
          <c:orientation val="minMax"/>
        </c:scaling>
        <c:delete val="0"/>
        <c:axPos val="l"/>
        <c:numFmt formatCode="0.00%" sourceLinked="0"/>
        <c:majorTickMark val="out"/>
        <c:minorTickMark val="none"/>
        <c:tickLblPos val="nextTo"/>
        <c:txPr>
          <a:bodyPr/>
          <a:lstStyle/>
          <a:p>
            <a:pPr>
              <a:defRPr b="1"/>
            </a:pPr>
            <a:endParaRPr lang="en-US"/>
          </a:p>
        </c:txPr>
        <c:crossAx val="2136899976"/>
        <c:crosses val="autoZero"/>
        <c:crossBetween val="between"/>
      </c:valAx>
    </c:plotArea>
    <c:legend>
      <c:legendPos val="r"/>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0125693895249"/>
          <c:y val="4.8209366391184574E-2"/>
          <c:w val="0.83031266834003825"/>
          <c:h val="0.73189030606711347"/>
        </c:manualLayout>
      </c:layout>
      <c:barChart>
        <c:barDir val="col"/>
        <c:grouping val="stacked"/>
        <c:varyColors val="0"/>
        <c:ser>
          <c:idx val="0"/>
          <c:order val="0"/>
          <c:tx>
            <c:strRef>
              <c:f>Sheet1!$B$1</c:f>
              <c:strCache>
                <c:ptCount val="1"/>
                <c:pt idx="0">
                  <c:v>Domestic</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36.799999999999997</c:v>
                </c:pt>
                <c:pt idx="1">
                  <c:v>49.8</c:v>
                </c:pt>
                <c:pt idx="2">
                  <c:v>52.3</c:v>
                </c:pt>
              </c:numCache>
            </c:numRef>
          </c:val>
          <c:extLst>
            <c:ext xmlns:c16="http://schemas.microsoft.com/office/drawing/2014/chart" uri="{C3380CC4-5D6E-409C-BE32-E72D297353CC}">
              <c16:uniqueId val="{00000000-AEF1-44F6-A8F6-2DA1F272BE97}"/>
            </c:ext>
          </c:extLst>
        </c:ser>
        <c:ser>
          <c:idx val="1"/>
          <c:order val="1"/>
          <c:tx>
            <c:strRef>
              <c:f>Sheet1!$C$1</c:f>
              <c:strCache>
                <c:ptCount val="1"/>
                <c:pt idx="0">
                  <c:v>External</c:v>
                </c:pt>
              </c:strCache>
            </c:strRef>
          </c:tx>
          <c:spPr>
            <a:solidFill>
              <a:schemeClr val="accent5">
                <a:lumMod val="40000"/>
                <a:lumOff val="60000"/>
              </a:schemeClr>
            </a:solidFill>
            <a:ln>
              <a:noFill/>
            </a:ln>
            <a:effectLst/>
          </c:spPr>
          <c:invertIfNegative val="0"/>
          <c:dLbls>
            <c:dLbl>
              <c:idx val="0"/>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AEF1-44F6-A8F6-2DA1F272BE97}"/>
                </c:ext>
              </c:extLst>
            </c:dLbl>
            <c:dLbl>
              <c:idx val="1"/>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AEF1-44F6-A8F6-2DA1F272BE97}"/>
                </c:ext>
              </c:extLst>
            </c:dLbl>
            <c:dLbl>
              <c:idx val="2"/>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AEF1-44F6-A8F6-2DA1F272BE9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2015</c:v>
                </c:pt>
                <c:pt idx="1">
                  <c:v>2016</c:v>
                </c:pt>
                <c:pt idx="2">
                  <c:v>2017</c:v>
                </c:pt>
              </c:numCache>
            </c:numRef>
          </c:cat>
          <c:val>
            <c:numRef>
              <c:f>Sheet1!$C$2:$C$4</c:f>
              <c:numCache>
                <c:formatCode>General</c:formatCode>
                <c:ptCount val="3"/>
                <c:pt idx="0">
                  <c:v>430</c:v>
                </c:pt>
                <c:pt idx="1">
                  <c:v>487.5</c:v>
                </c:pt>
                <c:pt idx="2">
                  <c:v>559.70000000000005</c:v>
                </c:pt>
              </c:numCache>
            </c:numRef>
          </c:val>
          <c:extLst>
            <c:ext xmlns:c16="http://schemas.microsoft.com/office/drawing/2014/chart" uri="{C3380CC4-5D6E-409C-BE32-E72D297353CC}">
              <c16:uniqueId val="{00000001-AEF1-44F6-A8F6-2DA1F272BE97}"/>
            </c:ext>
          </c:extLst>
        </c:ser>
        <c:dLbls>
          <c:showLegendKey val="0"/>
          <c:showVal val="0"/>
          <c:showCatName val="0"/>
          <c:showSerName val="0"/>
          <c:showPercent val="0"/>
          <c:showBubbleSize val="0"/>
        </c:dLbls>
        <c:gapWidth val="150"/>
        <c:overlap val="100"/>
        <c:axId val="380581688"/>
        <c:axId val="380572504"/>
      </c:barChart>
      <c:catAx>
        <c:axId val="380581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572504"/>
        <c:crosses val="autoZero"/>
        <c:auto val="1"/>
        <c:lblAlgn val="ctr"/>
        <c:lblOffset val="100"/>
        <c:noMultiLvlLbl val="0"/>
      </c:catAx>
      <c:valAx>
        <c:axId val="3805725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financing (USD Millions)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581688"/>
        <c:crosses val="autoZero"/>
        <c:crossBetween val="between"/>
      </c:valAx>
      <c:spPr>
        <a:noFill/>
        <a:ln>
          <a:noFill/>
        </a:ln>
        <a:effectLst/>
      </c:spPr>
    </c:plotArea>
    <c:legend>
      <c:legendPos val="b"/>
      <c:layout>
        <c:manualLayout>
          <c:xMode val="edge"/>
          <c:yMode val="edge"/>
          <c:x val="0.34808457276173815"/>
          <c:y val="0.905451059599514"/>
          <c:w val="0.3753786332264023"/>
          <c:h val="6.870354322229213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37391479911164"/>
          <c:y val="3.5643562304903807E-2"/>
          <c:w val="0.75136651187832293"/>
          <c:h val="0.88881457146438825"/>
        </c:manualLayout>
      </c:layout>
      <c:scatterChart>
        <c:scatterStyle val="lineMarker"/>
        <c:varyColors val="0"/>
        <c:ser>
          <c:idx val="0"/>
          <c:order val="0"/>
          <c:tx>
            <c:strRef>
              <c:f>Sheet1!$B$1</c:f>
              <c:strCache>
                <c:ptCount val="1"/>
                <c:pt idx="0">
                  <c:v>New Inf</c:v>
                </c:pt>
              </c:strCache>
            </c:strRef>
          </c:tx>
          <c:spPr>
            <a:ln w="19050" cap="rnd">
              <a:noFill/>
              <a:round/>
            </a:ln>
            <a:effectLst/>
          </c:spPr>
          <c:marker>
            <c:symbol val="circle"/>
            <c:size val="5"/>
            <c:spPr>
              <a:solidFill>
                <a:schemeClr val="accent1"/>
              </a:solidFill>
              <a:ln w="9525">
                <a:solidFill>
                  <a:schemeClr val="accent1"/>
                </a:solidFill>
              </a:ln>
              <a:effectLst/>
            </c:spPr>
          </c:marker>
          <c:xVal>
            <c:strRef>
              <c:f>Sheet1!$A$2:$A$188</c:f>
              <c:strCache>
                <c:ptCount val="187"/>
                <c:pt idx="0">
                  <c:v>Attained</c:v>
                </c:pt>
                <c:pt idx="1">
                  <c:v>Attained</c:v>
                </c:pt>
                <c:pt idx="2">
                  <c:v>Attained</c:v>
                </c:pt>
                <c:pt idx="3">
                  <c:v>Attained</c:v>
                </c:pt>
                <c:pt idx="4">
                  <c:v>Attained</c:v>
                </c:pt>
                <c:pt idx="5">
                  <c:v>Attained</c:v>
                </c:pt>
                <c:pt idx="6">
                  <c:v>Attained</c:v>
                </c:pt>
                <c:pt idx="7">
                  <c:v>Attained</c:v>
                </c:pt>
                <c:pt idx="8">
                  <c:v>Attained</c:v>
                </c:pt>
                <c:pt idx="9">
                  <c:v>Attained</c:v>
                </c:pt>
                <c:pt idx="10">
                  <c:v>Attained</c:v>
                </c:pt>
                <c:pt idx="11">
                  <c:v>ScaleUp Sat</c:v>
                </c:pt>
                <c:pt idx="12">
                  <c:v>ScaleUp Sat</c:v>
                </c:pt>
                <c:pt idx="13">
                  <c:v>ScaleUp Sat</c:v>
                </c:pt>
                <c:pt idx="14">
                  <c:v>ScaleUp Sat</c:v>
                </c:pt>
                <c:pt idx="15">
                  <c:v>ScaleUp Sat</c:v>
                </c:pt>
                <c:pt idx="16">
                  <c:v>ScaleUp Sat</c:v>
                </c:pt>
                <c:pt idx="17">
                  <c:v>ScaleUp Sat</c:v>
                </c:pt>
                <c:pt idx="18">
                  <c:v>ScaleUp Sat</c:v>
                </c:pt>
                <c:pt idx="19">
                  <c:v>ScaleUp Sat</c:v>
                </c:pt>
                <c:pt idx="20">
                  <c:v>ScaleUp Sat</c:v>
                </c:pt>
                <c:pt idx="21">
                  <c:v>ScaleUp Sat</c:v>
                </c:pt>
                <c:pt idx="22">
                  <c:v>ScaleUp Sat</c:v>
                </c:pt>
                <c:pt idx="23">
                  <c:v>ScaleUp Sat</c:v>
                </c:pt>
                <c:pt idx="24">
                  <c:v>ScaleUp Sat</c:v>
                </c:pt>
                <c:pt idx="25">
                  <c:v>ScaleUp Sat</c:v>
                </c:pt>
                <c:pt idx="26">
                  <c:v>ScaleUp Sat</c:v>
                </c:pt>
                <c:pt idx="27">
                  <c:v>ScaleUp Sat</c:v>
                </c:pt>
                <c:pt idx="28">
                  <c:v>ScaleUp Sat</c:v>
                </c:pt>
                <c:pt idx="29">
                  <c:v>ScaleUp Sat</c:v>
                </c:pt>
                <c:pt idx="30">
                  <c:v>ScaleUp Sat</c:v>
                </c:pt>
                <c:pt idx="31">
                  <c:v>ScaleUp Sat</c:v>
                </c:pt>
                <c:pt idx="32">
                  <c:v>ScaleUp Sat</c:v>
                </c:pt>
                <c:pt idx="33">
                  <c:v>ScaleUp Sat</c:v>
                </c:pt>
                <c:pt idx="34">
                  <c:v>ScaleUp Sat</c:v>
                </c:pt>
                <c:pt idx="35">
                  <c:v>ScaleUp Sat</c:v>
                </c:pt>
                <c:pt idx="36">
                  <c:v>ScaleUp Sat</c:v>
                </c:pt>
                <c:pt idx="37">
                  <c:v>ScaleUp Sat</c:v>
                </c:pt>
                <c:pt idx="38">
                  <c:v>ScaleUp Sat</c:v>
                </c:pt>
                <c:pt idx="39">
                  <c:v>ScaleUp Sat</c:v>
                </c:pt>
                <c:pt idx="40">
                  <c:v>ScaleUp Sat</c:v>
                </c:pt>
                <c:pt idx="41">
                  <c:v>ScaleUp Sat</c:v>
                </c:pt>
                <c:pt idx="42">
                  <c:v>ScaleUp Sat</c:v>
                </c:pt>
                <c:pt idx="43">
                  <c:v>ScaleUp Sat</c:v>
                </c:pt>
                <c:pt idx="44">
                  <c:v>ScaleUp Sat</c:v>
                </c:pt>
                <c:pt idx="45">
                  <c:v>ScaleUp Sat</c:v>
                </c:pt>
                <c:pt idx="46">
                  <c:v>ScaleUp Sat</c:v>
                </c:pt>
                <c:pt idx="47">
                  <c:v>ScaleUp Sat</c:v>
                </c:pt>
                <c:pt idx="48">
                  <c:v>ScaleUp Sat</c:v>
                </c:pt>
                <c:pt idx="49">
                  <c:v>ScaleUp Sat</c:v>
                </c:pt>
                <c:pt idx="50">
                  <c:v>ScaleUp Sat</c:v>
                </c:pt>
                <c:pt idx="51">
                  <c:v>ScaleUp Sat</c:v>
                </c:pt>
                <c:pt idx="52">
                  <c:v>ScaleUp Sat</c:v>
                </c:pt>
                <c:pt idx="53">
                  <c:v>ScaleUp Sat</c:v>
                </c:pt>
                <c:pt idx="54">
                  <c:v>ScaleUp Sat</c:v>
                </c:pt>
                <c:pt idx="55">
                  <c:v>ScaleUp Sat</c:v>
                </c:pt>
                <c:pt idx="56">
                  <c:v>ScaleUp Sat</c:v>
                </c:pt>
                <c:pt idx="57">
                  <c:v>ScaleUp Sat</c:v>
                </c:pt>
                <c:pt idx="58">
                  <c:v>ScaleUp Sat</c:v>
                </c:pt>
                <c:pt idx="59">
                  <c:v>ScaleUp Sat</c:v>
                </c:pt>
                <c:pt idx="60">
                  <c:v>ScaleUp Sat</c:v>
                </c:pt>
                <c:pt idx="61">
                  <c:v>ScaleUp Sat</c:v>
                </c:pt>
                <c:pt idx="62">
                  <c:v>ScaleUp Sat</c:v>
                </c:pt>
                <c:pt idx="63">
                  <c:v>ScaleUp Sat</c:v>
                </c:pt>
                <c:pt idx="64">
                  <c:v>ScaleUp Sat</c:v>
                </c:pt>
                <c:pt idx="65">
                  <c:v>ScaleUp Sat</c:v>
                </c:pt>
                <c:pt idx="66">
                  <c:v>ScaleUp Sat</c:v>
                </c:pt>
                <c:pt idx="67">
                  <c:v>ScaleUp Sat</c:v>
                </c:pt>
                <c:pt idx="68">
                  <c:v>ScaleUp Sat</c:v>
                </c:pt>
                <c:pt idx="69">
                  <c:v>ScaleUp Sat</c:v>
                </c:pt>
                <c:pt idx="70">
                  <c:v>ScaleUp Sat</c:v>
                </c:pt>
                <c:pt idx="71">
                  <c:v>ScaleUp Sat</c:v>
                </c:pt>
                <c:pt idx="72">
                  <c:v>ScaleUp Sat</c:v>
                </c:pt>
                <c:pt idx="73">
                  <c:v>ScaleUp Sat</c:v>
                </c:pt>
                <c:pt idx="74">
                  <c:v>ScaleUp Sat</c:v>
                </c:pt>
                <c:pt idx="75">
                  <c:v>ScaleUp Sat</c:v>
                </c:pt>
                <c:pt idx="76">
                  <c:v>ScaleUp Sat</c:v>
                </c:pt>
                <c:pt idx="77">
                  <c:v>ScaleUp Sat</c:v>
                </c:pt>
                <c:pt idx="78">
                  <c:v>ScaleUp Sat</c:v>
                </c:pt>
                <c:pt idx="79">
                  <c:v>ScaleUp Sat</c:v>
                </c:pt>
                <c:pt idx="80">
                  <c:v>ScaleUp Sat</c:v>
                </c:pt>
                <c:pt idx="81">
                  <c:v>ScaleUp Sat</c:v>
                </c:pt>
                <c:pt idx="82">
                  <c:v>ScaleUp Sat</c:v>
                </c:pt>
                <c:pt idx="83">
                  <c:v>ScaleUp Sat</c:v>
                </c:pt>
                <c:pt idx="84">
                  <c:v>ScaleUp Sat</c:v>
                </c:pt>
                <c:pt idx="85">
                  <c:v>ScaleUp Sat</c:v>
                </c:pt>
                <c:pt idx="86">
                  <c:v>ScaleUp Sat</c:v>
                </c:pt>
                <c:pt idx="87">
                  <c:v>ScaleUp Sat</c:v>
                </c:pt>
                <c:pt idx="88">
                  <c:v>ScaleUp Sat</c:v>
                </c:pt>
                <c:pt idx="89">
                  <c:v>ScaleUp Sat</c:v>
                </c:pt>
                <c:pt idx="90">
                  <c:v>ScaleUp Sat</c:v>
                </c:pt>
                <c:pt idx="91">
                  <c:v>ScaleUp Sat</c:v>
                </c:pt>
                <c:pt idx="92">
                  <c:v>ScaleUp Sat</c:v>
                </c:pt>
                <c:pt idx="93">
                  <c:v>ScaleUp Sat</c:v>
                </c:pt>
                <c:pt idx="94">
                  <c:v>ScaleUp Sat</c:v>
                </c:pt>
                <c:pt idx="95">
                  <c:v>ScaleUp Sat</c:v>
                </c:pt>
                <c:pt idx="96">
                  <c:v>ScaleUp Sat</c:v>
                </c:pt>
                <c:pt idx="97">
                  <c:v>ScaleUp Sat</c:v>
                </c:pt>
                <c:pt idx="98">
                  <c:v>ScaleUp Sat</c:v>
                </c:pt>
                <c:pt idx="99">
                  <c:v>ScaleUp Sat</c:v>
                </c:pt>
                <c:pt idx="100">
                  <c:v>ScaleUp Sat</c:v>
                </c:pt>
                <c:pt idx="101">
                  <c:v>ScaleUp Sat</c:v>
                </c:pt>
                <c:pt idx="102">
                  <c:v>ScaleUp Sat</c:v>
                </c:pt>
                <c:pt idx="103">
                  <c:v>ScaleUp Sat</c:v>
                </c:pt>
                <c:pt idx="104">
                  <c:v>Sustained</c:v>
                </c:pt>
                <c:pt idx="105">
                  <c:v>Sustained</c:v>
                </c:pt>
                <c:pt idx="106">
                  <c:v>Sustained</c:v>
                </c:pt>
                <c:pt idx="107">
                  <c:v>Sustained</c:v>
                </c:pt>
                <c:pt idx="108">
                  <c:v>Sustained</c:v>
                </c:pt>
                <c:pt idx="109">
                  <c:v>Sustained</c:v>
                </c:pt>
                <c:pt idx="110">
                  <c:v>Sustained</c:v>
                </c:pt>
                <c:pt idx="111">
                  <c:v>Sustained</c:v>
                </c:pt>
                <c:pt idx="112">
                  <c:v>Sustained</c:v>
                </c:pt>
                <c:pt idx="113">
                  <c:v>Sustained</c:v>
                </c:pt>
                <c:pt idx="114">
                  <c:v>Sustained</c:v>
                </c:pt>
                <c:pt idx="115">
                  <c:v>Sustained</c:v>
                </c:pt>
                <c:pt idx="116">
                  <c:v>Sustained</c:v>
                </c:pt>
                <c:pt idx="117">
                  <c:v>Sustained</c:v>
                </c:pt>
                <c:pt idx="118">
                  <c:v>Sustained</c:v>
                </c:pt>
                <c:pt idx="119">
                  <c:v>Sustained</c:v>
                </c:pt>
                <c:pt idx="120">
                  <c:v>Sustained</c:v>
                </c:pt>
                <c:pt idx="121">
                  <c:v>Sustained</c:v>
                </c:pt>
                <c:pt idx="122">
                  <c:v>Sustained</c:v>
                </c:pt>
                <c:pt idx="123">
                  <c:v>Sustained</c:v>
                </c:pt>
                <c:pt idx="124">
                  <c:v>Sustained</c:v>
                </c:pt>
                <c:pt idx="125">
                  <c:v>Sustained</c:v>
                </c:pt>
                <c:pt idx="126">
                  <c:v>Sustained</c:v>
                </c:pt>
                <c:pt idx="127">
                  <c:v>Sustained</c:v>
                </c:pt>
                <c:pt idx="128">
                  <c:v>Sustained</c:v>
                </c:pt>
                <c:pt idx="129">
                  <c:v>Sustained</c:v>
                </c:pt>
                <c:pt idx="130">
                  <c:v>Sustained</c:v>
                </c:pt>
                <c:pt idx="131">
                  <c:v>Sustained</c:v>
                </c:pt>
                <c:pt idx="132">
                  <c:v>Sustained</c:v>
                </c:pt>
                <c:pt idx="133">
                  <c:v>Sustained</c:v>
                </c:pt>
                <c:pt idx="134">
                  <c:v>Sustained</c:v>
                </c:pt>
                <c:pt idx="135">
                  <c:v>Sustained</c:v>
                </c:pt>
                <c:pt idx="136">
                  <c:v>Sustained</c:v>
                </c:pt>
                <c:pt idx="137">
                  <c:v>Sustained</c:v>
                </c:pt>
                <c:pt idx="138">
                  <c:v>Sustained</c:v>
                </c:pt>
                <c:pt idx="139">
                  <c:v>Sustained</c:v>
                </c:pt>
                <c:pt idx="140">
                  <c:v>Sustained</c:v>
                </c:pt>
                <c:pt idx="141">
                  <c:v>Sustained</c:v>
                </c:pt>
                <c:pt idx="142">
                  <c:v>Sustained</c:v>
                </c:pt>
                <c:pt idx="143">
                  <c:v>Sustained</c:v>
                </c:pt>
                <c:pt idx="144">
                  <c:v>Sustained</c:v>
                </c:pt>
                <c:pt idx="145">
                  <c:v>Sustained</c:v>
                </c:pt>
                <c:pt idx="146">
                  <c:v>Sustained</c:v>
                </c:pt>
                <c:pt idx="147">
                  <c:v>Sustained</c:v>
                </c:pt>
                <c:pt idx="148">
                  <c:v>Sustained</c:v>
                </c:pt>
                <c:pt idx="149">
                  <c:v>Sustained</c:v>
                </c:pt>
                <c:pt idx="150">
                  <c:v>Sustained</c:v>
                </c:pt>
                <c:pt idx="151">
                  <c:v>Sustained</c:v>
                </c:pt>
                <c:pt idx="152">
                  <c:v>Sustained</c:v>
                </c:pt>
                <c:pt idx="153">
                  <c:v>Sustained</c:v>
                </c:pt>
                <c:pt idx="154">
                  <c:v>Sustained</c:v>
                </c:pt>
                <c:pt idx="155">
                  <c:v>Sustained</c:v>
                </c:pt>
                <c:pt idx="156">
                  <c:v>Sustained</c:v>
                </c:pt>
                <c:pt idx="157">
                  <c:v>Sustained</c:v>
                </c:pt>
                <c:pt idx="158">
                  <c:v>Sustained</c:v>
                </c:pt>
                <c:pt idx="159">
                  <c:v>Sustained</c:v>
                </c:pt>
                <c:pt idx="160">
                  <c:v>Sustained</c:v>
                </c:pt>
                <c:pt idx="161">
                  <c:v>Sustained</c:v>
                </c:pt>
                <c:pt idx="162">
                  <c:v>Sustained</c:v>
                </c:pt>
                <c:pt idx="163">
                  <c:v>Sustained</c:v>
                </c:pt>
                <c:pt idx="164">
                  <c:v>Sustained</c:v>
                </c:pt>
                <c:pt idx="165">
                  <c:v>Sustained</c:v>
                </c:pt>
                <c:pt idx="166">
                  <c:v>Sustained</c:v>
                </c:pt>
                <c:pt idx="167">
                  <c:v>Sustained</c:v>
                </c:pt>
                <c:pt idx="168">
                  <c:v>Sustained</c:v>
                </c:pt>
                <c:pt idx="169">
                  <c:v>Sustained</c:v>
                </c:pt>
                <c:pt idx="170">
                  <c:v>Sustained</c:v>
                </c:pt>
                <c:pt idx="171">
                  <c:v>Sustained</c:v>
                </c:pt>
                <c:pt idx="172">
                  <c:v>Sustained</c:v>
                </c:pt>
                <c:pt idx="173">
                  <c:v>Sustained</c:v>
                </c:pt>
                <c:pt idx="174">
                  <c:v>Sustained</c:v>
                </c:pt>
                <c:pt idx="175">
                  <c:v>Sustained</c:v>
                </c:pt>
                <c:pt idx="176">
                  <c:v>Sustained</c:v>
                </c:pt>
                <c:pt idx="177">
                  <c:v>Sustained</c:v>
                </c:pt>
                <c:pt idx="178">
                  <c:v>Sustained</c:v>
                </c:pt>
                <c:pt idx="179">
                  <c:v>Sustained</c:v>
                </c:pt>
                <c:pt idx="180">
                  <c:v>Sustained</c:v>
                </c:pt>
                <c:pt idx="181">
                  <c:v>Sustained</c:v>
                </c:pt>
                <c:pt idx="182">
                  <c:v>Sustained</c:v>
                </c:pt>
                <c:pt idx="183">
                  <c:v>Sustained</c:v>
                </c:pt>
                <c:pt idx="184">
                  <c:v>Sustained</c:v>
                </c:pt>
                <c:pt idx="185">
                  <c:v>Sustained</c:v>
                </c:pt>
                <c:pt idx="186">
                  <c:v>Sustained</c:v>
                </c:pt>
              </c:strCache>
            </c:strRef>
          </c:xVal>
          <c:yVal>
            <c:numRef>
              <c:f>Sheet1!$B$2:$B$188</c:f>
              <c:numCache>
                <c:formatCode>#,##0</c:formatCode>
                <c:ptCount val="187"/>
                <c:pt idx="0">
                  <c:v>21342.171539999999</c:v>
                </c:pt>
                <c:pt idx="1">
                  <c:v>16849.615180000001</c:v>
                </c:pt>
                <c:pt idx="2">
                  <c:v>12535.851629999999</c:v>
                </c:pt>
                <c:pt idx="3">
                  <c:v>10234.5245</c:v>
                </c:pt>
                <c:pt idx="4">
                  <c:v>10168.24242</c:v>
                </c:pt>
                <c:pt idx="5">
                  <c:v>10098.94601</c:v>
                </c:pt>
                <c:pt idx="6">
                  <c:v>9131.0055599999996</c:v>
                </c:pt>
                <c:pt idx="7">
                  <c:v>9087.5872500000005</c:v>
                </c:pt>
                <c:pt idx="8">
                  <c:v>8718.7555400000001</c:v>
                </c:pt>
                <c:pt idx="9">
                  <c:v>6689.9214499999998</c:v>
                </c:pt>
                <c:pt idx="10">
                  <c:v>6315.9271900000003</c:v>
                </c:pt>
                <c:pt idx="11">
                  <c:v>40188.172910000001</c:v>
                </c:pt>
                <c:pt idx="12">
                  <c:v>28352.076949999999</c:v>
                </c:pt>
                <c:pt idx="13">
                  <c:v>26262.222949999999</c:v>
                </c:pt>
                <c:pt idx="14">
                  <c:v>23931.91849</c:v>
                </c:pt>
                <c:pt idx="15">
                  <c:v>20082.005529999999</c:v>
                </c:pt>
                <c:pt idx="16">
                  <c:v>19441.171409999999</c:v>
                </c:pt>
                <c:pt idx="17">
                  <c:v>16393.792160000001</c:v>
                </c:pt>
                <c:pt idx="18">
                  <c:v>16178.745989999999</c:v>
                </c:pt>
                <c:pt idx="19">
                  <c:v>15875.65797</c:v>
                </c:pt>
                <c:pt idx="20">
                  <c:v>15256.608840000001</c:v>
                </c:pt>
                <c:pt idx="21">
                  <c:v>14880.367200000001</c:v>
                </c:pt>
                <c:pt idx="22">
                  <c:v>14579.36903</c:v>
                </c:pt>
                <c:pt idx="23">
                  <c:v>12328.69817</c:v>
                </c:pt>
                <c:pt idx="24">
                  <c:v>12036.13055</c:v>
                </c:pt>
                <c:pt idx="25">
                  <c:v>11913.077219999999</c:v>
                </c:pt>
                <c:pt idx="26">
                  <c:v>11853.5252</c:v>
                </c:pt>
                <c:pt idx="27">
                  <c:v>11824.04299</c:v>
                </c:pt>
                <c:pt idx="28">
                  <c:v>11164.757509999999</c:v>
                </c:pt>
                <c:pt idx="29">
                  <c:v>11101.25347</c:v>
                </c:pt>
                <c:pt idx="30">
                  <c:v>11028.70275</c:v>
                </c:pt>
                <c:pt idx="31">
                  <c:v>10531.27108</c:v>
                </c:pt>
                <c:pt idx="32">
                  <c:v>10403.974389999999</c:v>
                </c:pt>
                <c:pt idx="33">
                  <c:v>9863.2723999999998</c:v>
                </c:pt>
                <c:pt idx="34">
                  <c:v>9568.6426800000008</c:v>
                </c:pt>
                <c:pt idx="35">
                  <c:v>9381.8360900000007</c:v>
                </c:pt>
                <c:pt idx="36">
                  <c:v>9134.4548799999993</c:v>
                </c:pt>
                <c:pt idx="37">
                  <c:v>8998.5815399999992</c:v>
                </c:pt>
                <c:pt idx="38">
                  <c:v>8771.0440099999996</c:v>
                </c:pt>
                <c:pt idx="39">
                  <c:v>8502.7472199999993</c:v>
                </c:pt>
                <c:pt idx="40">
                  <c:v>8362.3379399999994</c:v>
                </c:pt>
                <c:pt idx="41">
                  <c:v>8322.5504700000001</c:v>
                </c:pt>
                <c:pt idx="42">
                  <c:v>8064.9234800000004</c:v>
                </c:pt>
                <c:pt idx="43">
                  <c:v>8025.6740300000001</c:v>
                </c:pt>
                <c:pt idx="44">
                  <c:v>7901.0733099999998</c:v>
                </c:pt>
                <c:pt idx="45">
                  <c:v>7831.0117399999999</c:v>
                </c:pt>
                <c:pt idx="46">
                  <c:v>7434.5000200000004</c:v>
                </c:pt>
                <c:pt idx="47">
                  <c:v>7303.8152099999998</c:v>
                </c:pt>
                <c:pt idx="48">
                  <c:v>7246.4560799999999</c:v>
                </c:pt>
                <c:pt idx="49">
                  <c:v>6981.4131200000002</c:v>
                </c:pt>
                <c:pt idx="50">
                  <c:v>6958.8703400000004</c:v>
                </c:pt>
                <c:pt idx="51">
                  <c:v>6890.0967499999997</c:v>
                </c:pt>
                <c:pt idx="52">
                  <c:v>6805.0098200000002</c:v>
                </c:pt>
                <c:pt idx="53">
                  <c:v>6704.3950000000004</c:v>
                </c:pt>
                <c:pt idx="54">
                  <c:v>6475.88418</c:v>
                </c:pt>
                <c:pt idx="55">
                  <c:v>6349.3390399999998</c:v>
                </c:pt>
                <c:pt idx="56">
                  <c:v>6284.6996399999998</c:v>
                </c:pt>
                <c:pt idx="57">
                  <c:v>6189.6655600000004</c:v>
                </c:pt>
                <c:pt idx="58">
                  <c:v>6148.47829</c:v>
                </c:pt>
                <c:pt idx="59">
                  <c:v>6037.3951100000004</c:v>
                </c:pt>
                <c:pt idx="60">
                  <c:v>5887.3018899999997</c:v>
                </c:pt>
                <c:pt idx="61">
                  <c:v>5798.1824699999997</c:v>
                </c:pt>
                <c:pt idx="62">
                  <c:v>5772.1480700000002</c:v>
                </c:pt>
                <c:pt idx="63">
                  <c:v>5769.3113800000001</c:v>
                </c:pt>
                <c:pt idx="64">
                  <c:v>5746.6043799999998</c:v>
                </c:pt>
                <c:pt idx="65">
                  <c:v>5692.5867099999996</c:v>
                </c:pt>
                <c:pt idx="66">
                  <c:v>5668.0380400000004</c:v>
                </c:pt>
                <c:pt idx="67">
                  <c:v>5634.9618300000002</c:v>
                </c:pt>
                <c:pt idx="68">
                  <c:v>5513.6419500000002</c:v>
                </c:pt>
                <c:pt idx="69">
                  <c:v>5442.5051800000001</c:v>
                </c:pt>
                <c:pt idx="70">
                  <c:v>5417.1343200000001</c:v>
                </c:pt>
                <c:pt idx="71">
                  <c:v>5349.5887199999997</c:v>
                </c:pt>
                <c:pt idx="72">
                  <c:v>5343.9960000000001</c:v>
                </c:pt>
                <c:pt idx="73">
                  <c:v>5214.0470599999999</c:v>
                </c:pt>
                <c:pt idx="74">
                  <c:v>5213.26973</c:v>
                </c:pt>
                <c:pt idx="75">
                  <c:v>5162.8971600000004</c:v>
                </c:pt>
                <c:pt idx="76">
                  <c:v>5162.6483099999996</c:v>
                </c:pt>
                <c:pt idx="77">
                  <c:v>5000.9638199999999</c:v>
                </c:pt>
                <c:pt idx="78">
                  <c:v>4977.1371399999998</c:v>
                </c:pt>
                <c:pt idx="79">
                  <c:v>4912.3944300000003</c:v>
                </c:pt>
                <c:pt idx="80">
                  <c:v>4897.3396899999998</c:v>
                </c:pt>
                <c:pt idx="81">
                  <c:v>4891.0389500000001</c:v>
                </c:pt>
                <c:pt idx="82">
                  <c:v>4787.0499900000004</c:v>
                </c:pt>
                <c:pt idx="83">
                  <c:v>4775.5968999999996</c:v>
                </c:pt>
                <c:pt idx="84">
                  <c:v>4712.9126900000001</c:v>
                </c:pt>
                <c:pt idx="85">
                  <c:v>4659.1741000000002</c:v>
                </c:pt>
                <c:pt idx="86">
                  <c:v>4647.7143999999998</c:v>
                </c:pt>
                <c:pt idx="87">
                  <c:v>4456.1095999999998</c:v>
                </c:pt>
                <c:pt idx="88">
                  <c:v>4413.0663100000002</c:v>
                </c:pt>
                <c:pt idx="89">
                  <c:v>4294.9424600000002</c:v>
                </c:pt>
                <c:pt idx="90">
                  <c:v>4261.1755199999998</c:v>
                </c:pt>
                <c:pt idx="91">
                  <c:v>4240.5293799999999</c:v>
                </c:pt>
                <c:pt idx="92">
                  <c:v>3888.51314</c:v>
                </c:pt>
                <c:pt idx="93">
                  <c:v>3692.99656</c:v>
                </c:pt>
                <c:pt idx="94">
                  <c:v>3604.7684599999998</c:v>
                </c:pt>
                <c:pt idx="95">
                  <c:v>3525.44661</c:v>
                </c:pt>
                <c:pt idx="96">
                  <c:v>3349.1475700000001</c:v>
                </c:pt>
                <c:pt idx="97">
                  <c:v>3323.36778</c:v>
                </c:pt>
                <c:pt idx="98">
                  <c:v>3128.5542</c:v>
                </c:pt>
                <c:pt idx="99">
                  <c:v>2968.13861</c:v>
                </c:pt>
                <c:pt idx="100">
                  <c:v>2717.1980600000002</c:v>
                </c:pt>
                <c:pt idx="101">
                  <c:v>1952.40191</c:v>
                </c:pt>
                <c:pt idx="102">
                  <c:v>1426.1203</c:v>
                </c:pt>
                <c:pt idx="103">
                  <c:v>47.781739999999999</c:v>
                </c:pt>
                <c:pt idx="104">
                  <c:v>5875.5838000000003</c:v>
                </c:pt>
                <c:pt idx="105">
                  <c:v>5440.2776299999996</c:v>
                </c:pt>
                <c:pt idx="106">
                  <c:v>5354.0741399999997</c:v>
                </c:pt>
                <c:pt idx="107">
                  <c:v>5298.1379299999999</c:v>
                </c:pt>
                <c:pt idx="108">
                  <c:v>5266.4808700000003</c:v>
                </c:pt>
                <c:pt idx="109">
                  <c:v>5146.3157000000001</c:v>
                </c:pt>
                <c:pt idx="110">
                  <c:v>5048.6347599999999</c:v>
                </c:pt>
                <c:pt idx="111">
                  <c:v>4992.9201000000003</c:v>
                </c:pt>
                <c:pt idx="112">
                  <c:v>4972.6333999999997</c:v>
                </c:pt>
                <c:pt idx="113">
                  <c:v>4874.6441100000002</c:v>
                </c:pt>
                <c:pt idx="114">
                  <c:v>4790.8</c:v>
                </c:pt>
                <c:pt idx="115">
                  <c:v>4693.51674</c:v>
                </c:pt>
                <c:pt idx="116">
                  <c:v>4434.6613799999996</c:v>
                </c:pt>
                <c:pt idx="117">
                  <c:v>4414.3122499999999</c:v>
                </c:pt>
                <c:pt idx="118">
                  <c:v>4385.2977099999998</c:v>
                </c:pt>
                <c:pt idx="119">
                  <c:v>4376.1250600000003</c:v>
                </c:pt>
                <c:pt idx="120">
                  <c:v>4347.6766799999996</c:v>
                </c:pt>
                <c:pt idx="121">
                  <c:v>4213.4356399999997</c:v>
                </c:pt>
                <c:pt idx="122">
                  <c:v>4197.4111999999996</c:v>
                </c:pt>
                <c:pt idx="123">
                  <c:v>4183.6495299999997</c:v>
                </c:pt>
                <c:pt idx="124">
                  <c:v>4180.78838</c:v>
                </c:pt>
                <c:pt idx="125">
                  <c:v>4117.1397500000003</c:v>
                </c:pt>
                <c:pt idx="126">
                  <c:v>4051.5539699999999</c:v>
                </c:pt>
                <c:pt idx="127">
                  <c:v>4023.4333000000001</c:v>
                </c:pt>
                <c:pt idx="128">
                  <c:v>3960.3798299999999</c:v>
                </c:pt>
                <c:pt idx="129">
                  <c:v>3885.59987</c:v>
                </c:pt>
                <c:pt idx="130">
                  <c:v>3806.8597599999998</c:v>
                </c:pt>
                <c:pt idx="131">
                  <c:v>3751.77304</c:v>
                </c:pt>
                <c:pt idx="132">
                  <c:v>3708.0861399999999</c:v>
                </c:pt>
                <c:pt idx="133">
                  <c:v>3571.0214500000002</c:v>
                </c:pt>
                <c:pt idx="134">
                  <c:v>3471.0471200000002</c:v>
                </c:pt>
                <c:pt idx="135">
                  <c:v>3453.1457799999998</c:v>
                </c:pt>
                <c:pt idx="136">
                  <c:v>3453.12878</c:v>
                </c:pt>
                <c:pt idx="137">
                  <c:v>3452.07861</c:v>
                </c:pt>
                <c:pt idx="138">
                  <c:v>3328.8343300000001</c:v>
                </c:pt>
                <c:pt idx="139">
                  <c:v>3295.1066700000001</c:v>
                </c:pt>
                <c:pt idx="140">
                  <c:v>3290.0067399999998</c:v>
                </c:pt>
                <c:pt idx="141">
                  <c:v>3282.1750400000001</c:v>
                </c:pt>
                <c:pt idx="142">
                  <c:v>3253.0932499999999</c:v>
                </c:pt>
                <c:pt idx="143">
                  <c:v>3246.7431200000001</c:v>
                </c:pt>
                <c:pt idx="144">
                  <c:v>3230.9216299999998</c:v>
                </c:pt>
                <c:pt idx="145">
                  <c:v>3201.2722600000002</c:v>
                </c:pt>
                <c:pt idx="146">
                  <c:v>3165.9092900000001</c:v>
                </c:pt>
                <c:pt idx="147">
                  <c:v>3103.6300299999998</c:v>
                </c:pt>
                <c:pt idx="148">
                  <c:v>3072.3222999999998</c:v>
                </c:pt>
                <c:pt idx="149">
                  <c:v>3059.6804099999999</c:v>
                </c:pt>
                <c:pt idx="150">
                  <c:v>3000.66867</c:v>
                </c:pt>
                <c:pt idx="151">
                  <c:v>3000.3338800000001</c:v>
                </c:pt>
                <c:pt idx="152">
                  <c:v>2996.3670400000001</c:v>
                </c:pt>
                <c:pt idx="153">
                  <c:v>2995.8126699999998</c:v>
                </c:pt>
                <c:pt idx="154">
                  <c:v>2950.1457500000001</c:v>
                </c:pt>
                <c:pt idx="155">
                  <c:v>2904.3190399999999</c:v>
                </c:pt>
                <c:pt idx="156">
                  <c:v>2829.5440800000001</c:v>
                </c:pt>
                <c:pt idx="157">
                  <c:v>2804.1624499999998</c:v>
                </c:pt>
                <c:pt idx="158">
                  <c:v>2796.9453600000002</c:v>
                </c:pt>
                <c:pt idx="159">
                  <c:v>2728.1369199999999</c:v>
                </c:pt>
                <c:pt idx="160">
                  <c:v>2487.3240900000001</c:v>
                </c:pt>
                <c:pt idx="161">
                  <c:v>2475.1248300000002</c:v>
                </c:pt>
                <c:pt idx="162">
                  <c:v>2465.7285499999998</c:v>
                </c:pt>
                <c:pt idx="163">
                  <c:v>2417.6680500000002</c:v>
                </c:pt>
                <c:pt idx="164">
                  <c:v>2310.38796</c:v>
                </c:pt>
                <c:pt idx="165">
                  <c:v>2209.1871500000002</c:v>
                </c:pt>
                <c:pt idx="166">
                  <c:v>2208.95577</c:v>
                </c:pt>
                <c:pt idx="167">
                  <c:v>2145.8076700000001</c:v>
                </c:pt>
                <c:pt idx="168">
                  <c:v>2125.78143</c:v>
                </c:pt>
                <c:pt idx="169">
                  <c:v>2096.20885</c:v>
                </c:pt>
                <c:pt idx="170">
                  <c:v>2080.2990500000001</c:v>
                </c:pt>
                <c:pt idx="171">
                  <c:v>1940.27556</c:v>
                </c:pt>
                <c:pt idx="172">
                  <c:v>1922.6700900000001</c:v>
                </c:pt>
                <c:pt idx="173">
                  <c:v>1921.9674600000001</c:v>
                </c:pt>
                <c:pt idx="174">
                  <c:v>1735.43002</c:v>
                </c:pt>
                <c:pt idx="175">
                  <c:v>1710.7744399999999</c:v>
                </c:pt>
                <c:pt idx="176">
                  <c:v>1632.2094199999999</c:v>
                </c:pt>
                <c:pt idx="177">
                  <c:v>1523.4996100000001</c:v>
                </c:pt>
                <c:pt idx="178">
                  <c:v>1319.70424</c:v>
                </c:pt>
                <c:pt idx="179">
                  <c:v>1276.1523999999999</c:v>
                </c:pt>
                <c:pt idx="180">
                  <c:v>1254.0804000000001</c:v>
                </c:pt>
                <c:pt idx="181">
                  <c:v>1249.7132300000001</c:v>
                </c:pt>
                <c:pt idx="182">
                  <c:v>1230.9756199999999</c:v>
                </c:pt>
                <c:pt idx="183">
                  <c:v>1130.65942</c:v>
                </c:pt>
                <c:pt idx="184">
                  <c:v>986.83010000000002</c:v>
                </c:pt>
                <c:pt idx="185">
                  <c:v>801.71096</c:v>
                </c:pt>
                <c:pt idx="186">
                  <c:v>615.61208999999997</c:v>
                </c:pt>
              </c:numCache>
            </c:numRef>
          </c:yVal>
          <c:smooth val="0"/>
          <c:extLst>
            <c:ext xmlns:c16="http://schemas.microsoft.com/office/drawing/2014/chart" uri="{C3380CC4-5D6E-409C-BE32-E72D297353CC}">
              <c16:uniqueId val="{00000000-30F7-4788-800B-A0D2D5900DBB}"/>
            </c:ext>
          </c:extLst>
        </c:ser>
        <c:dLbls>
          <c:showLegendKey val="0"/>
          <c:showVal val="0"/>
          <c:showCatName val="0"/>
          <c:showSerName val="0"/>
          <c:showPercent val="0"/>
          <c:showBubbleSize val="0"/>
        </c:dLbls>
        <c:axId val="449438488"/>
        <c:axId val="449438816"/>
      </c:scatterChart>
      <c:valAx>
        <c:axId val="449438488"/>
        <c:scaling>
          <c:orientation val="minMax"/>
          <c:max val="190"/>
          <c:min val="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9438816"/>
        <c:crosses val="autoZero"/>
        <c:crossBetween val="midCat"/>
      </c:valAx>
      <c:valAx>
        <c:axId val="44943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a:t>Annual Incidence among 15-49</a:t>
                </a:r>
              </a:p>
            </c:rich>
          </c:tx>
          <c:layout>
            <c:manualLayout>
              <c:xMode val="edge"/>
              <c:yMode val="edge"/>
              <c:x val="2.7688475239887229E-2"/>
              <c:y val="0.12624596925384324"/>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943848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944347303121774E-2"/>
          <c:y val="8.6416963836967176E-2"/>
          <c:w val="0.89154121921810137"/>
          <c:h val="0.70250149582366028"/>
        </c:manualLayout>
      </c:layout>
      <c:lineChart>
        <c:grouping val="standard"/>
        <c:varyColors val="0"/>
        <c:ser>
          <c:idx val="0"/>
          <c:order val="0"/>
          <c:tx>
            <c:strRef>
              <c:f>Sheet1!$B$1</c:f>
              <c:strCache>
                <c:ptCount val="1"/>
                <c:pt idx="0">
                  <c:v>SQ</c:v>
                </c:pt>
              </c:strCache>
            </c:strRef>
          </c:tx>
          <c:spPr>
            <a:ln w="57150" cap="rnd">
              <a:solidFill>
                <a:schemeClr val="bg2">
                  <a:lumMod val="75000"/>
                </a:schemeClr>
              </a:solidFill>
              <a:round/>
            </a:ln>
            <a:effectLst/>
          </c:spPr>
          <c:marker>
            <c:symbol val="none"/>
          </c:marker>
          <c:dPt>
            <c:idx val="10"/>
            <c:marker>
              <c:symbol val="none"/>
            </c:marker>
            <c:bubble3D val="0"/>
            <c:extLst>
              <c:ext xmlns:c16="http://schemas.microsoft.com/office/drawing/2014/chart" uri="{C3380CC4-5D6E-409C-BE32-E72D297353CC}">
                <c16:uniqueId val="{00000000-3F87-4E9D-8A39-E275FF6B4530}"/>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extLst/>
            </c:numRef>
          </c:val>
          <c:smooth val="0"/>
          <c:extLst>
            <c:ext xmlns:c16="http://schemas.microsoft.com/office/drawing/2014/chart" uri="{C3380CC4-5D6E-409C-BE32-E72D297353CC}">
              <c16:uniqueId val="{00000001-3F87-4E9D-8A39-E275FF6B4530}"/>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NS</c:v>
                      </c:pt>
                    </c:strCache>
                  </c:strRef>
                </c:tx>
                <c:spPr>
                  <a:ln w="57150" cap="rnd">
                    <a:solidFill>
                      <a:schemeClr val="accent2"/>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Sheet1!$C$2:$C$14</c15:sqref>
                        </c15:formulaRef>
                      </c:ext>
                    </c:extLst>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numRef>
                </c:val>
                <c:smooth val="0"/>
                <c:extLst>
                  <c:ext xmlns:c16="http://schemas.microsoft.com/office/drawing/2014/chart" uri="{C3380CC4-5D6E-409C-BE32-E72D297353CC}">
                    <c16:uniqueId val="{00000002-3F87-4E9D-8A39-E275FF6B453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O-SQF</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Sheet1!$D$2:$D$14</c15:sqref>
                        </c15:formulaRef>
                      </c:ext>
                    </c:extLst>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numRef>
                </c:val>
                <c:smooth val="0"/>
                <c:extLst xmlns:c15="http://schemas.microsoft.com/office/drawing/2012/chart">
                  <c:ext xmlns:c16="http://schemas.microsoft.com/office/drawing/2014/chart" uri="{C3380CC4-5D6E-409C-BE32-E72D297353CC}">
                    <c16:uniqueId val="{00000003-3F87-4E9D-8A39-E275FF6B453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numRef>
                </c:val>
                <c:smooth val="0"/>
                <c:extLst xmlns:c15="http://schemas.microsoft.com/office/drawing/2012/chart">
                  <c:ext xmlns:c16="http://schemas.microsoft.com/office/drawing/2014/chart" uri="{C3380CC4-5D6E-409C-BE32-E72D297353CC}">
                    <c16:uniqueId val="{00000004-3F87-4E9D-8A39-E275FF6B453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numRef>
                </c:val>
                <c:smooth val="0"/>
                <c:extLst xmlns:c15="http://schemas.microsoft.com/office/drawing/2012/chart">
                  <c:ext xmlns:c16="http://schemas.microsoft.com/office/drawing/2014/chart" uri="{C3380CC4-5D6E-409C-BE32-E72D297353CC}">
                    <c16:uniqueId val="{00000005-3F87-4E9D-8A39-E275FF6B4530}"/>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SQ</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31106</c:v>
                </c:pt>
                <c:pt idx="1">
                  <c:v>28322</c:v>
                </c:pt>
                <c:pt idx="2">
                  <c:v>26525</c:v>
                </c:pt>
                <c:pt idx="3">
                  <c:v>28547</c:v>
                </c:pt>
                <c:pt idx="4">
                  <c:v>31036</c:v>
                </c:pt>
                <c:pt idx="5">
                  <c:v>33066</c:v>
                </c:pt>
                <c:pt idx="6">
                  <c:v>34708</c:v>
                </c:pt>
                <c:pt idx="7">
                  <c:v>35960</c:v>
                </c:pt>
                <c:pt idx="8">
                  <c:v>36864</c:v>
                </c:pt>
                <c:pt idx="9">
                  <c:v>37500</c:v>
                </c:pt>
                <c:pt idx="10">
                  <c:v>37982</c:v>
                </c:pt>
                <c:pt idx="11">
                  <c:v>38682</c:v>
                </c:pt>
                <c:pt idx="12">
                  <c:v>38588</c:v>
                </c:pt>
              </c:numCache>
            </c:numRef>
          </c:val>
          <c:smooth val="0"/>
          <c:extLst>
            <c:ext xmlns:c16="http://schemas.microsoft.com/office/drawing/2014/chart" uri="{C3380CC4-5D6E-409C-BE32-E72D297353CC}">
              <c16:uniqueId val="{00000000-BAFF-4362-B689-62CAD161139F}"/>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National strategy</c:v>
                      </c:pt>
                    </c:strCache>
                  </c:strRef>
                </c:tx>
                <c:spPr>
                  <a:ln w="28575" cap="rnd">
                    <a:solidFill>
                      <a:schemeClr val="accent2"/>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Sheet1!$C$2:$C$14</c15:sqref>
                        </c15:formulaRef>
                      </c:ext>
                    </c:extLst>
                    <c:numCache>
                      <c:formatCode>#,##0</c:formatCode>
                      <c:ptCount val="13"/>
                      <c:pt idx="0">
                        <c:v>31106</c:v>
                      </c:pt>
                      <c:pt idx="1">
                        <c:v>28314</c:v>
                      </c:pt>
                      <c:pt idx="2">
                        <c:v>23924</c:v>
                      </c:pt>
                      <c:pt idx="3">
                        <c:v>19858</c:v>
                      </c:pt>
                      <c:pt idx="4">
                        <c:v>18499</c:v>
                      </c:pt>
                      <c:pt idx="5">
                        <c:v>18012</c:v>
                      </c:pt>
                      <c:pt idx="6">
                        <c:v>17574</c:v>
                      </c:pt>
                      <c:pt idx="7">
                        <c:v>17079</c:v>
                      </c:pt>
                      <c:pt idx="8">
                        <c:v>16558</c:v>
                      </c:pt>
                      <c:pt idx="9">
                        <c:v>16009</c:v>
                      </c:pt>
                      <c:pt idx="10">
                        <c:v>15385</c:v>
                      </c:pt>
                      <c:pt idx="11">
                        <c:v>14675</c:v>
                      </c:pt>
                      <c:pt idx="12">
                        <c:v>13831</c:v>
                      </c:pt>
                    </c:numCache>
                  </c:numRef>
                </c:val>
                <c:smooth val="0"/>
                <c:extLst>
                  <c:ext xmlns:c16="http://schemas.microsoft.com/office/drawing/2014/chart" uri="{C3380CC4-5D6E-409C-BE32-E72D297353CC}">
                    <c16:uniqueId val="{00000001-BAFF-4362-B689-62CAD161139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Optimized</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Sheet1!$D$2:$D$14</c15:sqref>
                        </c15:formulaRef>
                      </c:ext>
                    </c:extLst>
                    <c:numCache>
                      <c:formatCode>#,##0</c:formatCode>
                      <c:ptCount val="13"/>
                      <c:pt idx="0">
                        <c:v>31106</c:v>
                      </c:pt>
                      <c:pt idx="1">
                        <c:v>28333</c:v>
                      </c:pt>
                      <c:pt idx="2">
                        <c:v>23973</c:v>
                      </c:pt>
                      <c:pt idx="3">
                        <c:v>19906</c:v>
                      </c:pt>
                      <c:pt idx="4">
                        <c:v>18527</c:v>
                      </c:pt>
                      <c:pt idx="5">
                        <c:v>18024</c:v>
                      </c:pt>
                      <c:pt idx="6">
                        <c:v>17579</c:v>
                      </c:pt>
                      <c:pt idx="7">
                        <c:v>17076</c:v>
                      </c:pt>
                      <c:pt idx="8">
                        <c:v>16545</c:v>
                      </c:pt>
                      <c:pt idx="9">
                        <c:v>15985</c:v>
                      </c:pt>
                      <c:pt idx="10">
                        <c:v>15351</c:v>
                      </c:pt>
                      <c:pt idx="11">
                        <c:v>14633</c:v>
                      </c:pt>
                      <c:pt idx="12">
                        <c:v>13784</c:v>
                      </c:pt>
                    </c:numCache>
                  </c:numRef>
                </c:val>
                <c:smooth val="0"/>
                <c:extLst xmlns:c15="http://schemas.microsoft.com/office/drawing/2012/chart">
                  <c:ext xmlns:c16="http://schemas.microsoft.com/office/drawing/2014/chart" uri="{C3380CC4-5D6E-409C-BE32-E72D297353CC}">
                    <c16:uniqueId val="{00000002-BAFF-4362-B689-62CAD161139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Dec Donor$</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31106</c:v>
                      </c:pt>
                      <c:pt idx="1">
                        <c:v>28333</c:v>
                      </c:pt>
                      <c:pt idx="2">
                        <c:v>23973</c:v>
                      </c:pt>
                      <c:pt idx="3">
                        <c:v>20067</c:v>
                      </c:pt>
                      <c:pt idx="4">
                        <c:v>19643</c:v>
                      </c:pt>
                      <c:pt idx="5">
                        <c:v>21430</c:v>
                      </c:pt>
                      <c:pt idx="6">
                        <c:v>24449</c:v>
                      </c:pt>
                      <c:pt idx="7">
                        <c:v>27976</c:v>
                      </c:pt>
                      <c:pt idx="8">
                        <c:v>31389</c:v>
                      </c:pt>
                      <c:pt idx="9">
                        <c:v>34142</c:v>
                      </c:pt>
                      <c:pt idx="10">
                        <c:v>36161</c:v>
                      </c:pt>
                      <c:pt idx="11">
                        <c:v>37610</c:v>
                      </c:pt>
                      <c:pt idx="12">
                        <c:v>38653</c:v>
                      </c:pt>
                    </c:numCache>
                  </c:numRef>
                </c:val>
                <c:smooth val="0"/>
                <c:extLst xmlns:c15="http://schemas.microsoft.com/office/drawing/2012/chart">
                  <c:ext xmlns:c16="http://schemas.microsoft.com/office/drawing/2014/chart" uri="{C3380CC4-5D6E-409C-BE32-E72D297353CC}">
                    <c16:uniqueId val="{00000003-BAFF-4362-B689-62CAD161139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GOT$</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31106</c:v>
                      </c:pt>
                      <c:pt idx="1">
                        <c:v>28333</c:v>
                      </c:pt>
                      <c:pt idx="2">
                        <c:v>23973</c:v>
                      </c:pt>
                      <c:pt idx="3">
                        <c:v>19927</c:v>
                      </c:pt>
                      <c:pt idx="4">
                        <c:v>18574</c:v>
                      </c:pt>
                      <c:pt idx="5">
                        <c:v>18078</c:v>
                      </c:pt>
                      <c:pt idx="6">
                        <c:v>17621</c:v>
                      </c:pt>
                      <c:pt idx="7">
                        <c:v>17097</c:v>
                      </c:pt>
                      <c:pt idx="8">
                        <c:v>16542</c:v>
                      </c:pt>
                      <c:pt idx="9">
                        <c:v>15960</c:v>
                      </c:pt>
                      <c:pt idx="10">
                        <c:v>15307</c:v>
                      </c:pt>
                      <c:pt idx="11">
                        <c:v>14579</c:v>
                      </c:pt>
                      <c:pt idx="12">
                        <c:v>13728</c:v>
                      </c:pt>
                    </c:numCache>
                  </c:numRef>
                </c:val>
                <c:smooth val="0"/>
                <c:extLst xmlns:c15="http://schemas.microsoft.com/office/drawing/2012/chart">
                  <c:ext xmlns:c16="http://schemas.microsoft.com/office/drawing/2014/chart" uri="{C3380CC4-5D6E-409C-BE32-E72D297353CC}">
                    <c16:uniqueId val="{00000004-BAFF-4362-B689-62CAD161139F}"/>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New Infections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1"/>
                <c:pt idx="0">
                  <c:v>Constant Coverage</c:v>
                </c:pt>
              </c:strCache>
            </c:strRef>
          </c:cat>
          <c:val>
            <c:numRef>
              <c:f>Sheet1!$B$2:$F$2</c:f>
              <c:numCache>
                <c:formatCode>0%</c:formatCode>
                <c:ptCount val="1"/>
                <c:pt idx="0">
                  <c:v>0.55140831499193654</c:v>
                </c:pt>
              </c:numCache>
            </c:numRef>
          </c:val>
          <c:extLst>
            <c:ext xmlns:c16="http://schemas.microsoft.com/office/drawing/2014/chart" uri="{C3380CC4-5D6E-409C-BE32-E72D297353CC}">
              <c16:uniqueId val="{00000000-9471-4BE4-ACED-12F11D0DEFF2}"/>
            </c:ext>
          </c:extLst>
        </c:ser>
        <c:ser>
          <c:idx val="1"/>
          <c:order val="1"/>
          <c:tx>
            <c:strRef>
              <c:f>Sheet1!$A$3</c:f>
              <c:strCache>
                <c:ptCount val="1"/>
                <c:pt idx="0">
                  <c:v>AIDS Deaths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1"/>
                <c:pt idx="0">
                  <c:v>Constant Coverage</c:v>
                </c:pt>
              </c:strCache>
            </c:strRef>
          </c:cat>
          <c:val>
            <c:numRef>
              <c:f>Sheet1!$B$3:$F$3</c:f>
              <c:numCache>
                <c:formatCode>0%</c:formatCode>
                <c:ptCount val="1"/>
                <c:pt idx="0">
                  <c:v>0.52567790151682769</c:v>
                </c:pt>
              </c:numCache>
            </c:numRef>
          </c:val>
          <c:extLst>
            <c:ext xmlns:c16="http://schemas.microsoft.com/office/drawing/2014/chart" uri="{C3380CC4-5D6E-409C-BE32-E72D297353CC}">
              <c16:uniqueId val="{00000001-9471-4BE4-ACED-12F11D0DEFF2}"/>
            </c:ext>
          </c:extLst>
        </c:ser>
        <c:dLbls>
          <c:dLblPos val="outEnd"/>
          <c:showLegendKey val="0"/>
          <c:showVal val="1"/>
          <c:showCatName val="0"/>
          <c:showSerName val="0"/>
          <c:showPercent val="0"/>
          <c:showBubbleSize val="0"/>
        </c:dLbls>
        <c:gapWidth val="100"/>
        <c:overlap val="-27"/>
        <c:axId val="679893512"/>
        <c:axId val="679895480"/>
      </c:barChart>
      <c:catAx>
        <c:axId val="679893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79895480"/>
        <c:crosses val="autoZero"/>
        <c:auto val="1"/>
        <c:lblAlgn val="ctr"/>
        <c:lblOffset val="100"/>
        <c:noMultiLvlLbl val="0"/>
      </c:catAx>
      <c:valAx>
        <c:axId val="679895480"/>
        <c:scaling>
          <c:orientation val="minMax"/>
          <c:max val="1"/>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Reduction from 2010 to 2030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798935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1049105</c:v>
                </c:pt>
                <c:pt idx="1">
                  <c:v>1066053</c:v>
                </c:pt>
                <c:pt idx="2">
                  <c:v>1073806</c:v>
                </c:pt>
                <c:pt idx="3">
                  <c:v>1080955</c:v>
                </c:pt>
                <c:pt idx="4">
                  <c:v>1087087</c:v>
                </c:pt>
                <c:pt idx="5">
                  <c:v>1092000</c:v>
                </c:pt>
                <c:pt idx="6">
                  <c:v>1095714</c:v>
                </c:pt>
                <c:pt idx="7">
                  <c:v>1097753</c:v>
                </c:pt>
                <c:pt idx="8">
                  <c:v>1098951</c:v>
                </c:pt>
                <c:pt idx="9">
                  <c:v>1099667</c:v>
                </c:pt>
                <c:pt idx="10">
                  <c:v>1100350</c:v>
                </c:pt>
                <c:pt idx="11">
                  <c:v>1100963</c:v>
                </c:pt>
                <c:pt idx="12">
                  <c:v>1100835</c:v>
                </c:pt>
              </c:numCache>
            </c:numRef>
          </c:val>
          <c:smooth val="0"/>
          <c:extLst>
            <c:ext xmlns:c16="http://schemas.microsoft.com/office/drawing/2014/chart" uri="{C3380CC4-5D6E-409C-BE32-E72D297353CC}">
              <c16:uniqueId val="{00000000-0CFB-43F6-9BD1-C88B44D40996}"/>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1049105</c:v>
                </c:pt>
                <c:pt idx="1">
                  <c:v>1065532</c:v>
                </c:pt>
                <c:pt idx="2">
                  <c:v>1222137</c:v>
                </c:pt>
                <c:pt idx="3">
                  <c:v>1238467</c:v>
                </c:pt>
                <c:pt idx="4">
                  <c:v>1254562</c:v>
                </c:pt>
                <c:pt idx="5">
                  <c:v>1269673</c:v>
                </c:pt>
                <c:pt idx="6">
                  <c:v>1283613</c:v>
                </c:pt>
                <c:pt idx="7">
                  <c:v>1295597</c:v>
                </c:pt>
                <c:pt idx="8">
                  <c:v>1306489</c:v>
                </c:pt>
                <c:pt idx="9">
                  <c:v>1316623</c:v>
                </c:pt>
                <c:pt idx="10">
                  <c:v>1326512</c:v>
                </c:pt>
                <c:pt idx="11">
                  <c:v>1336063</c:v>
                </c:pt>
                <c:pt idx="12">
                  <c:v>1344300</c:v>
                </c:pt>
              </c:numCache>
            </c:numRef>
          </c:val>
          <c:smooth val="0"/>
          <c:extLst xmlns:c15="http://schemas.microsoft.com/office/drawing/2012/chart">
            <c:ext xmlns:c16="http://schemas.microsoft.com/office/drawing/2014/chart" uri="{C3380CC4-5D6E-409C-BE32-E72D297353CC}">
              <c16:uniqueId val="{00000001-0CFB-43F6-9BD1-C88B44D40996}"/>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O-CCF</c:v>
                      </c:pt>
                    </c:strCache>
                  </c:strRef>
                </c:tx>
                <c:spPr>
                  <a:ln w="28575" cap="rnd">
                    <a:solidFill>
                      <a:schemeClr val="accent3"/>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Sheet1!$D$2:$D$14</c15:sqref>
                        </c15:formulaRef>
                      </c:ext>
                    </c:extLst>
                    <c:numCache>
                      <c:formatCode>#,##0</c:formatCode>
                      <c:ptCount val="13"/>
                      <c:pt idx="0">
                        <c:v>1049105</c:v>
                      </c:pt>
                      <c:pt idx="1">
                        <c:v>1066363</c:v>
                      </c:pt>
                      <c:pt idx="2">
                        <c:v>1224558</c:v>
                      </c:pt>
                      <c:pt idx="3">
                        <c:v>1241480</c:v>
                      </c:pt>
                      <c:pt idx="4">
                        <c:v>1258116</c:v>
                      </c:pt>
                      <c:pt idx="5">
                        <c:v>1273843</c:v>
                      </c:pt>
                      <c:pt idx="6">
                        <c:v>1288482</c:v>
                      </c:pt>
                      <c:pt idx="7">
                        <c:v>1301242</c:v>
                      </c:pt>
                      <c:pt idx="8">
                        <c:v>1312978</c:v>
                      </c:pt>
                      <c:pt idx="9">
                        <c:v>1324016</c:v>
                      </c:pt>
                      <c:pt idx="10">
                        <c:v>1334874</c:v>
                      </c:pt>
                      <c:pt idx="11">
                        <c:v>1345457</c:v>
                      </c:pt>
                      <c:pt idx="12">
                        <c:v>1354781</c:v>
                      </c:pt>
                    </c:numCache>
                  </c:numRef>
                </c:val>
                <c:smooth val="0"/>
                <c:extLst>
                  <c:ext xmlns:c16="http://schemas.microsoft.com/office/drawing/2014/chart" uri="{C3380CC4-5D6E-409C-BE32-E72D297353CC}">
                    <c16:uniqueId val="{00000002-0CFB-43F6-9BD1-C88B44D4099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1049105</c:v>
                      </c:pt>
                      <c:pt idx="1">
                        <c:v>1066363</c:v>
                      </c:pt>
                      <c:pt idx="2">
                        <c:v>1224558</c:v>
                      </c:pt>
                      <c:pt idx="3">
                        <c:v>1209933</c:v>
                      </c:pt>
                      <c:pt idx="4">
                        <c:v>1196590</c:v>
                      </c:pt>
                      <c:pt idx="5">
                        <c:v>1183118</c:v>
                      </c:pt>
                      <c:pt idx="6">
                        <c:v>1168615</c:v>
                      </c:pt>
                      <c:pt idx="7">
                        <c:v>1152104</c:v>
                      </c:pt>
                      <c:pt idx="8">
                        <c:v>1134505</c:v>
                      </c:pt>
                      <c:pt idx="9">
                        <c:v>1116642</c:v>
                      </c:pt>
                      <c:pt idx="10">
                        <c:v>1099532</c:v>
                      </c:pt>
                      <c:pt idx="11">
                        <c:v>1083665</c:v>
                      </c:pt>
                      <c:pt idx="12">
                        <c:v>1068856</c:v>
                      </c:pt>
                    </c:numCache>
                  </c:numRef>
                </c:val>
                <c:smooth val="0"/>
                <c:extLst xmlns:c15="http://schemas.microsoft.com/office/drawing/2012/chart">
                  <c:ext xmlns:c16="http://schemas.microsoft.com/office/drawing/2014/chart" uri="{C3380CC4-5D6E-409C-BE32-E72D297353CC}">
                    <c16:uniqueId val="{00000003-0CFB-43F6-9BD1-C88B44D4099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1049105</c:v>
                      </c:pt>
                      <c:pt idx="1">
                        <c:v>1066363</c:v>
                      </c:pt>
                      <c:pt idx="2">
                        <c:v>1224558</c:v>
                      </c:pt>
                      <c:pt idx="3">
                        <c:v>1242467</c:v>
                      </c:pt>
                      <c:pt idx="4">
                        <c:v>1260347</c:v>
                      </c:pt>
                      <c:pt idx="5">
                        <c:v>1277478</c:v>
                      </c:pt>
                      <c:pt idx="6">
                        <c:v>1293639</c:v>
                      </c:pt>
                      <c:pt idx="7">
                        <c:v>1308010</c:v>
                      </c:pt>
                      <c:pt idx="8">
                        <c:v>1321422</c:v>
                      </c:pt>
                      <c:pt idx="9">
                        <c:v>1334176</c:v>
                      </c:pt>
                      <c:pt idx="10">
                        <c:v>1346768</c:v>
                      </c:pt>
                      <c:pt idx="11">
                        <c:v>1359073</c:v>
                      </c:pt>
                      <c:pt idx="12">
                        <c:v>1370082</c:v>
                      </c:pt>
                    </c:numCache>
                  </c:numRef>
                </c:val>
                <c:smooth val="0"/>
                <c:extLst xmlns:c15="http://schemas.microsoft.com/office/drawing/2012/chart">
                  <c:ext xmlns:c16="http://schemas.microsoft.com/office/drawing/2014/chart" uri="{C3380CC4-5D6E-409C-BE32-E72D297353CC}">
                    <c16:uniqueId val="{00000004-0CFB-43F6-9BD1-C88B44D40996}"/>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dispUnits>
          <c:builtInUnit val="millions"/>
          <c:dispUnitsLbl>
            <c:layout>
              <c:manualLayout>
                <c:xMode val="edge"/>
                <c:yMode val="edge"/>
                <c:x val="3.195352214960058E-2"/>
                <c:y val="0.26785714285714285"/>
              </c:manualLayout>
            </c:layout>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44347303121774E-2"/>
          <c:y val="8.6416963836967176E-2"/>
          <c:w val="0.89154121921810137"/>
          <c:h val="0.70250149582366028"/>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dPt>
            <c:idx val="10"/>
            <c:marker>
              <c:symbol val="none"/>
            </c:marker>
            <c:bubble3D val="0"/>
            <c:extLst>
              <c:ext xmlns:c16="http://schemas.microsoft.com/office/drawing/2014/chart" uri="{C3380CC4-5D6E-409C-BE32-E72D297353CC}">
                <c16:uniqueId val="{00000000-7511-4587-9C73-89D33C8A2E0C}"/>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extLst/>
            </c:numRef>
          </c:val>
          <c:smooth val="0"/>
          <c:extLst>
            <c:ext xmlns:c16="http://schemas.microsoft.com/office/drawing/2014/chart" uri="{C3380CC4-5D6E-409C-BE32-E72D297353CC}">
              <c16:uniqueId val="{00000001-7511-4587-9C73-89D33C8A2E0C}"/>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Sheet1!$C$2:$C$14</c:f>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extLst/>
            </c:numRef>
          </c:val>
          <c:smooth val="0"/>
          <c:extLst xmlns:c15="http://schemas.microsoft.com/office/drawing/2012/chart">
            <c:ext xmlns:c16="http://schemas.microsoft.com/office/drawing/2014/chart" uri="{C3380CC4-5D6E-409C-BE32-E72D297353CC}">
              <c16:uniqueId val="{00000002-7511-4587-9C73-89D33C8A2E0C}"/>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O-CCF</c:v>
                      </c:pt>
                    </c:strCache>
                  </c:strRef>
                </c:tx>
                <c:spPr>
                  <a:ln w="28575" cap="rnd">
                    <a:solidFill>
                      <a:schemeClr val="accent3"/>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Sheet1!$D$2:$D$14</c15:sqref>
                        </c15:formulaRef>
                      </c:ext>
                    </c:extLst>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numRef>
                </c:val>
                <c:smooth val="0"/>
                <c:extLst>
                  <c:ext xmlns:c16="http://schemas.microsoft.com/office/drawing/2014/chart" uri="{C3380CC4-5D6E-409C-BE32-E72D297353CC}">
                    <c16:uniqueId val="{00000003-7511-4587-9C73-89D33C8A2E0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numRef>
                </c:val>
                <c:smooth val="0"/>
                <c:extLst xmlns:c15="http://schemas.microsoft.com/office/drawing/2012/chart">
                  <c:ext xmlns:c16="http://schemas.microsoft.com/office/drawing/2014/chart" uri="{C3380CC4-5D6E-409C-BE32-E72D297353CC}">
                    <c16:uniqueId val="{00000004-7511-4587-9C73-89D33C8A2E0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numRef>
                </c:val>
                <c:smooth val="0"/>
                <c:extLst xmlns:c15="http://schemas.microsoft.com/office/drawing/2012/chart">
                  <c:ext xmlns:c16="http://schemas.microsoft.com/office/drawing/2014/chart" uri="{C3380CC4-5D6E-409C-BE32-E72D297353CC}">
                    <c16:uniqueId val="{00000005-7511-4587-9C73-89D33C8A2E0C}"/>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31106</c:v>
                </c:pt>
                <c:pt idx="1">
                  <c:v>28322</c:v>
                </c:pt>
                <c:pt idx="2">
                  <c:v>26525</c:v>
                </c:pt>
                <c:pt idx="3">
                  <c:v>28547</c:v>
                </c:pt>
                <c:pt idx="4">
                  <c:v>31036</c:v>
                </c:pt>
                <c:pt idx="5">
                  <c:v>33066</c:v>
                </c:pt>
                <c:pt idx="6">
                  <c:v>34708</c:v>
                </c:pt>
                <c:pt idx="7">
                  <c:v>35960</c:v>
                </c:pt>
                <c:pt idx="8">
                  <c:v>36864</c:v>
                </c:pt>
                <c:pt idx="9">
                  <c:v>37500</c:v>
                </c:pt>
                <c:pt idx="10">
                  <c:v>37982</c:v>
                </c:pt>
                <c:pt idx="11">
                  <c:v>38682</c:v>
                </c:pt>
                <c:pt idx="12">
                  <c:v>38588</c:v>
                </c:pt>
              </c:numCache>
            </c:numRef>
          </c:val>
          <c:smooth val="0"/>
          <c:extLst>
            <c:ext xmlns:c16="http://schemas.microsoft.com/office/drawing/2014/chart" uri="{C3380CC4-5D6E-409C-BE32-E72D297353CC}">
              <c16:uniqueId val="{00000000-A8F9-440E-957A-4F82047807B4}"/>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31106</c:v>
                </c:pt>
                <c:pt idx="1">
                  <c:v>28314</c:v>
                </c:pt>
                <c:pt idx="2">
                  <c:v>23924</c:v>
                </c:pt>
                <c:pt idx="3">
                  <c:v>19858</c:v>
                </c:pt>
                <c:pt idx="4">
                  <c:v>18499</c:v>
                </c:pt>
                <c:pt idx="5">
                  <c:v>18012</c:v>
                </c:pt>
                <c:pt idx="6">
                  <c:v>17574</c:v>
                </c:pt>
                <c:pt idx="7">
                  <c:v>17079</c:v>
                </c:pt>
                <c:pt idx="8">
                  <c:v>16558</c:v>
                </c:pt>
                <c:pt idx="9">
                  <c:v>16009</c:v>
                </c:pt>
                <c:pt idx="10">
                  <c:v>15385</c:v>
                </c:pt>
                <c:pt idx="11">
                  <c:v>14675</c:v>
                </c:pt>
                <c:pt idx="12">
                  <c:v>13831</c:v>
                </c:pt>
              </c:numCache>
            </c:numRef>
          </c:val>
          <c:smooth val="0"/>
          <c:extLst xmlns:c15="http://schemas.microsoft.com/office/drawing/2012/chart">
            <c:ext xmlns:c16="http://schemas.microsoft.com/office/drawing/2014/chart" uri="{C3380CC4-5D6E-409C-BE32-E72D297353CC}">
              <c16:uniqueId val="{00000001-A8F9-440E-957A-4F82047807B4}"/>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O-CCF</c:v>
                      </c:pt>
                    </c:strCache>
                  </c:strRef>
                </c:tx>
                <c:spPr>
                  <a:ln w="28575" cap="rnd">
                    <a:solidFill>
                      <a:schemeClr val="accent3"/>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Sheet1!$D$2:$D$14</c15:sqref>
                        </c15:formulaRef>
                      </c:ext>
                    </c:extLst>
                    <c:numCache>
                      <c:formatCode>#,##0</c:formatCode>
                      <c:ptCount val="13"/>
                      <c:pt idx="0">
                        <c:v>31106</c:v>
                      </c:pt>
                      <c:pt idx="1">
                        <c:v>28333</c:v>
                      </c:pt>
                      <c:pt idx="2">
                        <c:v>23973</c:v>
                      </c:pt>
                      <c:pt idx="3">
                        <c:v>19906</c:v>
                      </c:pt>
                      <c:pt idx="4">
                        <c:v>18527</c:v>
                      </c:pt>
                      <c:pt idx="5">
                        <c:v>18024</c:v>
                      </c:pt>
                      <c:pt idx="6">
                        <c:v>17579</c:v>
                      </c:pt>
                      <c:pt idx="7">
                        <c:v>17076</c:v>
                      </c:pt>
                      <c:pt idx="8">
                        <c:v>16545</c:v>
                      </c:pt>
                      <c:pt idx="9">
                        <c:v>15985</c:v>
                      </c:pt>
                      <c:pt idx="10">
                        <c:v>15351</c:v>
                      </c:pt>
                      <c:pt idx="11">
                        <c:v>14633</c:v>
                      </c:pt>
                      <c:pt idx="12">
                        <c:v>13784</c:v>
                      </c:pt>
                    </c:numCache>
                  </c:numRef>
                </c:val>
                <c:smooth val="0"/>
                <c:extLst>
                  <c:ext xmlns:c16="http://schemas.microsoft.com/office/drawing/2014/chart" uri="{C3380CC4-5D6E-409C-BE32-E72D297353CC}">
                    <c16:uniqueId val="{00000002-A8F9-440E-957A-4F82047807B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31106</c:v>
                      </c:pt>
                      <c:pt idx="1">
                        <c:v>28333</c:v>
                      </c:pt>
                      <c:pt idx="2">
                        <c:v>23973</c:v>
                      </c:pt>
                      <c:pt idx="3">
                        <c:v>20067</c:v>
                      </c:pt>
                      <c:pt idx="4">
                        <c:v>19643</c:v>
                      </c:pt>
                      <c:pt idx="5">
                        <c:v>21430</c:v>
                      </c:pt>
                      <c:pt idx="6">
                        <c:v>24449</c:v>
                      </c:pt>
                      <c:pt idx="7">
                        <c:v>27976</c:v>
                      </c:pt>
                      <c:pt idx="8">
                        <c:v>31389</c:v>
                      </c:pt>
                      <c:pt idx="9">
                        <c:v>34142</c:v>
                      </c:pt>
                      <c:pt idx="10">
                        <c:v>36161</c:v>
                      </c:pt>
                      <c:pt idx="11">
                        <c:v>37610</c:v>
                      </c:pt>
                      <c:pt idx="12">
                        <c:v>38653</c:v>
                      </c:pt>
                    </c:numCache>
                  </c:numRef>
                </c:val>
                <c:smooth val="0"/>
                <c:extLst xmlns:c15="http://schemas.microsoft.com/office/drawing/2012/chart">
                  <c:ext xmlns:c16="http://schemas.microsoft.com/office/drawing/2014/chart" uri="{C3380CC4-5D6E-409C-BE32-E72D297353CC}">
                    <c16:uniqueId val="{00000003-A8F9-440E-957A-4F82047807B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31106</c:v>
                      </c:pt>
                      <c:pt idx="1">
                        <c:v>28333</c:v>
                      </c:pt>
                      <c:pt idx="2">
                        <c:v>23973</c:v>
                      </c:pt>
                      <c:pt idx="3">
                        <c:v>19927</c:v>
                      </c:pt>
                      <c:pt idx="4">
                        <c:v>18574</c:v>
                      </c:pt>
                      <c:pt idx="5">
                        <c:v>18078</c:v>
                      </c:pt>
                      <c:pt idx="6">
                        <c:v>17621</c:v>
                      </c:pt>
                      <c:pt idx="7">
                        <c:v>17097</c:v>
                      </c:pt>
                      <c:pt idx="8">
                        <c:v>16542</c:v>
                      </c:pt>
                      <c:pt idx="9">
                        <c:v>15960</c:v>
                      </c:pt>
                      <c:pt idx="10">
                        <c:v>15307</c:v>
                      </c:pt>
                      <c:pt idx="11">
                        <c:v>14579</c:v>
                      </c:pt>
                      <c:pt idx="12">
                        <c:v>13728</c:v>
                      </c:pt>
                    </c:numCache>
                  </c:numRef>
                </c:val>
                <c:smooth val="0"/>
                <c:extLst xmlns:c15="http://schemas.microsoft.com/office/drawing/2012/chart">
                  <c:ext xmlns:c16="http://schemas.microsoft.com/office/drawing/2014/chart" uri="{C3380CC4-5D6E-409C-BE32-E72D297353CC}">
                    <c16:uniqueId val="{00000004-A8F9-440E-957A-4F82047807B4}"/>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0" i="1"/>
              <a:t>Figure 0-3. AIDS-deaths of CC vs NS 2019-2030</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898748645253358"/>
          <c:y val="0.20140591675076261"/>
          <c:w val="0.81080618626773004"/>
          <c:h val="0.58158015815286579"/>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Sheet1!$B$2:$B$14</c:f>
              <c:numCache>
                <c:formatCode>#,##0</c:formatCode>
                <c:ptCount val="13"/>
                <c:pt idx="0">
                  <c:v>31106</c:v>
                </c:pt>
                <c:pt idx="1">
                  <c:v>28322</c:v>
                </c:pt>
                <c:pt idx="2">
                  <c:v>26525</c:v>
                </c:pt>
                <c:pt idx="3">
                  <c:v>28547</c:v>
                </c:pt>
                <c:pt idx="4">
                  <c:v>31036</c:v>
                </c:pt>
                <c:pt idx="5">
                  <c:v>33066</c:v>
                </c:pt>
                <c:pt idx="6">
                  <c:v>34708</c:v>
                </c:pt>
                <c:pt idx="7">
                  <c:v>35960</c:v>
                </c:pt>
                <c:pt idx="8">
                  <c:v>36864</c:v>
                </c:pt>
                <c:pt idx="9">
                  <c:v>37500</c:v>
                </c:pt>
                <c:pt idx="10">
                  <c:v>37982</c:v>
                </c:pt>
                <c:pt idx="11">
                  <c:v>38682</c:v>
                </c:pt>
                <c:pt idx="12">
                  <c:v>38588</c:v>
                </c:pt>
              </c:numCache>
              <c:extLst/>
            </c:numRef>
          </c:val>
          <c:smooth val="0"/>
          <c:extLst>
            <c:ext xmlns:c16="http://schemas.microsoft.com/office/drawing/2014/chart" uri="{C3380CC4-5D6E-409C-BE32-E72D297353CC}">
              <c16:uniqueId val="{00000000-C82B-4A9F-83FE-92778A004617}"/>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Sheet1!$C$2:$C$14</c:f>
              <c:numCache>
                <c:formatCode>#,##0</c:formatCode>
                <c:ptCount val="13"/>
                <c:pt idx="0">
                  <c:v>31106</c:v>
                </c:pt>
                <c:pt idx="1">
                  <c:v>28314</c:v>
                </c:pt>
                <c:pt idx="2">
                  <c:v>23924</c:v>
                </c:pt>
                <c:pt idx="3">
                  <c:v>19858</c:v>
                </c:pt>
                <c:pt idx="4">
                  <c:v>18499</c:v>
                </c:pt>
                <c:pt idx="5">
                  <c:v>18012</c:v>
                </c:pt>
                <c:pt idx="6">
                  <c:v>17574</c:v>
                </c:pt>
                <c:pt idx="7">
                  <c:v>17079</c:v>
                </c:pt>
                <c:pt idx="8">
                  <c:v>16558</c:v>
                </c:pt>
                <c:pt idx="9">
                  <c:v>16009</c:v>
                </c:pt>
                <c:pt idx="10">
                  <c:v>15385</c:v>
                </c:pt>
                <c:pt idx="11">
                  <c:v>14675</c:v>
                </c:pt>
                <c:pt idx="12">
                  <c:v>13831</c:v>
                </c:pt>
              </c:numCache>
              <c:extLst/>
            </c:numRef>
          </c:val>
          <c:smooth val="0"/>
          <c:extLst xmlns:c15="http://schemas.microsoft.com/office/drawing/2012/chart">
            <c:ext xmlns:c16="http://schemas.microsoft.com/office/drawing/2014/chart" uri="{C3380CC4-5D6E-409C-BE32-E72D297353CC}">
              <c16:uniqueId val="{00000001-C82B-4A9F-83FE-92778A004617}"/>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O-CCF</c:v>
                      </c:pt>
                    </c:strCache>
                  </c:strRef>
                </c:tx>
                <c:spPr>
                  <a:ln w="28575" cap="rnd">
                    <a:solidFill>
                      <a:schemeClr val="accent3"/>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Sheet1!$D$2:$D$14</c15:sqref>
                        </c15:formulaRef>
                      </c:ext>
                    </c:extLst>
                    <c:numCache>
                      <c:formatCode>#,##0</c:formatCode>
                      <c:ptCount val="13"/>
                      <c:pt idx="0">
                        <c:v>31106</c:v>
                      </c:pt>
                      <c:pt idx="1">
                        <c:v>28333</c:v>
                      </c:pt>
                      <c:pt idx="2">
                        <c:v>23973</c:v>
                      </c:pt>
                      <c:pt idx="3">
                        <c:v>19906</c:v>
                      </c:pt>
                      <c:pt idx="4">
                        <c:v>18527</c:v>
                      </c:pt>
                      <c:pt idx="5">
                        <c:v>18024</c:v>
                      </c:pt>
                      <c:pt idx="6">
                        <c:v>17579</c:v>
                      </c:pt>
                      <c:pt idx="7">
                        <c:v>17076</c:v>
                      </c:pt>
                      <c:pt idx="8">
                        <c:v>16545</c:v>
                      </c:pt>
                      <c:pt idx="9">
                        <c:v>15985</c:v>
                      </c:pt>
                      <c:pt idx="10">
                        <c:v>15351</c:v>
                      </c:pt>
                      <c:pt idx="11">
                        <c:v>14633</c:v>
                      </c:pt>
                      <c:pt idx="12">
                        <c:v>13784</c:v>
                      </c:pt>
                    </c:numCache>
                  </c:numRef>
                </c:val>
                <c:smooth val="0"/>
                <c:extLst>
                  <c:ext xmlns:c16="http://schemas.microsoft.com/office/drawing/2014/chart" uri="{C3380CC4-5D6E-409C-BE32-E72D297353CC}">
                    <c16:uniqueId val="{00000002-C82B-4A9F-83FE-92778A00461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31106</c:v>
                      </c:pt>
                      <c:pt idx="1">
                        <c:v>28333</c:v>
                      </c:pt>
                      <c:pt idx="2">
                        <c:v>23973</c:v>
                      </c:pt>
                      <c:pt idx="3">
                        <c:v>20067</c:v>
                      </c:pt>
                      <c:pt idx="4">
                        <c:v>19643</c:v>
                      </c:pt>
                      <c:pt idx="5">
                        <c:v>21430</c:v>
                      </c:pt>
                      <c:pt idx="6">
                        <c:v>24449</c:v>
                      </c:pt>
                      <c:pt idx="7">
                        <c:v>27976</c:v>
                      </c:pt>
                      <c:pt idx="8">
                        <c:v>31389</c:v>
                      </c:pt>
                      <c:pt idx="9">
                        <c:v>34142</c:v>
                      </c:pt>
                      <c:pt idx="10">
                        <c:v>36161</c:v>
                      </c:pt>
                      <c:pt idx="11">
                        <c:v>37610</c:v>
                      </c:pt>
                      <c:pt idx="12">
                        <c:v>38653</c:v>
                      </c:pt>
                    </c:numCache>
                  </c:numRef>
                </c:val>
                <c:smooth val="0"/>
                <c:extLst xmlns:c15="http://schemas.microsoft.com/office/drawing/2012/chart">
                  <c:ext xmlns:c16="http://schemas.microsoft.com/office/drawing/2014/chart" uri="{C3380CC4-5D6E-409C-BE32-E72D297353CC}">
                    <c16:uniqueId val="{00000003-C82B-4A9F-83FE-92778A00461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31106</c:v>
                      </c:pt>
                      <c:pt idx="1">
                        <c:v>28333</c:v>
                      </c:pt>
                      <c:pt idx="2">
                        <c:v>23973</c:v>
                      </c:pt>
                      <c:pt idx="3">
                        <c:v>19927</c:v>
                      </c:pt>
                      <c:pt idx="4">
                        <c:v>18574</c:v>
                      </c:pt>
                      <c:pt idx="5">
                        <c:v>18078</c:v>
                      </c:pt>
                      <c:pt idx="6">
                        <c:v>17621</c:v>
                      </c:pt>
                      <c:pt idx="7">
                        <c:v>17097</c:v>
                      </c:pt>
                      <c:pt idx="8">
                        <c:v>16542</c:v>
                      </c:pt>
                      <c:pt idx="9">
                        <c:v>15960</c:v>
                      </c:pt>
                      <c:pt idx="10">
                        <c:v>15307</c:v>
                      </c:pt>
                      <c:pt idx="11">
                        <c:v>14579</c:v>
                      </c:pt>
                      <c:pt idx="12">
                        <c:v>13728</c:v>
                      </c:pt>
                    </c:numCache>
                  </c:numRef>
                </c:val>
                <c:smooth val="0"/>
                <c:extLst xmlns:c15="http://schemas.microsoft.com/office/drawing/2012/chart">
                  <c:ext xmlns:c16="http://schemas.microsoft.com/office/drawing/2014/chart" uri="{C3380CC4-5D6E-409C-BE32-E72D297353CC}">
                    <c16:uniqueId val="{00000004-C82B-4A9F-83FE-92778A004617}"/>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tickLblSkip val="2"/>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layout>
        <c:manualLayout>
          <c:xMode val="edge"/>
          <c:yMode val="edge"/>
          <c:x val="0.34432395950506189"/>
          <c:y val="0.87675840519935011"/>
          <c:w val="0.31897082864641918"/>
          <c:h val="0.1041941281949896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467.98264999999998</c:v>
                </c:pt>
                <c:pt idx="1">
                  <c:v>461.49829999999997</c:v>
                </c:pt>
                <c:pt idx="2">
                  <c:v>465.83078</c:v>
                </c:pt>
                <c:pt idx="3">
                  <c:v>469.97609999999997</c:v>
                </c:pt>
                <c:pt idx="4">
                  <c:v>474.03453999999999</c:v>
                </c:pt>
                <c:pt idx="5">
                  <c:v>477.90449000000001</c:v>
                </c:pt>
                <c:pt idx="6">
                  <c:v>481.42367999999999</c:v>
                </c:pt>
                <c:pt idx="7">
                  <c:v>484.66980999999998</c:v>
                </c:pt>
                <c:pt idx="8">
                  <c:v>487.64582999999999</c:v>
                </c:pt>
                <c:pt idx="9">
                  <c:v>490.32909999999998</c:v>
                </c:pt>
                <c:pt idx="10">
                  <c:v>492.83341000000001</c:v>
                </c:pt>
                <c:pt idx="11">
                  <c:v>496.46039999999999</c:v>
                </c:pt>
                <c:pt idx="12">
                  <c:v>500.31641999999999</c:v>
                </c:pt>
              </c:numCache>
            </c:numRef>
          </c:val>
          <c:smooth val="0"/>
          <c:extLst>
            <c:ext xmlns:c16="http://schemas.microsoft.com/office/drawing/2014/chart" uri="{C3380CC4-5D6E-409C-BE32-E72D297353CC}">
              <c16:uniqueId val="{00000000-2923-4727-B491-329AC51670BD}"/>
            </c:ext>
          </c:extLst>
        </c:ser>
        <c:ser>
          <c:idx val="1"/>
          <c:order val="1"/>
          <c:tx>
            <c:strRef>
              <c:f>Sheet1!$C$1</c:f>
              <c:strCache>
                <c:ptCount val="1"/>
                <c:pt idx="0">
                  <c:v>NS</c:v>
                </c:pt>
              </c:strCache>
              <c:extLst xmlns:c15="http://schemas.microsoft.com/office/drawing/2012/chart"/>
            </c:strRef>
          </c:tx>
          <c:spPr>
            <a:ln w="57150" cap="rnd">
              <a:solidFill>
                <a:schemeClr val="accent2"/>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467.98264999999998</c:v>
                </c:pt>
                <c:pt idx="1">
                  <c:v>509.95699000000002</c:v>
                </c:pt>
                <c:pt idx="2">
                  <c:v>573.85712999999998</c:v>
                </c:pt>
                <c:pt idx="3">
                  <c:v>579.20203000000004</c:v>
                </c:pt>
                <c:pt idx="4">
                  <c:v>602.96974999999998</c:v>
                </c:pt>
                <c:pt idx="5">
                  <c:v>628.05430000000001</c:v>
                </c:pt>
                <c:pt idx="6">
                  <c:v>654.36455000000001</c:v>
                </c:pt>
                <c:pt idx="7">
                  <c:v>681.82455000000004</c:v>
                </c:pt>
                <c:pt idx="8">
                  <c:v>710.52549999999997</c:v>
                </c:pt>
                <c:pt idx="9">
                  <c:v>740.52671999999995</c:v>
                </c:pt>
                <c:pt idx="10">
                  <c:v>771.93263999999999</c:v>
                </c:pt>
                <c:pt idx="11">
                  <c:v>804.78490999999997</c:v>
                </c:pt>
                <c:pt idx="12">
                  <c:v>839.00984000000005</c:v>
                </c:pt>
              </c:numCache>
            </c:numRef>
          </c:val>
          <c:smooth val="0"/>
          <c:extLst xmlns:c15="http://schemas.microsoft.com/office/drawing/2012/chart">
            <c:ext xmlns:c16="http://schemas.microsoft.com/office/drawing/2014/chart" uri="{C3380CC4-5D6E-409C-BE32-E72D297353CC}">
              <c16:uniqueId val="{00000001-2923-4727-B491-329AC51670BD}"/>
            </c:ext>
          </c:extLst>
        </c:ser>
        <c:dLbls>
          <c:showLegendKey val="0"/>
          <c:showVal val="0"/>
          <c:showCatName val="0"/>
          <c:showSerName val="0"/>
          <c:showPercent val="0"/>
          <c:showBubbleSize val="0"/>
        </c:dLbls>
        <c:hiLowLines>
          <c:spPr>
            <a:ln w="9525" cap="flat" cmpd="sng" algn="ctr">
              <a:solidFill>
                <a:schemeClr val="accent3"/>
              </a:solidFill>
              <a:round/>
            </a:ln>
            <a:effectLst>
              <a:outerShdw blurRad="50800" dist="50800" dir="5400000" algn="ctr" rotWithShape="0">
                <a:schemeClr val="accent4">
                  <a:lumMod val="20000"/>
                  <a:lumOff val="80000"/>
                </a:schemeClr>
              </a:outerShdw>
            </a:effectLst>
          </c:spPr>
        </c:hiLowLines>
        <c:smooth val="0"/>
        <c:axId val="359149264"/>
        <c:axId val="359147952"/>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O-CCF</c:v>
                      </c:pt>
                    </c:strCache>
                  </c:strRef>
                </c:tx>
                <c:spPr>
                  <a:ln w="28575" cap="rnd">
                    <a:solidFill>
                      <a:schemeClr val="accent3"/>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Sheet1!$D$2:$D$14</c15:sqref>
                        </c15:formulaRef>
                      </c:ext>
                    </c:extLst>
                    <c:numCache>
                      <c:formatCode>#,##0</c:formatCode>
                      <c:ptCount val="13"/>
                      <c:pt idx="0">
                        <c:v>467.98264999999998</c:v>
                      </c:pt>
                      <c:pt idx="1">
                        <c:v>466.94026000000002</c:v>
                      </c:pt>
                      <c:pt idx="2">
                        <c:v>482.07378</c:v>
                      </c:pt>
                      <c:pt idx="3">
                        <c:v>463.33850000000001</c:v>
                      </c:pt>
                      <c:pt idx="4">
                        <c:v>461.11482999999998</c:v>
                      </c:pt>
                      <c:pt idx="5">
                        <c:v>453.0043</c:v>
                      </c:pt>
                      <c:pt idx="6">
                        <c:v>457.93310000000002</c:v>
                      </c:pt>
                      <c:pt idx="7">
                        <c:v>462.66206</c:v>
                      </c:pt>
                      <c:pt idx="8">
                        <c:v>458.34782000000001</c:v>
                      </c:pt>
                      <c:pt idx="9">
                        <c:v>462.52681000000001</c:v>
                      </c:pt>
                      <c:pt idx="10">
                        <c:v>464.74790000000002</c:v>
                      </c:pt>
                      <c:pt idx="11">
                        <c:v>467.14783999999997</c:v>
                      </c:pt>
                      <c:pt idx="12">
                        <c:v>469.02936</c:v>
                      </c:pt>
                    </c:numCache>
                  </c:numRef>
                </c:val>
                <c:smooth val="0"/>
                <c:extLst>
                  <c:ext xmlns:c16="http://schemas.microsoft.com/office/drawing/2014/chart" uri="{C3380CC4-5D6E-409C-BE32-E72D297353CC}">
                    <c16:uniqueId val="{00000002-2923-4727-B491-329AC51670B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467.98264999999998</c:v>
                      </c:pt>
                      <c:pt idx="1">
                        <c:v>466.94026000000002</c:v>
                      </c:pt>
                      <c:pt idx="2">
                        <c:v>482.07378</c:v>
                      </c:pt>
                      <c:pt idx="3">
                        <c:v>425.39645000000002</c:v>
                      </c:pt>
                      <c:pt idx="4">
                        <c:v>404.52148999999997</c:v>
                      </c:pt>
                      <c:pt idx="5">
                        <c:v>383.88339999999999</c:v>
                      </c:pt>
                      <c:pt idx="6">
                        <c:v>375.42246999999998</c:v>
                      </c:pt>
                      <c:pt idx="7">
                        <c:v>366.57551000000001</c:v>
                      </c:pt>
                      <c:pt idx="8">
                        <c:v>357.58470999999997</c:v>
                      </c:pt>
                      <c:pt idx="9">
                        <c:v>348.50198999999998</c:v>
                      </c:pt>
                      <c:pt idx="10">
                        <c:v>339.31407000000002</c:v>
                      </c:pt>
                      <c:pt idx="11">
                        <c:v>329.97320999999999</c:v>
                      </c:pt>
                      <c:pt idx="12">
                        <c:v>320.20596999999998</c:v>
                      </c:pt>
                    </c:numCache>
                  </c:numRef>
                </c:val>
                <c:smooth val="0"/>
                <c:extLst xmlns:c15="http://schemas.microsoft.com/office/drawing/2012/chart">
                  <c:ext xmlns:c16="http://schemas.microsoft.com/office/drawing/2014/chart" uri="{C3380CC4-5D6E-409C-BE32-E72D297353CC}">
                    <c16:uniqueId val="{00000003-2923-4727-B491-329AC51670B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467.98264999999998</c:v>
                      </c:pt>
                      <c:pt idx="1">
                        <c:v>466.94026000000002</c:v>
                      </c:pt>
                      <c:pt idx="2">
                        <c:v>482.07378</c:v>
                      </c:pt>
                      <c:pt idx="3">
                        <c:v>449.30588999999998</c:v>
                      </c:pt>
                      <c:pt idx="4">
                        <c:v>444.33544000000001</c:v>
                      </c:pt>
                      <c:pt idx="5">
                        <c:v>433.32729999999998</c:v>
                      </c:pt>
                      <c:pt idx="6">
                        <c:v>435.3048</c:v>
                      </c:pt>
                      <c:pt idx="7">
                        <c:v>436.98432000000003</c:v>
                      </c:pt>
                      <c:pt idx="8">
                        <c:v>429.44695000000002</c:v>
                      </c:pt>
                      <c:pt idx="9">
                        <c:v>430.22233999999997</c:v>
                      </c:pt>
                      <c:pt idx="10">
                        <c:v>428.85217</c:v>
                      </c:pt>
                      <c:pt idx="11">
                        <c:v>427.46248000000003</c:v>
                      </c:pt>
                      <c:pt idx="12">
                        <c:v>425.34379000000001</c:v>
                      </c:pt>
                    </c:numCache>
                  </c:numRef>
                </c:val>
                <c:smooth val="0"/>
                <c:extLst xmlns:c15="http://schemas.microsoft.com/office/drawing/2012/chart">
                  <c:ext xmlns:c16="http://schemas.microsoft.com/office/drawing/2014/chart" uri="{C3380CC4-5D6E-409C-BE32-E72D297353CC}">
                    <c16:uniqueId val="{00000004-2923-4727-B491-329AC51670BD}"/>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USD (Millions)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Sheet1!$B$2:$B$14</c:f>
              <c:numCache>
                <c:formatCode>General</c:formatCode>
                <c:ptCount val="12"/>
                <c:pt idx="0">
                  <c:v>48.458690000000047</c:v>
                </c:pt>
                <c:pt idx="1">
                  <c:v>108.02634999999998</c:v>
                </c:pt>
                <c:pt idx="2">
                  <c:v>109.22593000000006</c:v>
                </c:pt>
                <c:pt idx="3">
                  <c:v>128.93520999999998</c:v>
                </c:pt>
                <c:pt idx="4">
                  <c:v>150.14981</c:v>
                </c:pt>
                <c:pt idx="5">
                  <c:v>172.94087000000002</c:v>
                </c:pt>
                <c:pt idx="6">
                  <c:v>197.15474000000006</c:v>
                </c:pt>
                <c:pt idx="7">
                  <c:v>222.87966999999998</c:v>
                </c:pt>
                <c:pt idx="8">
                  <c:v>250.19761999999997</c:v>
                </c:pt>
                <c:pt idx="9">
                  <c:v>279.09922999999998</c:v>
                </c:pt>
                <c:pt idx="10">
                  <c:v>308.32450999999998</c:v>
                </c:pt>
                <c:pt idx="11">
                  <c:v>338.69342000000006</c:v>
                </c:pt>
              </c:numCache>
            </c:numRef>
          </c:val>
          <c:extLst>
            <c:ext xmlns:c16="http://schemas.microsoft.com/office/drawing/2014/chart" uri="{C3380CC4-5D6E-409C-BE32-E72D297353CC}">
              <c16:uniqueId val="{00000000-263E-46F1-B5BF-F079B460689D}"/>
            </c:ext>
          </c:extLst>
        </c:ser>
        <c:dLbls>
          <c:showLegendKey val="0"/>
          <c:showVal val="0"/>
          <c:showCatName val="0"/>
          <c:showSerName val="0"/>
          <c:showPercent val="0"/>
          <c:showBubbleSize val="0"/>
        </c:dLbls>
        <c:gapWidth val="219"/>
        <c:overlap val="-27"/>
        <c:axId val="882680120"/>
        <c:axId val="882680448"/>
      </c:barChart>
      <c:catAx>
        <c:axId val="882680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82680448"/>
        <c:crosses val="autoZero"/>
        <c:auto val="1"/>
        <c:lblAlgn val="ctr"/>
        <c:lblOffset val="100"/>
        <c:noMultiLvlLbl val="0"/>
      </c:catAx>
      <c:valAx>
        <c:axId val="8826804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a:t>USD (Millions)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82680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61011993753941E-2"/>
          <c:y val="7.5265138556277797E-2"/>
          <c:w val="0.88605485232067516"/>
          <c:h val="0.63170995175380706"/>
        </c:manualLayout>
      </c:layout>
      <c:barChart>
        <c:barDir val="bar"/>
        <c:grouping val="percentStacked"/>
        <c:varyColors val="0"/>
        <c:ser>
          <c:idx val="0"/>
          <c:order val="0"/>
          <c:tx>
            <c:strRef>
              <c:f>'Optimized total costs'!$X$6</c:f>
              <c:strCache>
                <c:ptCount val="1"/>
              </c:strCache>
            </c:strRef>
          </c:tx>
          <c:spPr>
            <a:solidFill>
              <a:schemeClr val="accent1"/>
            </a:solidFill>
            <a:ln>
              <a:noFill/>
            </a:ln>
            <a:effectLst/>
          </c:spPr>
          <c:invertIfNegative val="0"/>
          <c:cat>
            <c:numRef>
              <c:f>'Optimized total costs'!$Y$4:$Z$4</c:f>
              <c:numCache>
                <c:formatCode>General</c:formatCode>
                <c:ptCount val="2"/>
              </c:numCache>
            </c:numRef>
          </c:cat>
          <c:val>
            <c:numRef>
              <c:f>'Optimized total costs'!$Y$6:$Z$6</c:f>
              <c:numCache>
                <c:formatCode>General</c:formatCode>
                <c:ptCount val="2"/>
                <c:pt idx="0">
                  <c:v>0</c:v>
                </c:pt>
                <c:pt idx="1">
                  <c:v>0</c:v>
                </c:pt>
              </c:numCache>
            </c:numRef>
          </c:val>
          <c:extLst>
            <c:ext xmlns:c16="http://schemas.microsoft.com/office/drawing/2014/chart" uri="{C3380CC4-5D6E-409C-BE32-E72D297353CC}">
              <c16:uniqueId val="{00000000-F621-42DA-A40C-643908BEBFE1}"/>
            </c:ext>
          </c:extLst>
        </c:ser>
        <c:ser>
          <c:idx val="1"/>
          <c:order val="1"/>
          <c:tx>
            <c:strRef>
              <c:f>'Optimized total costs'!$X$5</c:f>
              <c:strCache>
                <c:ptCount val="1"/>
              </c:strCache>
            </c:strRef>
          </c:tx>
          <c:spPr>
            <a:solidFill>
              <a:schemeClr val="accent2"/>
            </a:solidFill>
            <a:ln>
              <a:noFill/>
            </a:ln>
            <a:effectLst/>
          </c:spPr>
          <c:invertIfNegative val="0"/>
          <c:cat>
            <c:numRef>
              <c:f>'Optimized total costs'!$Y$4:$Z$4</c:f>
              <c:numCache>
                <c:formatCode>General</c:formatCode>
                <c:ptCount val="2"/>
              </c:numCache>
            </c:numRef>
          </c:cat>
          <c:val>
            <c:numRef>
              <c:f>'Optimized total costs'!$Y$5:$Z$5</c:f>
              <c:numCache>
                <c:formatCode>General</c:formatCode>
                <c:ptCount val="2"/>
              </c:numCache>
            </c:numRef>
          </c:val>
          <c:extLst>
            <c:ext xmlns:c16="http://schemas.microsoft.com/office/drawing/2014/chart" uri="{C3380CC4-5D6E-409C-BE32-E72D297353CC}">
              <c16:uniqueId val="{00000001-F621-42DA-A40C-643908BEBFE1}"/>
            </c:ext>
          </c:extLst>
        </c:ser>
        <c:ser>
          <c:idx val="2"/>
          <c:order val="2"/>
          <c:tx>
            <c:strRef>
              <c:f>'Optimized total costs'!$X$7</c:f>
              <c:strCache>
                <c:ptCount val="1"/>
                <c:pt idx="0">
                  <c:v>VMMC</c:v>
                </c:pt>
              </c:strCache>
            </c:strRef>
          </c:tx>
          <c:spPr>
            <a:solidFill>
              <a:schemeClr val="accent3"/>
            </a:solidFill>
            <a:ln>
              <a:noFill/>
            </a:ln>
            <a:effectLst/>
          </c:spPr>
          <c:invertIfNegative val="0"/>
          <c:val>
            <c:numRef>
              <c:f>'Optimized total costs'!$Y$7:$Z$7</c:f>
              <c:numCache>
                <c:formatCode>0%</c:formatCode>
                <c:ptCount val="2"/>
                <c:pt idx="0">
                  <c:v>4.1844645129195633E-3</c:v>
                </c:pt>
                <c:pt idx="1">
                  <c:v>2.4670347099646404E-2</c:v>
                </c:pt>
              </c:numCache>
            </c:numRef>
          </c:val>
          <c:extLst>
            <c:ext xmlns:c16="http://schemas.microsoft.com/office/drawing/2014/chart" uri="{C3380CC4-5D6E-409C-BE32-E72D297353CC}">
              <c16:uniqueId val="{00000002-F621-42DA-A40C-643908BEBFE1}"/>
            </c:ext>
          </c:extLst>
        </c:ser>
        <c:ser>
          <c:idx val="3"/>
          <c:order val="3"/>
          <c:tx>
            <c:strRef>
              <c:f>'Optimized total costs'!$X$8</c:f>
              <c:strCache>
                <c:ptCount val="1"/>
                <c:pt idx="0">
                  <c:v>Condoms</c:v>
                </c:pt>
              </c:strCache>
            </c:strRef>
          </c:tx>
          <c:spPr>
            <a:solidFill>
              <a:schemeClr val="accent4"/>
            </a:solidFill>
            <a:ln>
              <a:noFill/>
            </a:ln>
            <a:effectLst/>
          </c:spPr>
          <c:invertIfNegative val="0"/>
          <c:val>
            <c:numRef>
              <c:f>'Optimized total costs'!$Y$8:$Z$8</c:f>
              <c:numCache>
                <c:formatCode>0%</c:formatCode>
                <c:ptCount val="2"/>
                <c:pt idx="0">
                  <c:v>6.25761619301206E-3</c:v>
                </c:pt>
                <c:pt idx="1">
                  <c:v>9.5414120286725773E-3</c:v>
                </c:pt>
              </c:numCache>
            </c:numRef>
          </c:val>
          <c:extLst>
            <c:ext xmlns:c16="http://schemas.microsoft.com/office/drawing/2014/chart" uri="{C3380CC4-5D6E-409C-BE32-E72D297353CC}">
              <c16:uniqueId val="{00000003-F621-42DA-A40C-643908BEBFE1}"/>
            </c:ext>
          </c:extLst>
        </c:ser>
        <c:ser>
          <c:idx val="4"/>
          <c:order val="4"/>
          <c:tx>
            <c:strRef>
              <c:f>'Optimized total costs'!$X$9</c:f>
              <c:strCache>
                <c:ptCount val="1"/>
                <c:pt idx="0">
                  <c:v>Female sex workers and clients</c:v>
                </c:pt>
              </c:strCache>
            </c:strRef>
          </c:tx>
          <c:spPr>
            <a:solidFill>
              <a:srgbClr val="C00000"/>
            </a:solidFill>
            <a:ln>
              <a:noFill/>
            </a:ln>
            <a:effectLst/>
          </c:spPr>
          <c:invertIfNegative val="0"/>
          <c:val>
            <c:numRef>
              <c:f>'Optimized total costs'!$Y$9:$Z$9</c:f>
              <c:numCache>
                <c:formatCode>0%</c:formatCode>
                <c:ptCount val="2"/>
                <c:pt idx="0">
                  <c:v>5.3481439087982231E-2</c:v>
                </c:pt>
                <c:pt idx="1">
                  <c:v>6.4330333419447799E-2</c:v>
                </c:pt>
              </c:numCache>
            </c:numRef>
          </c:val>
          <c:extLst>
            <c:ext xmlns:c16="http://schemas.microsoft.com/office/drawing/2014/chart" uri="{C3380CC4-5D6E-409C-BE32-E72D297353CC}">
              <c16:uniqueId val="{00000004-F621-42DA-A40C-643908BEBFE1}"/>
            </c:ext>
          </c:extLst>
        </c:ser>
        <c:ser>
          <c:idx val="6"/>
          <c:order val="5"/>
          <c:tx>
            <c:strRef>
              <c:f>'Optimized total costs'!$X$10</c:f>
              <c:strCache>
                <c:ptCount val="1"/>
                <c:pt idx="0">
                  <c:v>MSM</c:v>
                </c:pt>
              </c:strCache>
            </c:strRef>
          </c:tx>
          <c:spPr>
            <a:solidFill>
              <a:schemeClr val="accent6"/>
            </a:solidFill>
            <a:ln>
              <a:noFill/>
            </a:ln>
            <a:effectLst/>
          </c:spPr>
          <c:invertIfNegative val="0"/>
          <c:val>
            <c:numRef>
              <c:f>'Optimized total costs'!$Y$10:$Z$10</c:f>
              <c:numCache>
                <c:formatCode>0%</c:formatCode>
                <c:ptCount val="2"/>
                <c:pt idx="0">
                  <c:v>1.0175975594717515E-2</c:v>
                </c:pt>
                <c:pt idx="1">
                  <c:v>7.1423529109834001E-3</c:v>
                </c:pt>
              </c:numCache>
            </c:numRef>
          </c:val>
          <c:extLst>
            <c:ext xmlns:c16="http://schemas.microsoft.com/office/drawing/2014/chart" uri="{C3380CC4-5D6E-409C-BE32-E72D297353CC}">
              <c16:uniqueId val="{00000005-F621-42DA-A40C-643908BEBFE1}"/>
            </c:ext>
          </c:extLst>
        </c:ser>
        <c:ser>
          <c:idx val="7"/>
          <c:order val="6"/>
          <c:tx>
            <c:strRef>
              <c:f>'Optimized total costs'!$X$11</c:f>
              <c:strCache>
                <c:ptCount val="1"/>
                <c:pt idx="0">
                  <c:v>PWID</c:v>
                </c:pt>
              </c:strCache>
              <c:extLst xmlns:c15="http://schemas.microsoft.com/office/drawing/2012/chart"/>
            </c:strRef>
          </c:tx>
          <c:spPr>
            <a:solidFill>
              <a:srgbClr val="00B0F0"/>
            </a:solidFill>
            <a:ln>
              <a:noFill/>
            </a:ln>
            <a:effectLst/>
          </c:spPr>
          <c:invertIfNegative val="0"/>
          <c:val>
            <c:numRef>
              <c:f>'Optimized total costs'!$Y$11:$Z$11</c:f>
              <c:numCache>
                <c:formatCode>0%</c:formatCode>
                <c:ptCount val="2"/>
                <c:pt idx="0">
                  <c:v>9.959330671532509E-3</c:v>
                </c:pt>
                <c:pt idx="1">
                  <c:v>0</c:v>
                </c:pt>
              </c:numCache>
              <c:extLst xmlns:c15="http://schemas.microsoft.com/office/drawing/2012/chart"/>
            </c:numRef>
          </c:val>
          <c:extLst xmlns:c15="http://schemas.microsoft.com/office/drawing/2012/chart">
            <c:ext xmlns:c16="http://schemas.microsoft.com/office/drawing/2014/chart" uri="{C3380CC4-5D6E-409C-BE32-E72D297353CC}">
              <c16:uniqueId val="{00000006-F621-42DA-A40C-643908BEBFE1}"/>
            </c:ext>
          </c:extLst>
        </c:ser>
        <c:ser>
          <c:idx val="8"/>
          <c:order val="7"/>
          <c:tx>
            <c:strRef>
              <c:f>'Optimized total costs'!$X$12</c:f>
              <c:strCache>
                <c:ptCount val="1"/>
                <c:pt idx="0">
                  <c:v>Cash transfers</c:v>
                </c:pt>
              </c:strCache>
              <c:extLst xmlns:c15="http://schemas.microsoft.com/office/drawing/2012/chart"/>
            </c:strRef>
          </c:tx>
          <c:spPr>
            <a:solidFill>
              <a:schemeClr val="accent2"/>
            </a:solidFill>
            <a:ln>
              <a:noFill/>
            </a:ln>
            <a:effectLst/>
          </c:spPr>
          <c:invertIfNegative val="0"/>
          <c:val>
            <c:numRef>
              <c:f>'Optimized total costs'!$Y$12:$Z$12</c:f>
              <c:numCache>
                <c:formatCode>0%</c:formatCode>
                <c:ptCount val="2"/>
                <c:pt idx="0">
                  <c:v>1.3899669891476667E-2</c:v>
                </c:pt>
                <c:pt idx="1">
                  <c:v>6.0058972287954926E-3</c:v>
                </c:pt>
              </c:numCache>
              <c:extLst xmlns:c15="http://schemas.microsoft.com/office/drawing/2012/chart"/>
            </c:numRef>
          </c:val>
          <c:extLst xmlns:c15="http://schemas.microsoft.com/office/drawing/2012/chart">
            <c:ext xmlns:c16="http://schemas.microsoft.com/office/drawing/2014/chart" uri="{C3380CC4-5D6E-409C-BE32-E72D297353CC}">
              <c16:uniqueId val="{00000007-F621-42DA-A40C-643908BEBFE1}"/>
            </c:ext>
          </c:extLst>
        </c:ser>
        <c:ser>
          <c:idx val="11"/>
          <c:order val="10"/>
          <c:tx>
            <c:strRef>
              <c:f>'Optimized total costs'!$X$15</c:f>
              <c:strCache>
                <c:ptCount val="1"/>
                <c:pt idx="0">
                  <c:v>BCC</c:v>
                </c:pt>
              </c:strCache>
              <c:extLst xmlns:c15="http://schemas.microsoft.com/office/drawing/2012/chart"/>
            </c:strRef>
          </c:tx>
          <c:spPr>
            <a:solidFill>
              <a:srgbClr val="7030A0"/>
            </a:solidFill>
            <a:ln>
              <a:noFill/>
            </a:ln>
            <a:effectLst/>
          </c:spPr>
          <c:invertIfNegative val="0"/>
          <c:val>
            <c:numRef>
              <c:f>'Optimized total costs'!$Y$15:$Z$15</c:f>
              <c:numCache>
                <c:formatCode>0%</c:formatCode>
                <c:ptCount val="2"/>
                <c:pt idx="0">
                  <c:v>1.8680131392298335E-2</c:v>
                </c:pt>
                <c:pt idx="1">
                  <c:v>1.7415007102738026E-2</c:v>
                </c:pt>
              </c:numCache>
              <c:extLst xmlns:c15="http://schemas.microsoft.com/office/drawing/2012/chart"/>
            </c:numRef>
          </c:val>
          <c:extLst xmlns:c15="http://schemas.microsoft.com/office/drawing/2012/chart">
            <c:ext xmlns:c16="http://schemas.microsoft.com/office/drawing/2014/chart" uri="{C3380CC4-5D6E-409C-BE32-E72D297353CC}">
              <c16:uniqueId val="{0000000A-F621-42DA-A40C-643908BEBFE1}"/>
            </c:ext>
          </c:extLst>
        </c:ser>
        <c:dLbls>
          <c:showLegendKey val="0"/>
          <c:showVal val="0"/>
          <c:showCatName val="0"/>
          <c:showSerName val="0"/>
          <c:showPercent val="0"/>
          <c:showBubbleSize val="0"/>
        </c:dLbls>
        <c:gapWidth val="150"/>
        <c:overlap val="100"/>
        <c:axId val="779951744"/>
        <c:axId val="779952072"/>
        <c:extLst>
          <c:ext xmlns:c15="http://schemas.microsoft.com/office/drawing/2012/chart" uri="{02D57815-91ED-43cb-92C2-25804820EDAC}">
            <c15:filteredBarSeries>
              <c15:ser>
                <c:idx val="9"/>
                <c:order val="8"/>
                <c:tx>
                  <c:strRef>
                    <c:extLst>
                      <c:ext uri="{02D57815-91ED-43cb-92C2-25804820EDAC}">
                        <c15:formulaRef>
                          <c15:sqref>'Optimized total costs'!$X$13</c15:sqref>
                        </c15:formulaRef>
                      </c:ext>
                    </c:extLst>
                    <c:strCache>
                      <c:ptCount val="1"/>
                      <c:pt idx="0">
                        <c:v>HCT</c:v>
                      </c:pt>
                    </c:strCache>
                  </c:strRef>
                </c:tx>
                <c:spPr>
                  <a:solidFill>
                    <a:schemeClr val="accent4">
                      <a:lumMod val="60000"/>
                    </a:schemeClr>
                  </a:solidFill>
                  <a:ln>
                    <a:noFill/>
                  </a:ln>
                  <a:effectLst/>
                </c:spPr>
                <c:invertIfNegative val="0"/>
                <c:val>
                  <c:numRef>
                    <c:extLst>
                      <c:ext uri="{02D57815-91ED-43cb-92C2-25804820EDAC}">
                        <c15:formulaRef>
                          <c15:sqref>'Optimized total costs'!$Y$13:$Z$13</c15:sqref>
                        </c15:formulaRef>
                      </c:ext>
                    </c:extLst>
                    <c:numCache>
                      <c:formatCode>0%</c:formatCode>
                      <c:ptCount val="2"/>
                      <c:pt idx="0">
                        <c:v>0.10748113036134614</c:v>
                      </c:pt>
                      <c:pt idx="1">
                        <c:v>9.3259821928718081E-2</c:v>
                      </c:pt>
                    </c:numCache>
                  </c:numRef>
                </c:val>
                <c:extLst>
                  <c:ext xmlns:c16="http://schemas.microsoft.com/office/drawing/2014/chart" uri="{C3380CC4-5D6E-409C-BE32-E72D297353CC}">
                    <c16:uniqueId val="{00000008-F621-42DA-A40C-643908BEBFE1}"/>
                  </c:ext>
                </c:extLst>
              </c15:ser>
            </c15:filteredBarSeries>
            <c15:filteredBarSeries>
              <c15:ser>
                <c:idx val="10"/>
                <c:order val="9"/>
                <c:tx>
                  <c:strRef>
                    <c:extLst xmlns:c15="http://schemas.microsoft.com/office/drawing/2012/chart">
                      <c:ext xmlns:c15="http://schemas.microsoft.com/office/drawing/2012/chart" uri="{02D57815-91ED-43cb-92C2-25804820EDAC}">
                        <c15:formulaRef>
                          <c15:sqref>'Optimized total costs'!$X$14</c15:sqref>
                        </c15:formulaRef>
                      </c:ext>
                    </c:extLst>
                    <c:strCache>
                      <c:ptCount val="1"/>
                      <c:pt idx="0">
                        <c:v>PMTCT</c:v>
                      </c:pt>
                    </c:strCache>
                  </c:strRef>
                </c:tx>
                <c:spPr>
                  <a:solidFill>
                    <a:schemeClr val="accent5">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'Optimized total costs'!$Y$14:$Z$14</c15:sqref>
                        </c15:formulaRef>
                      </c:ext>
                    </c:extLst>
                    <c:numCache>
                      <c:formatCode>0%</c:formatCode>
                      <c:ptCount val="2"/>
                      <c:pt idx="0">
                        <c:v>2.7432409596239493E-2</c:v>
                      </c:pt>
                      <c:pt idx="1">
                        <c:v>3.2149165248801827E-2</c:v>
                      </c:pt>
                    </c:numCache>
                  </c:numRef>
                </c:val>
                <c:extLst xmlns:c15="http://schemas.microsoft.com/office/drawing/2012/chart">
                  <c:ext xmlns:c16="http://schemas.microsoft.com/office/drawing/2014/chart" uri="{C3380CC4-5D6E-409C-BE32-E72D297353CC}">
                    <c16:uniqueId val="{00000009-F621-42DA-A40C-643908BEBFE1}"/>
                  </c:ext>
                </c:extLst>
              </c15:ser>
            </c15:filteredBarSeries>
            <c15:filteredBarSeries>
              <c15:ser>
                <c:idx val="12"/>
                <c:order val="11"/>
                <c:tx>
                  <c:strRef>
                    <c:extLst xmlns:c15="http://schemas.microsoft.com/office/drawing/2012/chart">
                      <c:ext xmlns:c15="http://schemas.microsoft.com/office/drawing/2012/chart" uri="{02D57815-91ED-43cb-92C2-25804820EDAC}">
                        <c15:formulaRef>
                          <c15:sqref>'Optimized total costs'!$X$16</c15:sqref>
                        </c15:formulaRef>
                      </c:ext>
                    </c:extLst>
                    <c:strCache>
                      <c:ptCount val="1"/>
                      <c:pt idx="0">
                        <c:v>Care and treatment</c:v>
                      </c:pt>
                    </c:strCache>
                  </c:strRef>
                </c:tx>
                <c:spPr>
                  <a:solidFill>
                    <a:schemeClr val="accent1">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'Optimized total costs'!$Y$16:$Z$16</c15:sqref>
                        </c15:formulaRef>
                      </c:ext>
                    </c:extLst>
                    <c:numCache>
                      <c:formatCode>0%</c:formatCode>
                      <c:ptCount val="2"/>
                      <c:pt idx="0">
                        <c:v>0.47822823314903018</c:v>
                      </c:pt>
                      <c:pt idx="1">
                        <c:v>0.47168191957310557</c:v>
                      </c:pt>
                    </c:numCache>
                  </c:numRef>
                </c:val>
                <c:extLst xmlns:c15="http://schemas.microsoft.com/office/drawing/2012/chart">
                  <c:ext xmlns:c16="http://schemas.microsoft.com/office/drawing/2014/chart" uri="{C3380CC4-5D6E-409C-BE32-E72D297353CC}">
                    <c16:uniqueId val="{0000000B-F621-42DA-A40C-643908BEBFE1}"/>
                  </c:ext>
                </c:extLst>
              </c15:ser>
            </c15:filteredBarSeries>
          </c:ext>
        </c:extLst>
      </c:barChart>
      <c:catAx>
        <c:axId val="779951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CC</a:t>
                </a:r>
                <a:r>
                  <a:rPr lang="en-US" baseline="0"/>
                  <a:t> vs O-CCF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9952072"/>
        <c:crosses val="autoZero"/>
        <c:auto val="1"/>
        <c:lblAlgn val="ctr"/>
        <c:lblOffset val="100"/>
        <c:noMultiLvlLbl val="0"/>
      </c:catAx>
      <c:valAx>
        <c:axId val="779952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9951744"/>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Sheet1!$A$2</c:f>
              <c:strCache>
                <c:ptCount val="1"/>
                <c:pt idx="0">
                  <c:v>PITC</c:v>
                </c:pt>
              </c:strCache>
            </c:strRef>
          </c:tx>
          <c:spPr>
            <a:solidFill>
              <a:schemeClr val="accent1"/>
            </a:solidFill>
            <a:ln w="25400">
              <a:noFill/>
            </a:ln>
            <a:effectLst/>
          </c:spP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Sheet1!$B$2:$N$2</c:f>
              <c:numCache>
                <c:formatCode>#,##0</c:formatCode>
                <c:ptCount val="13"/>
                <c:pt idx="0">
                  <c:v>3695815</c:v>
                </c:pt>
                <c:pt idx="1">
                  <c:v>4017578</c:v>
                </c:pt>
                <c:pt idx="2">
                  <c:v>4407091</c:v>
                </c:pt>
                <c:pt idx="3">
                  <c:v>4598190</c:v>
                </c:pt>
                <c:pt idx="4">
                  <c:v>4755792</c:v>
                </c:pt>
                <c:pt idx="5">
                  <c:v>4943723</c:v>
                </c:pt>
                <c:pt idx="6">
                  <c:v>4958380</c:v>
                </c:pt>
                <c:pt idx="7">
                  <c:v>4984793</c:v>
                </c:pt>
                <c:pt idx="8">
                  <c:v>5013622</c:v>
                </c:pt>
                <c:pt idx="9">
                  <c:v>5043518</c:v>
                </c:pt>
                <c:pt idx="10">
                  <c:v>5074276</c:v>
                </c:pt>
                <c:pt idx="11">
                  <c:v>5105867</c:v>
                </c:pt>
                <c:pt idx="12">
                  <c:v>5138293</c:v>
                </c:pt>
              </c:numCache>
            </c:numRef>
          </c:val>
          <c:extLst>
            <c:ext xmlns:c16="http://schemas.microsoft.com/office/drawing/2014/chart" uri="{C3380CC4-5D6E-409C-BE32-E72D297353CC}">
              <c16:uniqueId val="{00000000-73A6-40F0-BBF9-0E0CCE4E2CA9}"/>
            </c:ext>
          </c:extLst>
        </c:ser>
        <c:ser>
          <c:idx val="1"/>
          <c:order val="1"/>
          <c:tx>
            <c:strRef>
              <c:f>Sheet1!$A$3</c:f>
              <c:strCache>
                <c:ptCount val="1"/>
                <c:pt idx="0">
                  <c:v>VCT</c:v>
                </c:pt>
              </c:strCache>
            </c:strRef>
          </c:tx>
          <c:spPr>
            <a:solidFill>
              <a:schemeClr val="accent2"/>
            </a:solidFill>
            <a:ln w="25400">
              <a:noFill/>
            </a:ln>
            <a:effectLst/>
          </c:spP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Sheet1!$B$3:$N$3</c:f>
              <c:numCache>
                <c:formatCode>#,##0</c:formatCode>
                <c:ptCount val="13"/>
                <c:pt idx="0">
                  <c:v>768920</c:v>
                </c:pt>
                <c:pt idx="1">
                  <c:v>778811</c:v>
                </c:pt>
                <c:pt idx="2">
                  <c:v>788684</c:v>
                </c:pt>
                <c:pt idx="3">
                  <c:v>410161</c:v>
                </c:pt>
                <c:pt idx="4">
                  <c:v>18920</c:v>
                </c:pt>
                <c:pt idx="5">
                  <c:v>19198</c:v>
                </c:pt>
                <c:pt idx="6">
                  <c:v>19494</c:v>
                </c:pt>
                <c:pt idx="7">
                  <c:v>19805</c:v>
                </c:pt>
                <c:pt idx="8">
                  <c:v>20126</c:v>
                </c:pt>
                <c:pt idx="9">
                  <c:v>20455</c:v>
                </c:pt>
                <c:pt idx="10">
                  <c:v>20792</c:v>
                </c:pt>
                <c:pt idx="11">
                  <c:v>21136</c:v>
                </c:pt>
                <c:pt idx="12">
                  <c:v>21488</c:v>
                </c:pt>
              </c:numCache>
            </c:numRef>
          </c:val>
          <c:extLst>
            <c:ext xmlns:c16="http://schemas.microsoft.com/office/drawing/2014/chart" uri="{C3380CC4-5D6E-409C-BE32-E72D297353CC}">
              <c16:uniqueId val="{00000001-73A6-40F0-BBF9-0E0CCE4E2CA9}"/>
            </c:ext>
          </c:extLst>
        </c:ser>
        <c:ser>
          <c:idx val="2"/>
          <c:order val="2"/>
          <c:tx>
            <c:strRef>
              <c:f>Sheet1!$A$4</c:f>
              <c:strCache>
                <c:ptCount val="1"/>
                <c:pt idx="0">
                  <c:v>Mobile</c:v>
                </c:pt>
              </c:strCache>
            </c:strRef>
          </c:tx>
          <c:spPr>
            <a:solidFill>
              <a:schemeClr val="accent3"/>
            </a:solidFill>
            <a:ln w="25400">
              <a:noFill/>
            </a:ln>
            <a:effectLst/>
          </c:spP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Sheet1!$B$4:$N$4</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73A6-40F0-BBF9-0E0CCE4E2CA9}"/>
            </c:ext>
          </c:extLst>
        </c:ser>
        <c:ser>
          <c:idx val="3"/>
          <c:order val="3"/>
          <c:tx>
            <c:strRef>
              <c:f>Sheet1!$A$5</c:f>
              <c:strCache>
                <c:ptCount val="1"/>
                <c:pt idx="0">
                  <c:v>CBT</c:v>
                </c:pt>
              </c:strCache>
            </c:strRef>
          </c:tx>
          <c:spPr>
            <a:solidFill>
              <a:schemeClr val="accent4"/>
            </a:solidFill>
            <a:ln w="25400">
              <a:noFill/>
            </a:ln>
            <a:effectLst/>
          </c:spP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Sheet1!$B$5:$N$5</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3-73A6-40F0-BBF9-0E0CCE4E2CA9}"/>
            </c:ext>
          </c:extLst>
        </c:ser>
        <c:ser>
          <c:idx val="4"/>
          <c:order val="4"/>
          <c:tx>
            <c:strRef>
              <c:f>Sheet1!$A$6</c:f>
              <c:strCache>
                <c:ptCount val="1"/>
                <c:pt idx="0">
                  <c:v>Self-test</c:v>
                </c:pt>
              </c:strCache>
            </c:strRef>
          </c:tx>
          <c:spPr>
            <a:solidFill>
              <a:schemeClr val="accent5"/>
            </a:solidFill>
            <a:ln w="25400">
              <a:noFill/>
            </a:ln>
            <a:effectLst/>
          </c:spP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Sheet1!$B$6:$N$6</c:f>
              <c:numCache>
                <c:formatCode>#,##0</c:formatCode>
                <c:ptCount val="13"/>
                <c:pt idx="0">
                  <c:v>0</c:v>
                </c:pt>
                <c:pt idx="1">
                  <c:v>1452679</c:v>
                </c:pt>
                <c:pt idx="2">
                  <c:v>2741031</c:v>
                </c:pt>
                <c:pt idx="3">
                  <c:v>4069875</c:v>
                </c:pt>
                <c:pt idx="4">
                  <c:v>4147692</c:v>
                </c:pt>
                <c:pt idx="5">
                  <c:v>4244396</c:v>
                </c:pt>
                <c:pt idx="6">
                  <c:v>4311345</c:v>
                </c:pt>
                <c:pt idx="7">
                  <c:v>4380618</c:v>
                </c:pt>
                <c:pt idx="8">
                  <c:v>4451400</c:v>
                </c:pt>
                <c:pt idx="9">
                  <c:v>4523579</c:v>
                </c:pt>
                <c:pt idx="10">
                  <c:v>4597133</c:v>
                </c:pt>
                <c:pt idx="11">
                  <c:v>4672059</c:v>
                </c:pt>
                <c:pt idx="12">
                  <c:v>4748360</c:v>
                </c:pt>
              </c:numCache>
            </c:numRef>
          </c:val>
          <c:extLst>
            <c:ext xmlns:c16="http://schemas.microsoft.com/office/drawing/2014/chart" uri="{C3380CC4-5D6E-409C-BE32-E72D297353CC}">
              <c16:uniqueId val="{00000004-73A6-40F0-BBF9-0E0CCE4E2CA9}"/>
            </c:ext>
          </c:extLst>
        </c:ser>
        <c:dLbls>
          <c:showLegendKey val="0"/>
          <c:showVal val="0"/>
          <c:showCatName val="0"/>
          <c:showSerName val="0"/>
          <c:showPercent val="0"/>
          <c:showBubbleSize val="0"/>
        </c:dLbls>
        <c:axId val="-2112393784"/>
        <c:axId val="-2112390120"/>
        <c:extLst>
          <c:ext xmlns:c15="http://schemas.microsoft.com/office/drawing/2012/chart" uri="{02D57815-91ED-43cb-92C2-25804820EDAC}">
            <c15:filteredAreaSeries>
              <c15:ser>
                <c:idx val="5"/>
                <c:order val="5"/>
                <c:tx>
                  <c:strRef>
                    <c:extLst>
                      <c:ext uri="{02D57815-91ED-43cb-92C2-25804820EDAC}">
                        <c15:formulaRef>
                          <c15:sqref>Sheet1!$A$7</c15:sqref>
                        </c15:formulaRef>
                      </c:ext>
                    </c:extLst>
                    <c:strCache>
                      <c:ptCount val="1"/>
                      <c:pt idx="0">
                        <c:v>Total</c:v>
                      </c:pt>
                    </c:strCache>
                  </c:strRef>
                </c:tx>
                <c:spPr>
                  <a:solidFill>
                    <a:schemeClr val="accent6"/>
                  </a:solidFill>
                  <a:ln w="25400">
                    <a:noFill/>
                  </a:ln>
                  <a:effectLst/>
                </c:spPr>
                <c:cat>
                  <c:strRef>
                    <c:extLst>
                      <c:ext uri="{02D57815-91ED-43cb-92C2-25804820EDAC}">
                        <c15:formulaRef>
                          <c15:sqref>Sheet1!$B$1:$N$1</c15:sqref>
                        </c15:formulaRef>
                      </c:ext>
                    </c:extLst>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extLst>
                      <c:ext uri="{02D57815-91ED-43cb-92C2-25804820EDAC}">
                        <c15:formulaRef>
                          <c15:sqref>Sheet1!$B$7:$N$7</c15:sqref>
                        </c15:formulaRef>
                      </c:ext>
                    </c:extLst>
                    <c:numCache>
                      <c:formatCode>#,##0</c:formatCode>
                      <c:ptCount val="13"/>
                      <c:pt idx="0">
                        <c:v>4464735</c:v>
                      </c:pt>
                      <c:pt idx="1">
                        <c:v>6249067</c:v>
                      </c:pt>
                      <c:pt idx="2">
                        <c:v>7936807</c:v>
                      </c:pt>
                      <c:pt idx="3">
                        <c:v>9078226</c:v>
                      </c:pt>
                      <c:pt idx="4">
                        <c:v>8922404</c:v>
                      </c:pt>
                      <c:pt idx="5">
                        <c:v>9207317</c:v>
                      </c:pt>
                      <c:pt idx="6">
                        <c:v>9289219</c:v>
                      </c:pt>
                      <c:pt idx="7">
                        <c:v>9385216</c:v>
                      </c:pt>
                      <c:pt idx="8">
                        <c:v>9485148</c:v>
                      </c:pt>
                      <c:pt idx="9">
                        <c:v>9587552</c:v>
                      </c:pt>
                      <c:pt idx="10">
                        <c:v>9692200</c:v>
                      </c:pt>
                      <c:pt idx="11">
                        <c:v>9799062</c:v>
                      </c:pt>
                      <c:pt idx="12">
                        <c:v>9908141</c:v>
                      </c:pt>
                    </c:numCache>
                  </c:numRef>
                </c:val>
                <c:extLst>
                  <c:ext xmlns:c16="http://schemas.microsoft.com/office/drawing/2014/chart" uri="{C3380CC4-5D6E-409C-BE32-E72D297353CC}">
                    <c16:uniqueId val="{00000005-73A6-40F0-BBF9-0E0CCE4E2CA9}"/>
                  </c:ext>
                </c:extLst>
              </c15:ser>
            </c15:filteredAreaSeries>
          </c:ext>
        </c:extLst>
      </c:areaChart>
      <c:catAx>
        <c:axId val="-211239378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12390120"/>
        <c:crosses val="autoZero"/>
        <c:auto val="1"/>
        <c:lblAlgn val="ctr"/>
        <c:lblOffset val="100"/>
        <c:noMultiLvlLbl val="0"/>
      </c:catAx>
      <c:valAx>
        <c:axId val="-2112390120"/>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12393784"/>
        <c:crosses val="autoZero"/>
        <c:crossBetween val="midCat"/>
      </c:valAx>
      <c:spPr>
        <a:noFill/>
        <a:ln>
          <a:noFill/>
        </a:ln>
        <a:effectLst/>
      </c:spPr>
    </c:plotArea>
    <c:legend>
      <c:legendPos val="b"/>
      <c:layout>
        <c:manualLayout>
          <c:xMode val="edge"/>
          <c:yMode val="edge"/>
          <c:x val="0.31693817726579027"/>
          <c:y val="0.91508299908423096"/>
          <c:w val="0.40968086356623651"/>
          <c:h val="8.10031871968264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Category 1</c:v>
                </c:pt>
              </c:strCache>
            </c:strRef>
          </c:tx>
          <c:spPr>
            <a:ln w="76200" cap="rnd">
              <a:solidFill>
                <a:schemeClr val="tx1"/>
              </a:solidFill>
              <a:round/>
            </a:ln>
            <a:effectLst/>
          </c:spPr>
          <c:marker>
            <c:symbol val="none"/>
          </c:marke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Sheet1!$B$2:$N$2</c:f>
              <c:numCache>
                <c:formatCode>General</c:formatCode>
                <c:ptCount val="13"/>
                <c:pt idx="0">
                  <c:v>0.82218419078041705</c:v>
                </c:pt>
                <c:pt idx="1">
                  <c:v>0.82658103353630097</c:v>
                </c:pt>
                <c:pt idx="2">
                  <c:v>0.83773207339451616</c:v>
                </c:pt>
                <c:pt idx="3">
                  <c:v>0.85742770804494894</c:v>
                </c:pt>
                <c:pt idx="4">
                  <c:v>0.87759144329965788</c:v>
                </c:pt>
                <c:pt idx="5">
                  <c:v>0.88885360666031721</c:v>
                </c:pt>
                <c:pt idx="6">
                  <c:v>0.89546866694780769</c:v>
                </c:pt>
                <c:pt idx="7">
                  <c:v>0.89778587251310826</c:v>
                </c:pt>
                <c:pt idx="8">
                  <c:v>0.89909896333654549</c:v>
                </c:pt>
                <c:pt idx="9">
                  <c:v>0.89995464339719777</c:v>
                </c:pt>
                <c:pt idx="10">
                  <c:v>0.90049822213158592</c:v>
                </c:pt>
                <c:pt idx="11">
                  <c:v>0.90080112707636106</c:v>
                </c:pt>
                <c:pt idx="12">
                  <c:v>0.90091388158397989</c:v>
                </c:pt>
              </c:numCache>
            </c:numRef>
          </c:val>
          <c:smooth val="0"/>
          <c:extLst>
            <c:ext xmlns:c16="http://schemas.microsoft.com/office/drawing/2014/chart" uri="{C3380CC4-5D6E-409C-BE32-E72D297353CC}">
              <c16:uniqueId val="{00000000-1B08-44C6-9995-037275EB18F0}"/>
            </c:ext>
          </c:extLst>
        </c:ser>
        <c:dLbls>
          <c:showLegendKey val="0"/>
          <c:showVal val="0"/>
          <c:showCatName val="0"/>
          <c:showSerName val="0"/>
          <c:showPercent val="0"/>
          <c:showBubbleSize val="0"/>
        </c:dLbls>
        <c:smooth val="0"/>
        <c:axId val="-2125448824"/>
        <c:axId val="-2125300232"/>
      </c:lineChart>
      <c:catAx>
        <c:axId val="-21254488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25300232"/>
        <c:crosses val="autoZero"/>
        <c:auto val="1"/>
        <c:lblAlgn val="ctr"/>
        <c:lblOffset val="100"/>
        <c:noMultiLvlLbl val="0"/>
      </c:catAx>
      <c:valAx>
        <c:axId val="-2125300232"/>
        <c:scaling>
          <c:orientation val="minMax"/>
          <c:max val="1"/>
          <c:min val="0.5"/>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Percent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25448824"/>
        <c:crosses val="autoZero"/>
        <c:crossBetween val="between"/>
        <c:maj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9367541965265"/>
          <c:y val="9.7789245938852243E-2"/>
          <c:w val="0.83796317003401277"/>
          <c:h val="0.76502473659623804"/>
        </c:manualLayout>
      </c:layout>
      <c:lineChart>
        <c:grouping val="standard"/>
        <c:varyColors val="0"/>
        <c:ser>
          <c:idx val="0"/>
          <c:order val="0"/>
          <c:tx>
            <c:strRef>
              <c:f>Sheet1!$A$2</c:f>
              <c:strCache>
                <c:ptCount val="1"/>
                <c:pt idx="0">
                  <c:v>Category 1</c:v>
                </c:pt>
              </c:strCache>
            </c:strRef>
          </c:tx>
          <c:spPr>
            <a:ln w="57150" cap="rnd">
              <a:solidFill>
                <a:schemeClr val="tx1"/>
              </a:solidFill>
              <a:round/>
            </a:ln>
            <a:effectLst/>
          </c:spPr>
          <c:marker>
            <c:symbol val="none"/>
          </c:marker>
          <c:cat>
            <c:strRef>
              <c:f>Sheet1!$B$1:$N$1</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Sheet1!$B$2:$N$2</c:f>
              <c:numCache>
                <c:formatCode>"$"#,##0</c:formatCode>
                <c:ptCount val="13"/>
                <c:pt idx="0">
                  <c:v>26513571</c:v>
                </c:pt>
                <c:pt idx="1">
                  <c:v>32525247</c:v>
                </c:pt>
                <c:pt idx="2">
                  <c:v>38815631</c:v>
                </c:pt>
                <c:pt idx="3">
                  <c:v>37226514.600000001</c:v>
                </c:pt>
                <c:pt idx="4">
                  <c:v>32385873.199999999</c:v>
                </c:pt>
                <c:pt idx="5">
                  <c:v>33608428.799999997</c:v>
                </c:pt>
                <c:pt idx="6">
                  <c:v>33549330.399999999</c:v>
                </c:pt>
                <c:pt idx="7">
                  <c:v>33625616</c:v>
                </c:pt>
                <c:pt idx="8">
                  <c:v>33728311.600000001</c:v>
                </c:pt>
                <c:pt idx="9">
                  <c:v>33841598.200000003</c:v>
                </c:pt>
                <c:pt idx="10">
                  <c:v>33962927.799999997</c:v>
                </c:pt>
                <c:pt idx="11">
                  <c:v>34091877.400000006</c:v>
                </c:pt>
                <c:pt idx="12">
                  <c:v>34228365</c:v>
                </c:pt>
              </c:numCache>
            </c:numRef>
          </c:val>
          <c:smooth val="0"/>
          <c:extLst>
            <c:ext xmlns:c16="http://schemas.microsoft.com/office/drawing/2014/chart" uri="{C3380CC4-5D6E-409C-BE32-E72D297353CC}">
              <c16:uniqueId val="{00000000-8551-4223-908D-6F72A6F73E25}"/>
            </c:ext>
          </c:extLst>
        </c:ser>
        <c:dLbls>
          <c:showLegendKey val="0"/>
          <c:showVal val="0"/>
          <c:showCatName val="0"/>
          <c:showSerName val="0"/>
          <c:showPercent val="0"/>
          <c:showBubbleSize val="0"/>
        </c:dLbls>
        <c:smooth val="0"/>
        <c:axId val="-2112436152"/>
        <c:axId val="-2112432440"/>
      </c:lineChart>
      <c:catAx>
        <c:axId val="-2112436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12432440"/>
        <c:crosses val="autoZero"/>
        <c:auto val="1"/>
        <c:lblAlgn val="ctr"/>
        <c:lblOffset val="100"/>
        <c:noMultiLvlLbl val="0"/>
      </c:catAx>
      <c:valAx>
        <c:axId val="-2112432440"/>
        <c:scaling>
          <c:orientation val="minMax"/>
        </c:scaling>
        <c:delete val="0"/>
        <c:axPos val="l"/>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12436152"/>
        <c:crosses val="autoZero"/>
        <c:crossBetween val="between"/>
        <c:dispUnits>
          <c:builtInUnit val="millions"/>
          <c:dispUnitsLbl>
            <c:layout>
              <c:manualLayout>
                <c:xMode val="edge"/>
                <c:yMode val="edge"/>
                <c:x val="2.48756218905473E-2"/>
                <c:y val="0.35141562494626799"/>
              </c:manualLayout>
            </c:layout>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Millions (USD)</a:t>
                  </a:r>
                </a:p>
              </c:rich>
            </c:tx>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1049105</c:v>
                </c:pt>
                <c:pt idx="1">
                  <c:v>1066053</c:v>
                </c:pt>
                <c:pt idx="2">
                  <c:v>1073806</c:v>
                </c:pt>
                <c:pt idx="3">
                  <c:v>1080955</c:v>
                </c:pt>
                <c:pt idx="4">
                  <c:v>1087087</c:v>
                </c:pt>
                <c:pt idx="5">
                  <c:v>1092000</c:v>
                </c:pt>
                <c:pt idx="6">
                  <c:v>1095714</c:v>
                </c:pt>
                <c:pt idx="7">
                  <c:v>1097753</c:v>
                </c:pt>
                <c:pt idx="8">
                  <c:v>1098951</c:v>
                </c:pt>
                <c:pt idx="9">
                  <c:v>1099667</c:v>
                </c:pt>
                <c:pt idx="10">
                  <c:v>1100350</c:v>
                </c:pt>
                <c:pt idx="11">
                  <c:v>1100963</c:v>
                </c:pt>
                <c:pt idx="12">
                  <c:v>1100835</c:v>
                </c:pt>
              </c:numCache>
            </c:numRef>
          </c:val>
          <c:smooth val="0"/>
          <c:extLst>
            <c:ext xmlns:c16="http://schemas.microsoft.com/office/drawing/2014/chart" uri="{C3380CC4-5D6E-409C-BE32-E72D297353CC}">
              <c16:uniqueId val="{00000000-EA11-4756-967C-8CBAD11589BF}"/>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1049105</c:v>
                </c:pt>
                <c:pt idx="1">
                  <c:v>1065532</c:v>
                </c:pt>
                <c:pt idx="2">
                  <c:v>1222137</c:v>
                </c:pt>
                <c:pt idx="3">
                  <c:v>1238467</c:v>
                </c:pt>
                <c:pt idx="4">
                  <c:v>1254562</c:v>
                </c:pt>
                <c:pt idx="5">
                  <c:v>1269673</c:v>
                </c:pt>
                <c:pt idx="6">
                  <c:v>1283613</c:v>
                </c:pt>
                <c:pt idx="7">
                  <c:v>1295597</c:v>
                </c:pt>
                <c:pt idx="8">
                  <c:v>1306489</c:v>
                </c:pt>
                <c:pt idx="9">
                  <c:v>1316623</c:v>
                </c:pt>
                <c:pt idx="10">
                  <c:v>1326512</c:v>
                </c:pt>
                <c:pt idx="11">
                  <c:v>1336063</c:v>
                </c:pt>
                <c:pt idx="12">
                  <c:v>1344300</c:v>
                </c:pt>
              </c:numCache>
            </c:numRef>
          </c:val>
          <c:smooth val="0"/>
          <c:extLst xmlns:c15="http://schemas.microsoft.com/office/drawing/2012/chart">
            <c:ext xmlns:c16="http://schemas.microsoft.com/office/drawing/2014/chart" uri="{C3380CC4-5D6E-409C-BE32-E72D297353CC}">
              <c16:uniqueId val="{00000001-EA11-4756-967C-8CBAD11589BF}"/>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1049105</c:v>
                </c:pt>
                <c:pt idx="1">
                  <c:v>1066363</c:v>
                </c:pt>
                <c:pt idx="2">
                  <c:v>1224558</c:v>
                </c:pt>
                <c:pt idx="3">
                  <c:v>1241480</c:v>
                </c:pt>
                <c:pt idx="4">
                  <c:v>1258116</c:v>
                </c:pt>
                <c:pt idx="5">
                  <c:v>1273843</c:v>
                </c:pt>
                <c:pt idx="6">
                  <c:v>1288482</c:v>
                </c:pt>
                <c:pt idx="7">
                  <c:v>1301242</c:v>
                </c:pt>
                <c:pt idx="8">
                  <c:v>1312978</c:v>
                </c:pt>
                <c:pt idx="9">
                  <c:v>1324016</c:v>
                </c:pt>
                <c:pt idx="10">
                  <c:v>1334874</c:v>
                </c:pt>
                <c:pt idx="11">
                  <c:v>1345457</c:v>
                </c:pt>
                <c:pt idx="12">
                  <c:v>1354781</c:v>
                </c:pt>
              </c:numCache>
            </c:numRef>
          </c:val>
          <c:smooth val="0"/>
          <c:extLst xmlns:c15="http://schemas.microsoft.com/office/drawing/2012/chart">
            <c:ext xmlns:c16="http://schemas.microsoft.com/office/drawing/2014/chart" uri="{C3380CC4-5D6E-409C-BE32-E72D297353CC}">
              <c16:uniqueId val="{00000002-EA11-4756-967C-8CBAD11589BF}"/>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3"/>
                <c:order val="3"/>
                <c:tx>
                  <c:strRef>
                    <c:extLst>
                      <c:ex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Sheet1!$E$2:$E$14</c15:sqref>
                        </c15:formulaRef>
                      </c:ext>
                    </c:extLst>
                    <c:numCache>
                      <c:formatCode>#,##0</c:formatCode>
                      <c:ptCount val="13"/>
                      <c:pt idx="0">
                        <c:v>1049105</c:v>
                      </c:pt>
                      <c:pt idx="1">
                        <c:v>1066363</c:v>
                      </c:pt>
                      <c:pt idx="2">
                        <c:v>1224558</c:v>
                      </c:pt>
                      <c:pt idx="3">
                        <c:v>1209933</c:v>
                      </c:pt>
                      <c:pt idx="4">
                        <c:v>1196590</c:v>
                      </c:pt>
                      <c:pt idx="5">
                        <c:v>1183118</c:v>
                      </c:pt>
                      <c:pt idx="6">
                        <c:v>1168615</c:v>
                      </c:pt>
                      <c:pt idx="7">
                        <c:v>1152104</c:v>
                      </c:pt>
                      <c:pt idx="8">
                        <c:v>1134505</c:v>
                      </c:pt>
                      <c:pt idx="9">
                        <c:v>1116642</c:v>
                      </c:pt>
                      <c:pt idx="10">
                        <c:v>1099532</c:v>
                      </c:pt>
                      <c:pt idx="11">
                        <c:v>1083665</c:v>
                      </c:pt>
                      <c:pt idx="12">
                        <c:v>1068856</c:v>
                      </c:pt>
                    </c:numCache>
                  </c:numRef>
                </c:val>
                <c:smooth val="0"/>
                <c:extLst>
                  <c:ext xmlns:c16="http://schemas.microsoft.com/office/drawing/2014/chart" uri="{C3380CC4-5D6E-409C-BE32-E72D297353CC}">
                    <c16:uniqueId val="{00000003-EA11-4756-967C-8CBAD11589B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1049105</c:v>
                      </c:pt>
                      <c:pt idx="1">
                        <c:v>1066363</c:v>
                      </c:pt>
                      <c:pt idx="2">
                        <c:v>1224558</c:v>
                      </c:pt>
                      <c:pt idx="3">
                        <c:v>1242467</c:v>
                      </c:pt>
                      <c:pt idx="4">
                        <c:v>1260347</c:v>
                      </c:pt>
                      <c:pt idx="5">
                        <c:v>1277478</c:v>
                      </c:pt>
                      <c:pt idx="6">
                        <c:v>1293639</c:v>
                      </c:pt>
                      <c:pt idx="7">
                        <c:v>1308010</c:v>
                      </c:pt>
                      <c:pt idx="8">
                        <c:v>1321422</c:v>
                      </c:pt>
                      <c:pt idx="9">
                        <c:v>1334176</c:v>
                      </c:pt>
                      <c:pt idx="10">
                        <c:v>1346768</c:v>
                      </c:pt>
                      <c:pt idx="11">
                        <c:v>1359073</c:v>
                      </c:pt>
                      <c:pt idx="12">
                        <c:v>1370082</c:v>
                      </c:pt>
                    </c:numCache>
                  </c:numRef>
                </c:val>
                <c:smooth val="0"/>
                <c:extLst xmlns:c15="http://schemas.microsoft.com/office/drawing/2012/chart">
                  <c:ext xmlns:c16="http://schemas.microsoft.com/office/drawing/2014/chart" uri="{C3380CC4-5D6E-409C-BE32-E72D297353CC}">
                    <c16:uniqueId val="{00000004-EA11-4756-967C-8CBAD11589BF}"/>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dispUnits>
          <c:builtInUnit val="millions"/>
          <c:dispUnitsLbl>
            <c:layout>
              <c:manualLayout>
                <c:xMode val="edge"/>
                <c:yMode val="edge"/>
                <c:x val="3.0747728860936407E-2"/>
                <c:y val="0.36622222222222217"/>
              </c:manualLayout>
            </c:layout>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48297739760951E-2"/>
          <c:y val="8.4557729252915548E-2"/>
          <c:w val="0.89154121921810137"/>
          <c:h val="0.69828178694158072"/>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dPt>
            <c:idx val="10"/>
            <c:marker>
              <c:symbol val="none"/>
            </c:marker>
            <c:bubble3D val="0"/>
            <c:extLst>
              <c:ext xmlns:c16="http://schemas.microsoft.com/office/drawing/2014/chart" uri="{C3380CC4-5D6E-409C-BE32-E72D297353CC}">
                <c16:uniqueId val="{00000000-1895-4B00-81D0-47BFD9480395}"/>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extLst/>
            </c:numRef>
          </c:val>
          <c:smooth val="0"/>
          <c:extLst>
            <c:ext xmlns:c16="http://schemas.microsoft.com/office/drawing/2014/chart" uri="{C3380CC4-5D6E-409C-BE32-E72D297353CC}">
              <c16:uniqueId val="{00000001-1895-4B00-81D0-47BFD9480395}"/>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Sheet1!$C$2:$C$14</c:f>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extLst/>
            </c:numRef>
          </c:val>
          <c:smooth val="0"/>
          <c:extLst xmlns:c15="http://schemas.microsoft.com/office/drawing/2012/chart">
            <c:ext xmlns:c16="http://schemas.microsoft.com/office/drawing/2014/chart" uri="{C3380CC4-5D6E-409C-BE32-E72D297353CC}">
              <c16:uniqueId val="{00000002-1895-4B00-81D0-47BFD9480395}"/>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Sheet1!$D$2:$D$14</c:f>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extLst/>
            </c:numRef>
          </c:val>
          <c:smooth val="0"/>
          <c:extLst xmlns:c15="http://schemas.microsoft.com/office/drawing/2012/chart">
            <c:ext xmlns:c16="http://schemas.microsoft.com/office/drawing/2014/chart" uri="{C3380CC4-5D6E-409C-BE32-E72D297353CC}">
              <c16:uniqueId val="{00000003-1895-4B00-81D0-47BFD9480395}"/>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3"/>
                <c:order val="3"/>
                <c:tx>
                  <c:strRef>
                    <c:extLst>
                      <c:ex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Sheet1!$E$2:$E$14</c15:sqref>
                        </c15:formulaRef>
                      </c:ext>
                    </c:extLst>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numRef>
                </c:val>
                <c:smooth val="0"/>
                <c:extLst>
                  <c:ext xmlns:c16="http://schemas.microsoft.com/office/drawing/2014/chart" uri="{C3380CC4-5D6E-409C-BE32-E72D297353CC}">
                    <c16:uniqueId val="{00000004-1895-4B00-81D0-47BFD948039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numRef>
                </c:val>
                <c:smooth val="0"/>
                <c:extLst xmlns:c15="http://schemas.microsoft.com/office/drawing/2012/chart">
                  <c:ext xmlns:c16="http://schemas.microsoft.com/office/drawing/2014/chart" uri="{C3380CC4-5D6E-409C-BE32-E72D297353CC}">
                    <c16:uniqueId val="{00000005-1895-4B00-81D0-47BFD9480395}"/>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467.98264999999998</c:v>
                </c:pt>
                <c:pt idx="1">
                  <c:v>461.49829999999997</c:v>
                </c:pt>
                <c:pt idx="2">
                  <c:v>465.83078</c:v>
                </c:pt>
                <c:pt idx="3">
                  <c:v>469.97609999999997</c:v>
                </c:pt>
                <c:pt idx="4">
                  <c:v>474.03453999999999</c:v>
                </c:pt>
                <c:pt idx="5">
                  <c:v>477.90449000000001</c:v>
                </c:pt>
                <c:pt idx="6">
                  <c:v>481.42367999999999</c:v>
                </c:pt>
                <c:pt idx="7">
                  <c:v>484.66980999999998</c:v>
                </c:pt>
                <c:pt idx="8">
                  <c:v>487.64582999999999</c:v>
                </c:pt>
                <c:pt idx="9">
                  <c:v>490.32909999999998</c:v>
                </c:pt>
                <c:pt idx="10">
                  <c:v>492.83341000000001</c:v>
                </c:pt>
                <c:pt idx="11">
                  <c:v>496.46039999999999</c:v>
                </c:pt>
                <c:pt idx="12">
                  <c:v>500.31641999999999</c:v>
                </c:pt>
              </c:numCache>
            </c:numRef>
          </c:val>
          <c:smooth val="0"/>
          <c:extLst>
            <c:ext xmlns:c16="http://schemas.microsoft.com/office/drawing/2014/chart" uri="{C3380CC4-5D6E-409C-BE32-E72D297353CC}">
              <c16:uniqueId val="{00000000-3D24-4BD5-AB34-C4553938A09C}"/>
            </c:ext>
          </c:extLst>
        </c:ser>
        <c:ser>
          <c:idx val="1"/>
          <c:order val="1"/>
          <c:tx>
            <c:strRef>
              <c:f>Sheet1!$C$1</c:f>
              <c:strCache>
                <c:ptCount val="1"/>
                <c:pt idx="0">
                  <c:v>NS</c:v>
                </c:pt>
              </c:strCache>
              <c:extLst xmlns:c15="http://schemas.microsoft.com/office/drawing/2012/chart"/>
            </c:strRef>
          </c:tx>
          <c:spPr>
            <a:ln w="57150" cap="rnd">
              <a:solidFill>
                <a:schemeClr val="accent2"/>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467.98264999999998</c:v>
                </c:pt>
                <c:pt idx="1">
                  <c:v>509.95699000000002</c:v>
                </c:pt>
                <c:pt idx="2">
                  <c:v>573.85712999999998</c:v>
                </c:pt>
                <c:pt idx="3">
                  <c:v>579.20203000000004</c:v>
                </c:pt>
                <c:pt idx="4">
                  <c:v>602.96974999999998</c:v>
                </c:pt>
                <c:pt idx="5">
                  <c:v>628.05430000000001</c:v>
                </c:pt>
                <c:pt idx="6">
                  <c:v>654.36455000000001</c:v>
                </c:pt>
                <c:pt idx="7">
                  <c:v>681.82455000000004</c:v>
                </c:pt>
                <c:pt idx="8">
                  <c:v>710.52549999999997</c:v>
                </c:pt>
                <c:pt idx="9">
                  <c:v>740.52671999999995</c:v>
                </c:pt>
                <c:pt idx="10">
                  <c:v>771.93263999999999</c:v>
                </c:pt>
                <c:pt idx="11">
                  <c:v>804.78490999999997</c:v>
                </c:pt>
                <c:pt idx="12">
                  <c:v>839.00984000000005</c:v>
                </c:pt>
              </c:numCache>
            </c:numRef>
          </c:val>
          <c:smooth val="0"/>
          <c:extLst xmlns:c15="http://schemas.microsoft.com/office/drawing/2012/chart">
            <c:ext xmlns:c16="http://schemas.microsoft.com/office/drawing/2014/chart" uri="{C3380CC4-5D6E-409C-BE32-E72D297353CC}">
              <c16:uniqueId val="{00000001-3D24-4BD5-AB34-C4553938A09C}"/>
            </c:ext>
          </c:extLst>
        </c:ser>
        <c:ser>
          <c:idx val="2"/>
          <c:order val="2"/>
          <c:tx>
            <c:strRef>
              <c:f>Sheet1!$D$1</c:f>
              <c:strCache>
                <c:ptCount val="1"/>
                <c:pt idx="0">
                  <c:v>O-CCF</c:v>
                </c:pt>
              </c:strCache>
              <c:extLst xmlns:c15="http://schemas.microsoft.com/office/drawing/2012/chart"/>
            </c:strRef>
          </c:tx>
          <c:spPr>
            <a:ln w="57150" cap="rnd">
              <a:solidFill>
                <a:schemeClr val="accent6"/>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Sheet1!$D$2:$D$14</c:f>
              <c:numCache>
                <c:formatCode>_(* #,##0_);_(* \(#,##0\);_(* "-"??_);_(@_)</c:formatCode>
                <c:ptCount val="13"/>
                <c:pt idx="0">
                  <c:v>452.80620099999999</c:v>
                </c:pt>
                <c:pt idx="1">
                  <c:v>456.350977</c:v>
                </c:pt>
                <c:pt idx="2">
                  <c:v>476.28646100000003</c:v>
                </c:pt>
                <c:pt idx="3">
                  <c:v>456.02121460000012</c:v>
                </c:pt>
                <c:pt idx="4">
                  <c:v>449.06662319999998</c:v>
                </c:pt>
                <c:pt idx="5">
                  <c:v>442.34034879999984</c:v>
                </c:pt>
                <c:pt idx="6">
                  <c:v>447.43748040000003</c:v>
                </c:pt>
                <c:pt idx="7">
                  <c:v>452.54984600000012</c:v>
                </c:pt>
                <c:pt idx="8">
                  <c:v>448.7398316</c:v>
                </c:pt>
                <c:pt idx="9">
                  <c:v>453.53595819999998</c:v>
                </c:pt>
                <c:pt idx="10">
                  <c:v>456.48717779999987</c:v>
                </c:pt>
                <c:pt idx="11">
                  <c:v>459.72770739999999</c:v>
                </c:pt>
                <c:pt idx="12">
                  <c:v>462.561105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3D24-4BD5-AB34-C4553938A09C}"/>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3"/>
                <c:order val="3"/>
                <c:tx>
                  <c:strRef>
                    <c:extLst>
                      <c:ex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Sheet1!$E$2:$E$14</c15:sqref>
                        </c15:formulaRef>
                      </c:ext>
                    </c:extLst>
                    <c:numCache>
                      <c:formatCode>0</c:formatCode>
                      <c:ptCount val="13"/>
                      <c:pt idx="0">
                        <c:v>452.80620099999999</c:v>
                      </c:pt>
                      <c:pt idx="1">
                        <c:v>456.350977</c:v>
                      </c:pt>
                      <c:pt idx="2">
                        <c:v>476.28646100000003</c:v>
                      </c:pt>
                      <c:pt idx="3">
                        <c:v>418.83955460000004</c:v>
                      </c:pt>
                      <c:pt idx="4">
                        <c:v>394.04692319999998</c:v>
                      </c:pt>
                      <c:pt idx="5">
                        <c:v>375.66345879999994</c:v>
                      </c:pt>
                      <c:pt idx="6">
                        <c:v>368.30137039999988</c:v>
                      </c:pt>
                      <c:pt idx="7">
                        <c:v>360.82966599999986</c:v>
                      </c:pt>
                      <c:pt idx="8">
                        <c:v>353.39591160000009</c:v>
                      </c:pt>
                      <c:pt idx="9">
                        <c:v>346.04349819999987</c:v>
                      </c:pt>
                      <c:pt idx="10">
                        <c:v>338.75924779999997</c:v>
                      </c:pt>
                      <c:pt idx="11">
                        <c:v>331.49431739999994</c:v>
                      </c:pt>
                      <c:pt idx="12">
                        <c:v>323.97772500000008</c:v>
                      </c:pt>
                    </c:numCache>
                  </c:numRef>
                </c:val>
                <c:smooth val="0"/>
                <c:extLst>
                  <c:ext xmlns:c16="http://schemas.microsoft.com/office/drawing/2014/chart" uri="{C3380CC4-5D6E-409C-BE32-E72D297353CC}">
                    <c16:uniqueId val="{00000003-3D24-4BD5-AB34-C4553938A09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452.80620099999999</c:v>
                      </c:pt>
                      <c:pt idx="1">
                        <c:v>456.350977</c:v>
                      </c:pt>
                      <c:pt idx="2">
                        <c:v>476.28646100000003</c:v>
                      </c:pt>
                      <c:pt idx="3">
                        <c:v>441.98863459999995</c:v>
                      </c:pt>
                      <c:pt idx="4">
                        <c:v>432.28726319999998</c:v>
                      </c:pt>
                      <c:pt idx="5">
                        <c:v>422.66336880000006</c:v>
                      </c:pt>
                      <c:pt idx="6">
                        <c:v>424.80915039999991</c:v>
                      </c:pt>
                      <c:pt idx="7">
                        <c:v>426.87203599999998</c:v>
                      </c:pt>
                      <c:pt idx="8">
                        <c:v>419.83883159999993</c:v>
                      </c:pt>
                      <c:pt idx="9">
                        <c:v>421.23123820000012</c:v>
                      </c:pt>
                      <c:pt idx="10">
                        <c:v>420.59110779999992</c:v>
                      </c:pt>
                      <c:pt idx="11">
                        <c:v>420.04187739999998</c:v>
                      </c:pt>
                      <c:pt idx="12">
                        <c:v>418.87498499999992</c:v>
                      </c:pt>
                    </c:numCache>
                  </c:numRef>
                </c:val>
                <c:smooth val="0"/>
                <c:extLst xmlns:c15="http://schemas.microsoft.com/office/drawing/2012/chart">
                  <c:ext xmlns:c16="http://schemas.microsoft.com/office/drawing/2014/chart" uri="{C3380CC4-5D6E-409C-BE32-E72D297353CC}">
                    <c16:uniqueId val="{00000004-3D24-4BD5-AB34-C4553938A09C}"/>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USD (Millions)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40388644080038E-2"/>
          <c:y val="0.27363636363636362"/>
          <c:w val="0.54168412434684199"/>
          <c:h val="0.50210450966356479"/>
        </c:manualLayout>
      </c:layout>
      <c:barChart>
        <c:barDir val="bar"/>
        <c:grouping val="stacked"/>
        <c:varyColors val="0"/>
        <c:ser>
          <c:idx val="0"/>
          <c:order val="0"/>
          <c:tx>
            <c:strRef>
              <c:f>'Report '!$A$47</c:f>
              <c:strCache>
                <c:ptCount val="1"/>
                <c:pt idx="0">
                  <c:v>Treatment, care and support</c:v>
                </c:pt>
              </c:strCache>
            </c:strRef>
          </c:tx>
          <c:spPr>
            <a:solidFill>
              <a:schemeClr val="accent1"/>
            </a:solidFill>
            <a:ln>
              <a:noFill/>
            </a:ln>
            <a:effectLst/>
          </c:spPr>
          <c:invertIfNegative val="0"/>
          <c:cat>
            <c:strRef>
              <c:f>'Report '!$B$46:$C$46</c:f>
              <c:strCache>
                <c:ptCount val="2"/>
                <c:pt idx="0">
                  <c:v>COP18</c:v>
                </c:pt>
                <c:pt idx="1">
                  <c:v>COP19</c:v>
                </c:pt>
              </c:strCache>
            </c:strRef>
          </c:cat>
          <c:val>
            <c:numRef>
              <c:f>'Report '!$B$47:$C$47</c:f>
              <c:numCache>
                <c:formatCode>_-* ##,#0\.0_-;\-* ##,#0\.0_-;_-* "-"??_-;_-@_-</c:formatCode>
                <c:ptCount val="2"/>
                <c:pt idx="0">
                  <c:v>270.34487300000001</c:v>
                </c:pt>
                <c:pt idx="1">
                  <c:v>171.97019</c:v>
                </c:pt>
              </c:numCache>
            </c:numRef>
          </c:val>
          <c:extLst>
            <c:ext xmlns:c16="http://schemas.microsoft.com/office/drawing/2014/chart" uri="{C3380CC4-5D6E-409C-BE32-E72D297353CC}">
              <c16:uniqueId val="{00000000-69F7-448D-A63C-0DCB3DDAA9B3}"/>
            </c:ext>
          </c:extLst>
        </c:ser>
        <c:ser>
          <c:idx val="1"/>
          <c:order val="1"/>
          <c:tx>
            <c:strRef>
              <c:f>'Report '!$A$48</c:f>
              <c:strCache>
                <c:ptCount val="1"/>
                <c:pt idx="0">
                  <c:v>Male circumcision</c:v>
                </c:pt>
              </c:strCache>
            </c:strRef>
          </c:tx>
          <c:spPr>
            <a:solidFill>
              <a:schemeClr val="accent2"/>
            </a:solidFill>
            <a:ln>
              <a:noFill/>
            </a:ln>
            <a:effectLst/>
          </c:spPr>
          <c:invertIfNegative val="0"/>
          <c:cat>
            <c:strRef>
              <c:f>'Report '!$B$46:$C$46</c:f>
              <c:strCache>
                <c:ptCount val="2"/>
                <c:pt idx="0">
                  <c:v>COP18</c:v>
                </c:pt>
                <c:pt idx="1">
                  <c:v>COP19</c:v>
                </c:pt>
              </c:strCache>
            </c:strRef>
          </c:cat>
          <c:val>
            <c:numRef>
              <c:f>'Report '!$B$48:$C$48</c:f>
              <c:numCache>
                <c:formatCode>_-* ##,#0\.0_-;\-* ##,#0\.0_-;_-* "-"??_-;_-@_-</c:formatCode>
                <c:ptCount val="2"/>
                <c:pt idx="0">
                  <c:v>33.842022</c:v>
                </c:pt>
                <c:pt idx="1">
                  <c:v>35.757283000000001</c:v>
                </c:pt>
              </c:numCache>
            </c:numRef>
          </c:val>
          <c:extLst>
            <c:ext xmlns:c16="http://schemas.microsoft.com/office/drawing/2014/chart" uri="{C3380CC4-5D6E-409C-BE32-E72D297353CC}">
              <c16:uniqueId val="{00000001-69F7-448D-A63C-0DCB3DDAA9B3}"/>
            </c:ext>
          </c:extLst>
        </c:ser>
        <c:ser>
          <c:idx val="2"/>
          <c:order val="2"/>
          <c:tx>
            <c:strRef>
              <c:f>'Report '!$A$49</c:f>
              <c:strCache>
                <c:ptCount val="1"/>
                <c:pt idx="0">
                  <c:v>OVC</c:v>
                </c:pt>
              </c:strCache>
            </c:strRef>
          </c:tx>
          <c:spPr>
            <a:solidFill>
              <a:schemeClr val="accent3"/>
            </a:solidFill>
            <a:ln>
              <a:noFill/>
            </a:ln>
            <a:effectLst/>
          </c:spPr>
          <c:invertIfNegative val="0"/>
          <c:cat>
            <c:strRef>
              <c:f>'Report '!$B$46:$C$46</c:f>
              <c:strCache>
                <c:ptCount val="2"/>
                <c:pt idx="0">
                  <c:v>COP18</c:v>
                </c:pt>
                <c:pt idx="1">
                  <c:v>COP19</c:v>
                </c:pt>
              </c:strCache>
            </c:strRef>
          </c:cat>
          <c:val>
            <c:numRef>
              <c:f>'Report '!$B$49:$C$49</c:f>
              <c:numCache>
                <c:formatCode>_-* ##,#0\.0_-;\-* ##,#0\.0_-;_-* "-"??_-;_-@_-</c:formatCode>
                <c:ptCount val="2"/>
                <c:pt idx="0">
                  <c:v>35.427625999999997</c:v>
                </c:pt>
                <c:pt idx="1">
                  <c:v>11.094851</c:v>
                </c:pt>
              </c:numCache>
            </c:numRef>
          </c:val>
          <c:extLst>
            <c:ext xmlns:c16="http://schemas.microsoft.com/office/drawing/2014/chart" uri="{C3380CC4-5D6E-409C-BE32-E72D297353CC}">
              <c16:uniqueId val="{00000002-69F7-448D-A63C-0DCB3DDAA9B3}"/>
            </c:ext>
          </c:extLst>
        </c:ser>
        <c:ser>
          <c:idx val="3"/>
          <c:order val="3"/>
          <c:tx>
            <c:strRef>
              <c:f>'Report '!$A$50</c:f>
              <c:strCache>
                <c:ptCount val="1"/>
                <c:pt idx="0">
                  <c:v>Other programmes</c:v>
                </c:pt>
              </c:strCache>
            </c:strRef>
          </c:tx>
          <c:spPr>
            <a:solidFill>
              <a:schemeClr val="accent4"/>
            </a:solidFill>
            <a:ln>
              <a:noFill/>
            </a:ln>
            <a:effectLst/>
          </c:spPr>
          <c:invertIfNegative val="0"/>
          <c:cat>
            <c:strRef>
              <c:f>'Report '!$B$46:$C$46</c:f>
              <c:strCache>
                <c:ptCount val="2"/>
                <c:pt idx="0">
                  <c:v>COP18</c:v>
                </c:pt>
                <c:pt idx="1">
                  <c:v>COP19</c:v>
                </c:pt>
              </c:strCache>
            </c:strRef>
          </c:cat>
          <c:val>
            <c:numRef>
              <c:f>'Report '!$B$50:$C$50</c:f>
              <c:numCache>
                <c:formatCode>_-* ##,#0\.0_-;\-* ##,#0\.0_-;_-* "-"??_-;_-@_-</c:formatCode>
                <c:ptCount val="2"/>
                <c:pt idx="0">
                  <c:v>37.420038000000034</c:v>
                </c:pt>
                <c:pt idx="1">
                  <c:v>46.814011484615406</c:v>
                </c:pt>
              </c:numCache>
            </c:numRef>
          </c:val>
          <c:extLst>
            <c:ext xmlns:c16="http://schemas.microsoft.com/office/drawing/2014/chart" uri="{C3380CC4-5D6E-409C-BE32-E72D297353CC}">
              <c16:uniqueId val="{00000003-69F7-448D-A63C-0DCB3DDAA9B3}"/>
            </c:ext>
          </c:extLst>
        </c:ser>
        <c:ser>
          <c:idx val="4"/>
          <c:order val="4"/>
          <c:tx>
            <c:strRef>
              <c:f>'Report '!$A$51</c:f>
              <c:strCache>
                <c:ptCount val="1"/>
                <c:pt idx="0">
                  <c:v>Management and Operations</c:v>
                </c:pt>
              </c:strCache>
            </c:strRef>
          </c:tx>
          <c:spPr>
            <a:solidFill>
              <a:schemeClr val="accent5"/>
            </a:solidFill>
            <a:ln>
              <a:noFill/>
            </a:ln>
            <a:effectLst/>
          </c:spPr>
          <c:invertIfNegative val="0"/>
          <c:cat>
            <c:strRef>
              <c:f>'Report '!$B$46:$C$46</c:f>
              <c:strCache>
                <c:ptCount val="2"/>
                <c:pt idx="0">
                  <c:v>COP18</c:v>
                </c:pt>
                <c:pt idx="1">
                  <c:v>COP19</c:v>
                </c:pt>
              </c:strCache>
            </c:strRef>
          </c:cat>
          <c:val>
            <c:numRef>
              <c:f>'Report '!$B$51:$C$51</c:f>
              <c:numCache>
                <c:formatCode>_-* ##,#0\.0_-;\-* ##,#0\.0_-;_-* "-"??_-;_-@_-</c:formatCode>
                <c:ptCount val="2"/>
                <c:pt idx="0">
                  <c:v>16.724739</c:v>
                </c:pt>
                <c:pt idx="1">
                  <c:v>11.734938515384618</c:v>
                </c:pt>
              </c:numCache>
            </c:numRef>
          </c:val>
          <c:extLst>
            <c:ext xmlns:c16="http://schemas.microsoft.com/office/drawing/2014/chart" uri="{C3380CC4-5D6E-409C-BE32-E72D297353CC}">
              <c16:uniqueId val="{00000004-69F7-448D-A63C-0DCB3DDAA9B3}"/>
            </c:ext>
          </c:extLst>
        </c:ser>
        <c:dLbls>
          <c:showLegendKey val="0"/>
          <c:showVal val="0"/>
          <c:showCatName val="0"/>
          <c:showSerName val="0"/>
          <c:showPercent val="0"/>
          <c:showBubbleSize val="0"/>
        </c:dLbls>
        <c:gapWidth val="150"/>
        <c:overlap val="100"/>
        <c:axId val="1177093120"/>
        <c:axId val="1175241232"/>
      </c:barChart>
      <c:catAx>
        <c:axId val="117709312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5241232"/>
        <c:crosses val="autoZero"/>
        <c:auto val="1"/>
        <c:lblAlgn val="ctr"/>
        <c:lblOffset val="100"/>
        <c:noMultiLvlLbl val="0"/>
      </c:catAx>
      <c:valAx>
        <c:axId val="1175241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a:t>USD Millions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7093120"/>
        <c:crosses val="autoZero"/>
        <c:crossBetween val="between"/>
      </c:valAx>
      <c:spPr>
        <a:noFill/>
        <a:ln>
          <a:noFill/>
        </a:ln>
        <a:effectLst/>
      </c:spPr>
    </c:plotArea>
    <c:legend>
      <c:legendPos val="r"/>
      <c:layout>
        <c:manualLayout>
          <c:xMode val="edge"/>
          <c:yMode val="edge"/>
          <c:x val="0.67058103975535177"/>
          <c:y val="0"/>
          <c:w val="0.32941896024464834"/>
          <c:h val="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0" i="1"/>
              <a:t>Figure 0-2. New infections of CC vs NS 2019-2030</a:t>
            </a:r>
          </a:p>
        </c:rich>
      </c:tx>
      <c:layout>
        <c:manualLayout>
          <c:xMode val="edge"/>
          <c:yMode val="edge"/>
          <c:x val="0.17910254115962779"/>
          <c:y val="2.702702702702702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2944347303121774E-2"/>
          <c:y val="0.14722760161736537"/>
          <c:w val="0.84940974707706995"/>
          <c:h val="0.66365709931419858"/>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dPt>
            <c:idx val="9"/>
            <c:marker>
              <c:symbol val="none"/>
            </c:marker>
            <c:bubble3D val="0"/>
            <c:extLst>
              <c:ext xmlns:c16="http://schemas.microsoft.com/office/drawing/2014/chart" uri="{C3380CC4-5D6E-409C-BE32-E72D297353CC}">
                <c16:uniqueId val="{00000000-F9FF-4235-A0F9-C5D5B7CDC3E7}"/>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numRef>
          </c:val>
          <c:smooth val="0"/>
          <c:extLst>
            <c:ext xmlns:c16="http://schemas.microsoft.com/office/drawing/2014/chart" uri="{C3380CC4-5D6E-409C-BE32-E72D297353CC}">
              <c16:uniqueId val="{00000001-F9FF-4235-A0F9-C5D5B7CDC3E7}"/>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numRef>
          </c:val>
          <c:smooth val="0"/>
          <c:extLst xmlns:c15="http://schemas.microsoft.com/office/drawing/2012/chart">
            <c:ext xmlns:c16="http://schemas.microsoft.com/office/drawing/2014/chart" uri="{C3380CC4-5D6E-409C-BE32-E72D297353CC}">
              <c16:uniqueId val="{00000002-F9FF-4235-A0F9-C5D5B7CDC3E7}"/>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O-CCF</c:v>
                      </c:pt>
                    </c:strCache>
                  </c:strRef>
                </c:tx>
                <c:spPr>
                  <a:ln w="28575" cap="rnd">
                    <a:solidFill>
                      <a:schemeClr val="accent3"/>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Sheet1!$D$2:$D$14</c15:sqref>
                        </c15:formulaRef>
                      </c:ext>
                    </c:extLst>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numRef>
                </c:val>
                <c:smooth val="0"/>
                <c:extLst>
                  <c:ext xmlns:c16="http://schemas.microsoft.com/office/drawing/2014/chart" uri="{C3380CC4-5D6E-409C-BE32-E72D297353CC}">
                    <c16:uniqueId val="{00000003-F9FF-4235-A0F9-C5D5B7CDC3E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Sheet1!$E$2:$E$14</c15:sqref>
                        </c15:formulaRef>
                      </c:ext>
                    </c:extLst>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numRef>
                </c:val>
                <c:smooth val="0"/>
                <c:extLst xmlns:c15="http://schemas.microsoft.com/office/drawing/2012/chart">
                  <c:ext xmlns:c16="http://schemas.microsoft.com/office/drawing/2014/chart" uri="{C3380CC4-5D6E-409C-BE32-E72D297353CC}">
                    <c16:uniqueId val="{00000004-F9FF-4235-A0F9-C5D5B7CDC3E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numRef>
                </c:val>
                <c:smooth val="0"/>
                <c:extLst xmlns:c15="http://schemas.microsoft.com/office/drawing/2012/chart">
                  <c:ext xmlns:c16="http://schemas.microsoft.com/office/drawing/2014/chart" uri="{C3380CC4-5D6E-409C-BE32-E72D297353CC}">
                    <c16:uniqueId val="{00000005-F9FF-4235-A0F9-C5D5B7CDC3E7}"/>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tickLblSkip val="2"/>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layout>
        <c:manualLayout>
          <c:xMode val="edge"/>
          <c:yMode val="edge"/>
          <c:x val="0.33938588642328799"/>
          <c:y val="0.90422199644399293"/>
          <c:w val="0.32122792889525176"/>
          <c:h val="9.5778003556007116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666587131154"/>
          <c:y val="4.3859649122807015E-2"/>
          <c:w val="0.83685556350910684"/>
          <c:h val="0.71848666942947925"/>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467.98264999999998</c:v>
                </c:pt>
                <c:pt idx="1">
                  <c:v>461.49829999999997</c:v>
                </c:pt>
                <c:pt idx="2">
                  <c:v>465.83078</c:v>
                </c:pt>
                <c:pt idx="3">
                  <c:v>469.97609999999997</c:v>
                </c:pt>
                <c:pt idx="4">
                  <c:v>474.03453999999999</c:v>
                </c:pt>
                <c:pt idx="5">
                  <c:v>477.90449000000001</c:v>
                </c:pt>
                <c:pt idx="6">
                  <c:v>481.42367999999999</c:v>
                </c:pt>
                <c:pt idx="7">
                  <c:v>484.66980999999998</c:v>
                </c:pt>
                <c:pt idx="8">
                  <c:v>487.64582999999999</c:v>
                </c:pt>
                <c:pt idx="9">
                  <c:v>490.32909999999998</c:v>
                </c:pt>
                <c:pt idx="10">
                  <c:v>492.83341000000001</c:v>
                </c:pt>
                <c:pt idx="11">
                  <c:v>496.46039999999999</c:v>
                </c:pt>
                <c:pt idx="12">
                  <c:v>500.31641999999999</c:v>
                </c:pt>
              </c:numCache>
            </c:numRef>
          </c:val>
          <c:smooth val="0"/>
          <c:extLst>
            <c:ext xmlns:c16="http://schemas.microsoft.com/office/drawing/2014/chart" uri="{C3380CC4-5D6E-409C-BE32-E72D297353CC}">
              <c16:uniqueId val="{00000000-ABD0-4B74-A465-BB021BB58A38}"/>
            </c:ext>
          </c:extLst>
        </c:ser>
        <c:ser>
          <c:idx val="3"/>
          <c:order val="3"/>
          <c:tx>
            <c:strRef>
              <c:f>Sheet1!$E$1</c:f>
              <c:strCache>
                <c:ptCount val="1"/>
                <c:pt idx="0">
                  <c:v>O-DDF</c:v>
                </c:pt>
              </c:strCache>
              <c:extLst xmlns:c15="http://schemas.microsoft.com/office/drawing/2012/chart"/>
            </c:strRef>
          </c:tx>
          <c:spPr>
            <a:ln w="57150" cap="rnd">
              <a:solidFill>
                <a:schemeClr val="accent4"/>
              </a:solidFill>
              <a:prstDash val="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467.98264999999998</c:v>
                </c:pt>
                <c:pt idx="1">
                  <c:v>466.94026000000002</c:v>
                </c:pt>
                <c:pt idx="2">
                  <c:v>482.07378</c:v>
                </c:pt>
                <c:pt idx="3">
                  <c:v>425.39645000000002</c:v>
                </c:pt>
                <c:pt idx="4">
                  <c:v>404.52148999999997</c:v>
                </c:pt>
                <c:pt idx="5">
                  <c:v>383.88339999999999</c:v>
                </c:pt>
                <c:pt idx="6">
                  <c:v>375.42246999999998</c:v>
                </c:pt>
                <c:pt idx="7">
                  <c:v>366.57551000000001</c:v>
                </c:pt>
                <c:pt idx="8">
                  <c:v>357.58470999999997</c:v>
                </c:pt>
                <c:pt idx="9">
                  <c:v>348.50198999999998</c:v>
                </c:pt>
                <c:pt idx="10">
                  <c:v>339.31407000000002</c:v>
                </c:pt>
                <c:pt idx="11">
                  <c:v>329.97320999999999</c:v>
                </c:pt>
                <c:pt idx="12">
                  <c:v>320.20596999999998</c:v>
                </c:pt>
              </c:numCache>
            </c:numRef>
          </c:val>
          <c:smooth val="0"/>
          <c:extLst xmlns:c15="http://schemas.microsoft.com/office/drawing/2012/chart">
            <c:ext xmlns:c16="http://schemas.microsoft.com/office/drawing/2014/chart" uri="{C3380CC4-5D6E-409C-BE32-E72D297353CC}">
              <c16:uniqueId val="{00000003-ABD0-4B74-A465-BB021BB58A38}"/>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NS</c:v>
                      </c:pt>
                    </c:strCache>
                  </c:strRef>
                </c:tx>
                <c:spPr>
                  <a:ln w="57150" cap="rnd">
                    <a:solidFill>
                      <a:schemeClr val="accent2"/>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Sheet1!$C$2:$C$14</c15:sqref>
                        </c15:formulaRef>
                      </c:ext>
                    </c:extLst>
                    <c:numCache>
                      <c:formatCode>#,##0</c:formatCode>
                      <c:ptCount val="13"/>
                      <c:pt idx="0">
                        <c:v>467.98264999999998</c:v>
                      </c:pt>
                      <c:pt idx="1">
                        <c:v>509.95699000000002</c:v>
                      </c:pt>
                      <c:pt idx="2">
                        <c:v>573.85712999999998</c:v>
                      </c:pt>
                      <c:pt idx="3">
                        <c:v>579.20203000000004</c:v>
                      </c:pt>
                      <c:pt idx="4">
                        <c:v>602.96974999999998</c:v>
                      </c:pt>
                      <c:pt idx="5">
                        <c:v>628.05430000000001</c:v>
                      </c:pt>
                      <c:pt idx="6">
                        <c:v>654.36455000000001</c:v>
                      </c:pt>
                      <c:pt idx="7">
                        <c:v>681.82455000000004</c:v>
                      </c:pt>
                      <c:pt idx="8">
                        <c:v>710.52549999999997</c:v>
                      </c:pt>
                      <c:pt idx="9">
                        <c:v>740.52671999999995</c:v>
                      </c:pt>
                      <c:pt idx="10">
                        <c:v>771.93263999999999</c:v>
                      </c:pt>
                      <c:pt idx="11">
                        <c:v>804.78490999999997</c:v>
                      </c:pt>
                      <c:pt idx="12">
                        <c:v>839.00984000000005</c:v>
                      </c:pt>
                    </c:numCache>
                  </c:numRef>
                </c:val>
                <c:smooth val="0"/>
                <c:extLst>
                  <c:ext xmlns:c16="http://schemas.microsoft.com/office/drawing/2014/chart" uri="{C3380CC4-5D6E-409C-BE32-E72D297353CC}">
                    <c16:uniqueId val="{00000001-ABD0-4B74-A465-BB021BB58A3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O-CCF</c:v>
                      </c:pt>
                    </c:strCache>
                  </c:strRef>
                </c:tx>
                <c:spPr>
                  <a:ln w="57150"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Sheet1!$D$2:$D$14</c15:sqref>
                        </c15:formulaRef>
                      </c:ext>
                    </c:extLst>
                    <c:numCache>
                      <c:formatCode>#,##0</c:formatCode>
                      <c:ptCount val="13"/>
                      <c:pt idx="0">
                        <c:v>467.98264999999998</c:v>
                      </c:pt>
                      <c:pt idx="1">
                        <c:v>466.94026000000002</c:v>
                      </c:pt>
                      <c:pt idx="2">
                        <c:v>482.07378</c:v>
                      </c:pt>
                      <c:pt idx="3">
                        <c:v>463.33850000000001</c:v>
                      </c:pt>
                      <c:pt idx="4">
                        <c:v>461.11482999999998</c:v>
                      </c:pt>
                      <c:pt idx="5">
                        <c:v>453.0043</c:v>
                      </c:pt>
                      <c:pt idx="6">
                        <c:v>457.93310000000002</c:v>
                      </c:pt>
                      <c:pt idx="7">
                        <c:v>462.66206</c:v>
                      </c:pt>
                      <c:pt idx="8">
                        <c:v>458.34782000000001</c:v>
                      </c:pt>
                      <c:pt idx="9">
                        <c:v>462.52681000000001</c:v>
                      </c:pt>
                      <c:pt idx="10">
                        <c:v>464.74790000000002</c:v>
                      </c:pt>
                      <c:pt idx="11">
                        <c:v>467.14783999999997</c:v>
                      </c:pt>
                      <c:pt idx="12">
                        <c:v>469.02936</c:v>
                      </c:pt>
                    </c:numCache>
                  </c:numRef>
                </c:val>
                <c:smooth val="0"/>
                <c:extLst xmlns:c15="http://schemas.microsoft.com/office/drawing/2012/chart">
                  <c:ext xmlns:c16="http://schemas.microsoft.com/office/drawing/2014/chart" uri="{C3380CC4-5D6E-409C-BE32-E72D297353CC}">
                    <c16:uniqueId val="{00000002-ABD0-4B74-A465-BB021BB58A3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467.98264999999998</c:v>
                      </c:pt>
                      <c:pt idx="1">
                        <c:v>466.94026000000002</c:v>
                      </c:pt>
                      <c:pt idx="2">
                        <c:v>482.07378</c:v>
                      </c:pt>
                      <c:pt idx="3">
                        <c:v>449.30588999999998</c:v>
                      </c:pt>
                      <c:pt idx="4">
                        <c:v>444.33544000000001</c:v>
                      </c:pt>
                      <c:pt idx="5">
                        <c:v>433.32729999999998</c:v>
                      </c:pt>
                      <c:pt idx="6">
                        <c:v>435.3048</c:v>
                      </c:pt>
                      <c:pt idx="7">
                        <c:v>436.98432000000003</c:v>
                      </c:pt>
                      <c:pt idx="8">
                        <c:v>429.44695000000002</c:v>
                      </c:pt>
                      <c:pt idx="9">
                        <c:v>430.22233999999997</c:v>
                      </c:pt>
                      <c:pt idx="10">
                        <c:v>428.85217</c:v>
                      </c:pt>
                      <c:pt idx="11">
                        <c:v>427.46248000000003</c:v>
                      </c:pt>
                      <c:pt idx="12">
                        <c:v>425.34379000000001</c:v>
                      </c:pt>
                    </c:numCache>
                  </c:numRef>
                </c:val>
                <c:smooth val="0"/>
                <c:extLst xmlns:c15="http://schemas.microsoft.com/office/drawing/2012/chart">
                  <c:ext xmlns:c16="http://schemas.microsoft.com/office/drawing/2014/chart" uri="{C3380CC4-5D6E-409C-BE32-E72D297353CC}">
                    <c16:uniqueId val="{00000004-ABD0-4B74-A465-BB021BB58A38}"/>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20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USD (Millions)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1049105</c:v>
                </c:pt>
                <c:pt idx="1">
                  <c:v>1066053</c:v>
                </c:pt>
                <c:pt idx="2">
                  <c:v>1073806</c:v>
                </c:pt>
                <c:pt idx="3">
                  <c:v>1080955</c:v>
                </c:pt>
                <c:pt idx="4">
                  <c:v>1087087</c:v>
                </c:pt>
                <c:pt idx="5">
                  <c:v>1092000</c:v>
                </c:pt>
                <c:pt idx="6">
                  <c:v>1095714</c:v>
                </c:pt>
                <c:pt idx="7">
                  <c:v>1097753</c:v>
                </c:pt>
                <c:pt idx="8">
                  <c:v>1098951</c:v>
                </c:pt>
                <c:pt idx="9">
                  <c:v>1099667</c:v>
                </c:pt>
                <c:pt idx="10">
                  <c:v>1100350</c:v>
                </c:pt>
                <c:pt idx="11">
                  <c:v>1100963</c:v>
                </c:pt>
                <c:pt idx="12">
                  <c:v>1100835</c:v>
                </c:pt>
              </c:numCache>
            </c:numRef>
          </c:val>
          <c:smooth val="0"/>
          <c:extLst>
            <c:ext xmlns:c16="http://schemas.microsoft.com/office/drawing/2014/chart" uri="{C3380CC4-5D6E-409C-BE32-E72D297353CC}">
              <c16:uniqueId val="{00000000-15D6-4DB7-972E-7A5F5F617E0E}"/>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1049105</c:v>
                </c:pt>
                <c:pt idx="1">
                  <c:v>1065532</c:v>
                </c:pt>
                <c:pt idx="2">
                  <c:v>1222137</c:v>
                </c:pt>
                <c:pt idx="3">
                  <c:v>1238467</c:v>
                </c:pt>
                <c:pt idx="4">
                  <c:v>1254562</c:v>
                </c:pt>
                <c:pt idx="5">
                  <c:v>1269673</c:v>
                </c:pt>
                <c:pt idx="6">
                  <c:v>1283613</c:v>
                </c:pt>
                <c:pt idx="7">
                  <c:v>1295597</c:v>
                </c:pt>
                <c:pt idx="8">
                  <c:v>1306489</c:v>
                </c:pt>
                <c:pt idx="9">
                  <c:v>1316623</c:v>
                </c:pt>
                <c:pt idx="10">
                  <c:v>1326512</c:v>
                </c:pt>
                <c:pt idx="11">
                  <c:v>1336063</c:v>
                </c:pt>
                <c:pt idx="12">
                  <c:v>1344300</c:v>
                </c:pt>
              </c:numCache>
            </c:numRef>
          </c:val>
          <c:smooth val="0"/>
          <c:extLst xmlns:c15="http://schemas.microsoft.com/office/drawing/2012/chart">
            <c:ext xmlns:c16="http://schemas.microsoft.com/office/drawing/2014/chart" uri="{C3380CC4-5D6E-409C-BE32-E72D297353CC}">
              <c16:uniqueId val="{00000001-15D6-4DB7-972E-7A5F5F617E0E}"/>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1049105</c:v>
                </c:pt>
                <c:pt idx="1">
                  <c:v>1066363</c:v>
                </c:pt>
                <c:pt idx="2">
                  <c:v>1224558</c:v>
                </c:pt>
                <c:pt idx="3">
                  <c:v>1241480</c:v>
                </c:pt>
                <c:pt idx="4">
                  <c:v>1258116</c:v>
                </c:pt>
                <c:pt idx="5">
                  <c:v>1273843</c:v>
                </c:pt>
                <c:pt idx="6">
                  <c:v>1288482</c:v>
                </c:pt>
                <c:pt idx="7">
                  <c:v>1301242</c:v>
                </c:pt>
                <c:pt idx="8">
                  <c:v>1312978</c:v>
                </c:pt>
                <c:pt idx="9">
                  <c:v>1324016</c:v>
                </c:pt>
                <c:pt idx="10">
                  <c:v>1334874</c:v>
                </c:pt>
                <c:pt idx="11">
                  <c:v>1345457</c:v>
                </c:pt>
                <c:pt idx="12">
                  <c:v>1354781</c:v>
                </c:pt>
              </c:numCache>
            </c:numRef>
          </c:val>
          <c:smooth val="0"/>
          <c:extLst xmlns:c15="http://schemas.microsoft.com/office/drawing/2012/chart">
            <c:ext xmlns:c16="http://schemas.microsoft.com/office/drawing/2014/chart" uri="{C3380CC4-5D6E-409C-BE32-E72D297353CC}">
              <c16:uniqueId val="{00000002-15D6-4DB7-972E-7A5F5F617E0E}"/>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1049105</c:v>
                </c:pt>
                <c:pt idx="1">
                  <c:v>1066363</c:v>
                </c:pt>
                <c:pt idx="2">
                  <c:v>1224558</c:v>
                </c:pt>
                <c:pt idx="3">
                  <c:v>1209933</c:v>
                </c:pt>
                <c:pt idx="4">
                  <c:v>1196590</c:v>
                </c:pt>
                <c:pt idx="5">
                  <c:v>1183118</c:v>
                </c:pt>
                <c:pt idx="6">
                  <c:v>1168615</c:v>
                </c:pt>
                <c:pt idx="7">
                  <c:v>1152104</c:v>
                </c:pt>
                <c:pt idx="8">
                  <c:v>1134505</c:v>
                </c:pt>
                <c:pt idx="9">
                  <c:v>1116642</c:v>
                </c:pt>
                <c:pt idx="10">
                  <c:v>1099532</c:v>
                </c:pt>
                <c:pt idx="11">
                  <c:v>1083665</c:v>
                </c:pt>
                <c:pt idx="12">
                  <c:v>1068856</c:v>
                </c:pt>
              </c:numCache>
            </c:numRef>
          </c:val>
          <c:smooth val="0"/>
          <c:extLst xmlns:c15="http://schemas.microsoft.com/office/drawing/2012/chart">
            <c:ext xmlns:c16="http://schemas.microsoft.com/office/drawing/2014/chart" uri="{C3380CC4-5D6E-409C-BE32-E72D297353CC}">
              <c16:uniqueId val="{00000003-15D6-4DB7-972E-7A5F5F617E0E}"/>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4"/>
                <c:order val="4"/>
                <c:tx>
                  <c:strRef>
                    <c:extLst>
                      <c:ext uri="{02D57815-91ED-43cb-92C2-25804820EDAC}">
                        <c15:formulaRef>
                          <c15:sqref>Sheet1!$F$1</c15:sqref>
                        </c15:formulaRef>
                      </c:ext>
                    </c:extLst>
                    <c:strCache>
                      <c:ptCount val="1"/>
                      <c:pt idx="0">
                        <c:v>O-DRM</c:v>
                      </c:pt>
                    </c:strCache>
                  </c:strRef>
                </c:tx>
                <c:spPr>
                  <a:ln w="57150" cap="rnd">
                    <a:solidFill>
                      <a:schemeClr val="accent5"/>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Sheet1!$F$2:$F$14</c15:sqref>
                        </c15:formulaRef>
                      </c:ext>
                    </c:extLst>
                    <c:numCache>
                      <c:formatCode>#,##0</c:formatCode>
                      <c:ptCount val="13"/>
                      <c:pt idx="0">
                        <c:v>1049105</c:v>
                      </c:pt>
                      <c:pt idx="1">
                        <c:v>1066363</c:v>
                      </c:pt>
                      <c:pt idx="2">
                        <c:v>1224558</c:v>
                      </c:pt>
                      <c:pt idx="3">
                        <c:v>1242467</c:v>
                      </c:pt>
                      <c:pt idx="4">
                        <c:v>1260347</c:v>
                      </c:pt>
                      <c:pt idx="5">
                        <c:v>1277478</c:v>
                      </c:pt>
                      <c:pt idx="6">
                        <c:v>1293639</c:v>
                      </c:pt>
                      <c:pt idx="7">
                        <c:v>1308010</c:v>
                      </c:pt>
                      <c:pt idx="8">
                        <c:v>1321422</c:v>
                      </c:pt>
                      <c:pt idx="9">
                        <c:v>1334176</c:v>
                      </c:pt>
                      <c:pt idx="10">
                        <c:v>1346768</c:v>
                      </c:pt>
                      <c:pt idx="11">
                        <c:v>1359073</c:v>
                      </c:pt>
                      <c:pt idx="12">
                        <c:v>1370082</c:v>
                      </c:pt>
                    </c:numCache>
                  </c:numRef>
                </c:val>
                <c:smooth val="0"/>
                <c:extLst>
                  <c:ext xmlns:c16="http://schemas.microsoft.com/office/drawing/2014/chart" uri="{C3380CC4-5D6E-409C-BE32-E72D297353CC}">
                    <c16:uniqueId val="{00000004-15D6-4DB7-972E-7A5F5F617E0E}"/>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800000"/>
        </c:scaling>
        <c:delete val="0"/>
        <c:axPos val="l"/>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dispUnits>
          <c:builtInUnit val="millions"/>
          <c:dispUnitsLbl>
            <c:layout>
              <c:manualLayout>
                <c:xMode val="edge"/>
                <c:yMode val="edge"/>
                <c:x val="2.5551684088269456E-2"/>
                <c:y val="0.34323432343234317"/>
              </c:manualLayout>
            </c:layout>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48297739760951E-2"/>
          <c:y val="5.8798024262715194E-2"/>
          <c:w val="0.89154121921810137"/>
          <c:h val="0.72404116808233621"/>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dPt>
            <c:idx val="9"/>
            <c:marker>
              <c:symbol val="none"/>
            </c:marker>
            <c:bubble3D val="0"/>
            <c:extLst>
              <c:ext xmlns:c16="http://schemas.microsoft.com/office/drawing/2014/chart" uri="{C3380CC4-5D6E-409C-BE32-E72D297353CC}">
                <c16:uniqueId val="{00000000-2D66-4DE8-83C9-B611D6782119}"/>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numRef>
          </c:val>
          <c:smooth val="0"/>
          <c:extLst>
            <c:ext xmlns:c16="http://schemas.microsoft.com/office/drawing/2014/chart" uri="{C3380CC4-5D6E-409C-BE32-E72D297353CC}">
              <c16:uniqueId val="{00000001-2D66-4DE8-83C9-B611D6782119}"/>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numRef>
          </c:val>
          <c:smooth val="0"/>
          <c:extLst xmlns:c15="http://schemas.microsoft.com/office/drawing/2012/chart">
            <c:ext xmlns:c16="http://schemas.microsoft.com/office/drawing/2014/chart" uri="{C3380CC4-5D6E-409C-BE32-E72D297353CC}">
              <c16:uniqueId val="{00000002-2D66-4DE8-83C9-B611D6782119}"/>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numRef>
          </c:val>
          <c:smooth val="0"/>
          <c:extLst xmlns:c15="http://schemas.microsoft.com/office/drawing/2012/chart">
            <c:ext xmlns:c16="http://schemas.microsoft.com/office/drawing/2014/chart" uri="{C3380CC4-5D6E-409C-BE32-E72D297353CC}">
              <c16:uniqueId val="{00000003-2D66-4DE8-83C9-B611D6782119}"/>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numRef>
          </c:val>
          <c:smooth val="0"/>
          <c:extLst xmlns:c15="http://schemas.microsoft.com/office/drawing/2012/chart">
            <c:ext xmlns:c16="http://schemas.microsoft.com/office/drawing/2014/chart" uri="{C3380CC4-5D6E-409C-BE32-E72D297353CC}">
              <c16:uniqueId val="{00000004-2D66-4DE8-83C9-B611D6782119}"/>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4"/>
                <c:order val="4"/>
                <c:tx>
                  <c:strRef>
                    <c:extLst>
                      <c:ex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Sheet1!$F$2:$F$14</c15:sqref>
                        </c15:formulaRef>
                      </c:ext>
                    </c:extLst>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numRef>
                </c:val>
                <c:smooth val="0"/>
                <c:extLst>
                  <c:ext xmlns:c16="http://schemas.microsoft.com/office/drawing/2014/chart" uri="{C3380CC4-5D6E-409C-BE32-E72D297353CC}">
                    <c16:uniqueId val="{00000005-2D66-4DE8-83C9-B611D6782119}"/>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SQ</c:v>
                </c:pt>
              </c:strCache>
            </c:strRef>
          </c:tx>
          <c:spPr>
            <a:ln w="57150" cap="rnd">
              <a:solidFill>
                <a:schemeClr val="bg2">
                  <a:lumMod val="75000"/>
                </a:schemeClr>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Sheet1!$B$2:$B$14</c:f>
              <c:numCache>
                <c:formatCode>#,##0</c:formatCode>
                <c:ptCount val="12"/>
                <c:pt idx="0">
                  <c:v>28322</c:v>
                </c:pt>
                <c:pt idx="1">
                  <c:v>26525</c:v>
                </c:pt>
                <c:pt idx="2">
                  <c:v>28547</c:v>
                </c:pt>
                <c:pt idx="3">
                  <c:v>31036</c:v>
                </c:pt>
                <c:pt idx="4">
                  <c:v>33066</c:v>
                </c:pt>
                <c:pt idx="5">
                  <c:v>34708</c:v>
                </c:pt>
                <c:pt idx="6">
                  <c:v>35960</c:v>
                </c:pt>
                <c:pt idx="7">
                  <c:v>36864</c:v>
                </c:pt>
                <c:pt idx="8">
                  <c:v>37500</c:v>
                </c:pt>
                <c:pt idx="9">
                  <c:v>37982</c:v>
                </c:pt>
                <c:pt idx="10">
                  <c:v>38682</c:v>
                </c:pt>
                <c:pt idx="11">
                  <c:v>38588</c:v>
                </c:pt>
              </c:numCache>
            </c:numRef>
          </c:val>
          <c:smooth val="0"/>
          <c:extLst>
            <c:ext xmlns:c16="http://schemas.microsoft.com/office/drawing/2014/chart" uri="{C3380CC4-5D6E-409C-BE32-E72D297353CC}">
              <c16:uniqueId val="{00000000-8B9B-43F7-8004-3B62BC7CEA46}"/>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Sheet1!$C$2:$C$14</c:f>
              <c:numCache>
                <c:formatCode>#,##0</c:formatCode>
                <c:ptCount val="12"/>
                <c:pt idx="0">
                  <c:v>28314</c:v>
                </c:pt>
                <c:pt idx="1">
                  <c:v>23924</c:v>
                </c:pt>
                <c:pt idx="2">
                  <c:v>19858</c:v>
                </c:pt>
                <c:pt idx="3">
                  <c:v>18499</c:v>
                </c:pt>
                <c:pt idx="4">
                  <c:v>18012</c:v>
                </c:pt>
                <c:pt idx="5">
                  <c:v>17574</c:v>
                </c:pt>
                <c:pt idx="6">
                  <c:v>17079</c:v>
                </c:pt>
                <c:pt idx="7">
                  <c:v>16558</c:v>
                </c:pt>
                <c:pt idx="8">
                  <c:v>16009</c:v>
                </c:pt>
                <c:pt idx="9">
                  <c:v>15385</c:v>
                </c:pt>
                <c:pt idx="10">
                  <c:v>14675</c:v>
                </c:pt>
                <c:pt idx="11">
                  <c:v>13831</c:v>
                </c:pt>
              </c:numCache>
            </c:numRef>
          </c:val>
          <c:smooth val="0"/>
          <c:extLst xmlns:c15="http://schemas.microsoft.com/office/drawing/2012/chart">
            <c:ext xmlns:c16="http://schemas.microsoft.com/office/drawing/2014/chart" uri="{C3380CC4-5D6E-409C-BE32-E72D297353CC}">
              <c16:uniqueId val="{00000001-8B9B-43F7-8004-3B62BC7CEA46}"/>
            </c:ext>
          </c:extLst>
        </c:ser>
        <c:ser>
          <c:idx val="2"/>
          <c:order val="2"/>
          <c:tx>
            <c:strRef>
              <c:f>Sheet1!$D$1</c:f>
              <c:strCache>
                <c:ptCount val="1"/>
                <c:pt idx="0">
                  <c:v>O-SQF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Sheet1!$D$2:$D$14</c:f>
              <c:numCache>
                <c:formatCode>#,##0</c:formatCode>
                <c:ptCount val="12"/>
                <c:pt idx="0">
                  <c:v>28333</c:v>
                </c:pt>
                <c:pt idx="1">
                  <c:v>23973</c:v>
                </c:pt>
                <c:pt idx="2">
                  <c:v>19906</c:v>
                </c:pt>
                <c:pt idx="3">
                  <c:v>18527</c:v>
                </c:pt>
                <c:pt idx="4">
                  <c:v>18024</c:v>
                </c:pt>
                <c:pt idx="5">
                  <c:v>17579</c:v>
                </c:pt>
                <c:pt idx="6">
                  <c:v>17076</c:v>
                </c:pt>
                <c:pt idx="7">
                  <c:v>16545</c:v>
                </c:pt>
                <c:pt idx="8">
                  <c:v>15985</c:v>
                </c:pt>
                <c:pt idx="9">
                  <c:v>15351</c:v>
                </c:pt>
                <c:pt idx="10">
                  <c:v>14633</c:v>
                </c:pt>
                <c:pt idx="11">
                  <c:v>13784</c:v>
                </c:pt>
              </c:numCache>
            </c:numRef>
          </c:val>
          <c:smooth val="0"/>
          <c:extLst xmlns:c15="http://schemas.microsoft.com/office/drawing/2012/chart">
            <c:ext xmlns:c16="http://schemas.microsoft.com/office/drawing/2014/chart" uri="{C3380CC4-5D6E-409C-BE32-E72D297353CC}">
              <c16:uniqueId val="{00000002-8B9B-43F7-8004-3B62BC7CEA46}"/>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Sheet1!$E$2:$E$14</c:f>
              <c:numCache>
                <c:formatCode>#,##0</c:formatCode>
                <c:ptCount val="12"/>
                <c:pt idx="0">
                  <c:v>28333</c:v>
                </c:pt>
                <c:pt idx="1">
                  <c:v>23973</c:v>
                </c:pt>
                <c:pt idx="2">
                  <c:v>20067</c:v>
                </c:pt>
                <c:pt idx="3">
                  <c:v>19643</c:v>
                </c:pt>
                <c:pt idx="4">
                  <c:v>21430</c:v>
                </c:pt>
                <c:pt idx="5">
                  <c:v>24449</c:v>
                </c:pt>
                <c:pt idx="6">
                  <c:v>27976</c:v>
                </c:pt>
                <c:pt idx="7">
                  <c:v>31389</c:v>
                </c:pt>
                <c:pt idx="8">
                  <c:v>34142</c:v>
                </c:pt>
                <c:pt idx="9">
                  <c:v>36161</c:v>
                </c:pt>
                <c:pt idx="10">
                  <c:v>37610</c:v>
                </c:pt>
                <c:pt idx="11">
                  <c:v>38653</c:v>
                </c:pt>
              </c:numCache>
            </c:numRef>
          </c:val>
          <c:smooth val="0"/>
          <c:extLst xmlns:c15="http://schemas.microsoft.com/office/drawing/2012/chart">
            <c:ext xmlns:c16="http://schemas.microsoft.com/office/drawing/2014/chart" uri="{C3380CC4-5D6E-409C-BE32-E72D297353CC}">
              <c16:uniqueId val="{00000003-8B9B-43F7-8004-3B62BC7CEA46}"/>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4"/>
                <c:order val="4"/>
                <c:tx>
                  <c:strRef>
                    <c:extLst>
                      <c:ext uri="{02D57815-91ED-43cb-92C2-25804820EDAC}">
                        <c15:formulaRef>
                          <c15:sqref>Sheet1!$F$1</c15:sqref>
                        </c15:formulaRef>
                      </c:ext>
                    </c:extLst>
                    <c:strCache>
                      <c:ptCount val="1"/>
                      <c:pt idx="0">
                        <c:v>O-DRM</c:v>
                      </c:pt>
                    </c:strCache>
                  </c:strRef>
                </c:tx>
                <c:spPr>
                  <a:ln w="57150" cap="rnd">
                    <a:solidFill>
                      <a:schemeClr val="accent5"/>
                    </a:solidFill>
                    <a:round/>
                  </a:ln>
                  <a:effectLst/>
                </c:spPr>
                <c:marker>
                  <c:symbol val="none"/>
                </c:marker>
                <c:cat>
                  <c:numRef>
                    <c:extLst>
                      <c:ext uri="{02D57815-91ED-43cb-92C2-25804820EDAC}">
                        <c15:formulaRef>
                          <c15:sqref>Sheet1!$A$2:$A$14</c15:sqref>
                        </c15:formulaRef>
                      </c:ext>
                    </c:extLst>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extLst>
                      <c:ext uri="{02D57815-91ED-43cb-92C2-25804820EDAC}">
                        <c15:formulaRef>
                          <c15:sqref>Sheet1!$F$2:$F$14</c15:sqref>
                        </c15:formulaRef>
                      </c:ext>
                    </c:extLst>
                    <c:numCache>
                      <c:formatCode>#,##0</c:formatCode>
                      <c:ptCount val="12"/>
                      <c:pt idx="0">
                        <c:v>28333</c:v>
                      </c:pt>
                      <c:pt idx="1">
                        <c:v>23973</c:v>
                      </c:pt>
                      <c:pt idx="2">
                        <c:v>19927</c:v>
                      </c:pt>
                      <c:pt idx="3">
                        <c:v>18574</c:v>
                      </c:pt>
                      <c:pt idx="4">
                        <c:v>18078</c:v>
                      </c:pt>
                      <c:pt idx="5">
                        <c:v>17621</c:v>
                      </c:pt>
                      <c:pt idx="6">
                        <c:v>17097</c:v>
                      </c:pt>
                      <c:pt idx="7">
                        <c:v>16542</c:v>
                      </c:pt>
                      <c:pt idx="8">
                        <c:v>15960</c:v>
                      </c:pt>
                      <c:pt idx="9">
                        <c:v>15307</c:v>
                      </c:pt>
                      <c:pt idx="10">
                        <c:v>14579</c:v>
                      </c:pt>
                      <c:pt idx="11">
                        <c:v>13728</c:v>
                      </c:pt>
                    </c:numCache>
                  </c:numRef>
                </c:val>
                <c:smooth val="0"/>
                <c:extLst>
                  <c:ext xmlns:c16="http://schemas.microsoft.com/office/drawing/2014/chart" uri="{C3380CC4-5D6E-409C-BE32-E72D297353CC}">
                    <c16:uniqueId val="{00000004-8B9B-43F7-8004-3B62BC7CEA46}"/>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w="5715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rgbClr val="C000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General</c:formatCode>
                <c:ptCount val="13"/>
                <c:pt idx="0">
                  <c:v>54.892751263809622</c:v>
                </c:pt>
                <c:pt idx="1">
                  <c:v>57.637388827000123</c:v>
                </c:pt>
                <c:pt idx="2">
                  <c:v>66.868827289305344</c:v>
                </c:pt>
                <c:pt idx="3">
                  <c:v>73.242550123193226</c:v>
                </c:pt>
                <c:pt idx="4">
                  <c:v>80.510425893350472</c:v>
                </c:pt>
                <c:pt idx="5">
                  <c:v>90.109487753976026</c:v>
                </c:pt>
                <c:pt idx="6">
                  <c:v>100.20105172398469</c:v>
                </c:pt>
                <c:pt idx="7">
                  <c:v>110.94496890240524</c:v>
                </c:pt>
                <c:pt idx="8">
                  <c:v>122.33307235371312</c:v>
                </c:pt>
                <c:pt idx="9">
                  <c:v>134.35076101096328</c:v>
                </c:pt>
                <c:pt idx="10">
                  <c:v>146.97664925266929</c:v>
                </c:pt>
                <c:pt idx="11">
                  <c:v>160.18228549241428</c:v>
                </c:pt>
                <c:pt idx="12">
                  <c:v>173.93194979025472</c:v>
                </c:pt>
              </c:numCache>
            </c:numRef>
          </c:val>
          <c:extLst>
            <c:ext xmlns:c16="http://schemas.microsoft.com/office/drawing/2014/chart" uri="{C3380CC4-5D6E-409C-BE32-E72D297353CC}">
              <c16:uniqueId val="{00000000-93FC-48CB-9DD1-6D4D73EC6185}"/>
            </c:ext>
          </c:extLst>
        </c:ser>
        <c:dLbls>
          <c:dLblPos val="outEnd"/>
          <c:showLegendKey val="0"/>
          <c:showVal val="1"/>
          <c:showCatName val="0"/>
          <c:showSerName val="0"/>
          <c:showPercent val="0"/>
          <c:showBubbleSize val="0"/>
        </c:dLbls>
        <c:gapWidth val="219"/>
        <c:overlap val="-27"/>
        <c:axId val="957160880"/>
        <c:axId val="957158256"/>
      </c:barChart>
      <c:catAx>
        <c:axId val="957160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7158256"/>
        <c:crosses val="autoZero"/>
        <c:auto val="1"/>
        <c:lblAlgn val="ctr"/>
        <c:lblOffset val="100"/>
        <c:noMultiLvlLbl val="0"/>
      </c:catAx>
      <c:valAx>
        <c:axId val="957158256"/>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7160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SQ</c:v>
                </c:pt>
              </c:strCache>
            </c:strRef>
          </c:tx>
          <c:spPr>
            <a:ln w="57150" cap="rnd">
              <a:solidFill>
                <a:schemeClr val="bg2">
                  <a:lumMod val="75000"/>
                </a:schemeClr>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467.98264999999998</c:v>
                </c:pt>
                <c:pt idx="1">
                  <c:v>461.49829999999997</c:v>
                </c:pt>
                <c:pt idx="2">
                  <c:v>465.83078</c:v>
                </c:pt>
                <c:pt idx="3">
                  <c:v>469.97609999999997</c:v>
                </c:pt>
                <c:pt idx="4">
                  <c:v>474.03453999999999</c:v>
                </c:pt>
                <c:pt idx="5">
                  <c:v>477.90449000000001</c:v>
                </c:pt>
                <c:pt idx="6">
                  <c:v>481.42367999999999</c:v>
                </c:pt>
                <c:pt idx="7">
                  <c:v>484.66980999999998</c:v>
                </c:pt>
                <c:pt idx="8">
                  <c:v>487.64582999999999</c:v>
                </c:pt>
                <c:pt idx="9">
                  <c:v>490.32909999999998</c:v>
                </c:pt>
                <c:pt idx="10">
                  <c:v>492.83341000000001</c:v>
                </c:pt>
                <c:pt idx="11">
                  <c:v>496.46039999999999</c:v>
                </c:pt>
                <c:pt idx="12">
                  <c:v>500.31641999999999</c:v>
                </c:pt>
              </c:numCache>
            </c:numRef>
          </c:val>
          <c:smooth val="0"/>
          <c:extLst>
            <c:ext xmlns:c16="http://schemas.microsoft.com/office/drawing/2014/chart" uri="{C3380CC4-5D6E-409C-BE32-E72D297353CC}">
              <c16:uniqueId val="{00000000-CDD4-4088-AD64-9FB2ACF34FDF}"/>
            </c:ext>
          </c:extLst>
        </c:ser>
        <c:ser>
          <c:idx val="3"/>
          <c:order val="3"/>
          <c:tx>
            <c:strRef>
              <c:f>Sheet1!$E$1</c:f>
              <c:strCache>
                <c:ptCount val="1"/>
                <c:pt idx="0">
                  <c:v>O-DDF</c:v>
                </c:pt>
              </c:strCache>
              <c:extLst xmlns:c15="http://schemas.microsoft.com/office/drawing/2012/chart"/>
            </c:strRef>
          </c:tx>
          <c:spPr>
            <a:ln w="57150" cap="rnd">
              <a:solidFill>
                <a:schemeClr val="accent4"/>
              </a:solidFill>
              <a:prstDash val="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467.98264999999998</c:v>
                </c:pt>
                <c:pt idx="1">
                  <c:v>466.94026000000002</c:v>
                </c:pt>
                <c:pt idx="2">
                  <c:v>482.07378</c:v>
                </c:pt>
                <c:pt idx="3">
                  <c:v>425.39645000000002</c:v>
                </c:pt>
                <c:pt idx="4">
                  <c:v>404.52148999999997</c:v>
                </c:pt>
                <c:pt idx="5">
                  <c:v>383.88339999999999</c:v>
                </c:pt>
                <c:pt idx="6">
                  <c:v>375.42246999999998</c:v>
                </c:pt>
                <c:pt idx="7">
                  <c:v>366.57551000000001</c:v>
                </c:pt>
                <c:pt idx="8">
                  <c:v>357.58470999999997</c:v>
                </c:pt>
                <c:pt idx="9">
                  <c:v>348.50198999999998</c:v>
                </c:pt>
                <c:pt idx="10">
                  <c:v>339.31407000000002</c:v>
                </c:pt>
                <c:pt idx="11">
                  <c:v>329.97320999999999</c:v>
                </c:pt>
                <c:pt idx="12">
                  <c:v>320.20596999999998</c:v>
                </c:pt>
              </c:numCache>
            </c:numRef>
          </c:val>
          <c:smooth val="0"/>
          <c:extLst xmlns:c15="http://schemas.microsoft.com/office/drawing/2012/chart">
            <c:ext xmlns:c16="http://schemas.microsoft.com/office/drawing/2014/chart" uri="{C3380CC4-5D6E-409C-BE32-E72D297353CC}">
              <c16:uniqueId val="{00000001-CDD4-4088-AD64-9FB2ACF34FDF}"/>
            </c:ext>
          </c:extLst>
        </c:ser>
        <c:ser>
          <c:idx val="4"/>
          <c:order val="4"/>
          <c:tx>
            <c:strRef>
              <c:f>Sheet1!$F$1</c:f>
              <c:strCache>
                <c:ptCount val="1"/>
                <c:pt idx="0">
                  <c:v>O-DRM</c:v>
                </c:pt>
              </c:strCache>
              <c:extLst xmlns:c15="http://schemas.microsoft.com/office/drawing/2012/chart"/>
            </c:strRef>
          </c:tx>
          <c:spPr>
            <a:ln w="57150" cap="rnd">
              <a:solidFill>
                <a:schemeClr val="accent5"/>
              </a:solidFill>
              <a:prstDash val="sysDash"/>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Sheet1!$F$2:$F$14</c:f>
              <c:numCache>
                <c:formatCode>#,##0</c:formatCode>
                <c:ptCount val="13"/>
                <c:pt idx="0">
                  <c:v>467.98264999999998</c:v>
                </c:pt>
                <c:pt idx="1">
                  <c:v>466.94026000000002</c:v>
                </c:pt>
                <c:pt idx="2">
                  <c:v>482.07378</c:v>
                </c:pt>
                <c:pt idx="3">
                  <c:v>449.30588999999998</c:v>
                </c:pt>
                <c:pt idx="4">
                  <c:v>444.33544000000001</c:v>
                </c:pt>
                <c:pt idx="5">
                  <c:v>433.32729999999998</c:v>
                </c:pt>
                <c:pt idx="6">
                  <c:v>435.3048</c:v>
                </c:pt>
                <c:pt idx="7">
                  <c:v>436.98432000000003</c:v>
                </c:pt>
                <c:pt idx="8">
                  <c:v>429.44695000000002</c:v>
                </c:pt>
                <c:pt idx="9">
                  <c:v>430.22233999999997</c:v>
                </c:pt>
                <c:pt idx="10">
                  <c:v>428.85217</c:v>
                </c:pt>
                <c:pt idx="11">
                  <c:v>427.46248000000003</c:v>
                </c:pt>
                <c:pt idx="12">
                  <c:v>425.34379000000001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CDD4-4088-AD64-9FB2ACF34FDF}"/>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NS</c:v>
                      </c:pt>
                    </c:strCache>
                  </c:strRef>
                </c:tx>
                <c:spPr>
                  <a:ln w="57150" cap="rnd">
                    <a:solidFill>
                      <a:schemeClr val="accent2"/>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Sheet1!$C$2:$C$14</c15:sqref>
                        </c15:formulaRef>
                      </c:ext>
                    </c:extLst>
                    <c:numCache>
                      <c:formatCode>#,##0</c:formatCode>
                      <c:ptCount val="13"/>
                      <c:pt idx="0">
                        <c:v>467.98264999999998</c:v>
                      </c:pt>
                      <c:pt idx="1">
                        <c:v>509.95699000000002</c:v>
                      </c:pt>
                      <c:pt idx="2">
                        <c:v>573.85712999999998</c:v>
                      </c:pt>
                      <c:pt idx="3">
                        <c:v>579.20203000000004</c:v>
                      </c:pt>
                      <c:pt idx="4">
                        <c:v>602.96974999999998</c:v>
                      </c:pt>
                      <c:pt idx="5">
                        <c:v>628.05430000000001</c:v>
                      </c:pt>
                      <c:pt idx="6">
                        <c:v>654.36455000000001</c:v>
                      </c:pt>
                      <c:pt idx="7">
                        <c:v>681.82455000000004</c:v>
                      </c:pt>
                      <c:pt idx="8">
                        <c:v>710.52549999999997</c:v>
                      </c:pt>
                      <c:pt idx="9">
                        <c:v>740.52671999999995</c:v>
                      </c:pt>
                      <c:pt idx="10">
                        <c:v>771.93263999999999</c:v>
                      </c:pt>
                      <c:pt idx="11">
                        <c:v>804.78490999999997</c:v>
                      </c:pt>
                      <c:pt idx="12">
                        <c:v>839.00984000000005</c:v>
                      </c:pt>
                    </c:numCache>
                  </c:numRef>
                </c:val>
                <c:smooth val="0"/>
                <c:extLst>
                  <c:ext xmlns:c16="http://schemas.microsoft.com/office/drawing/2014/chart" uri="{C3380CC4-5D6E-409C-BE32-E72D297353CC}">
                    <c16:uniqueId val="{00000002-CDD4-4088-AD64-9FB2ACF34FD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O-SQF</c:v>
                      </c:pt>
                    </c:strCache>
                  </c:strRef>
                </c:tx>
                <c:spPr>
                  <a:ln w="57150"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Sheet1!$D$2:$D$14</c15:sqref>
                        </c15:formulaRef>
                      </c:ext>
                    </c:extLst>
                    <c:numCache>
                      <c:formatCode>#,##0</c:formatCode>
                      <c:ptCount val="13"/>
                      <c:pt idx="0">
                        <c:v>467.98264999999998</c:v>
                      </c:pt>
                      <c:pt idx="1">
                        <c:v>466.94026000000002</c:v>
                      </c:pt>
                      <c:pt idx="2">
                        <c:v>482.07378</c:v>
                      </c:pt>
                      <c:pt idx="3">
                        <c:v>463.33850000000001</c:v>
                      </c:pt>
                      <c:pt idx="4">
                        <c:v>461.11482999999998</c:v>
                      </c:pt>
                      <c:pt idx="5">
                        <c:v>453.0043</c:v>
                      </c:pt>
                      <c:pt idx="6">
                        <c:v>457.93310000000002</c:v>
                      </c:pt>
                      <c:pt idx="7">
                        <c:v>462.66206</c:v>
                      </c:pt>
                      <c:pt idx="8">
                        <c:v>458.34782000000001</c:v>
                      </c:pt>
                      <c:pt idx="9">
                        <c:v>462.52681000000001</c:v>
                      </c:pt>
                      <c:pt idx="10">
                        <c:v>464.74790000000002</c:v>
                      </c:pt>
                      <c:pt idx="11">
                        <c:v>467.14783999999997</c:v>
                      </c:pt>
                      <c:pt idx="12">
                        <c:v>469.02936</c:v>
                      </c:pt>
                    </c:numCache>
                  </c:numRef>
                </c:val>
                <c:smooth val="0"/>
                <c:extLst xmlns:c15="http://schemas.microsoft.com/office/drawing/2012/chart">
                  <c:ext xmlns:c16="http://schemas.microsoft.com/office/drawing/2014/chart" uri="{C3380CC4-5D6E-409C-BE32-E72D297353CC}">
                    <c16:uniqueId val="{00000003-CDD4-4088-AD64-9FB2ACF34FDF}"/>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20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USD (Millions)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PEPFAR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2020</c:v>
                </c:pt>
                <c:pt idx="2">
                  <c:v>2023</c:v>
                </c:pt>
                <c:pt idx="3">
                  <c:v>2025</c:v>
                </c:pt>
                <c:pt idx="4">
                  <c:v>2030</c:v>
                </c:pt>
              </c:numCache>
            </c:numRef>
          </c:cat>
          <c:val>
            <c:numRef>
              <c:f>Sheet1!$B$2:$B$6</c:f>
              <c:numCache>
                <c:formatCode>General</c:formatCode>
                <c:ptCount val="5"/>
                <c:pt idx="0">
                  <c:v>402.7</c:v>
                </c:pt>
                <c:pt idx="1">
                  <c:v>266</c:v>
                </c:pt>
                <c:pt idx="2">
                  <c:v>211</c:v>
                </c:pt>
                <c:pt idx="3">
                  <c:v>210</c:v>
                </c:pt>
                <c:pt idx="4">
                  <c:v>152.9</c:v>
                </c:pt>
              </c:numCache>
            </c:numRef>
          </c:val>
          <c:extLst>
            <c:ext xmlns:c16="http://schemas.microsoft.com/office/drawing/2014/chart" uri="{C3380CC4-5D6E-409C-BE32-E72D297353CC}">
              <c16:uniqueId val="{00000000-1241-42AB-9348-E8FE97FFABBB}"/>
            </c:ext>
          </c:extLst>
        </c:ser>
        <c:ser>
          <c:idx val="1"/>
          <c:order val="1"/>
          <c:tx>
            <c:strRef>
              <c:f>Sheet1!$C$1</c:f>
              <c:strCache>
                <c:ptCount val="1"/>
                <c:pt idx="0">
                  <c:v>Global Fund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2020</c:v>
                </c:pt>
                <c:pt idx="2">
                  <c:v>2023</c:v>
                </c:pt>
                <c:pt idx="3">
                  <c:v>2025</c:v>
                </c:pt>
                <c:pt idx="4">
                  <c:v>2030</c:v>
                </c:pt>
              </c:numCache>
            </c:numRef>
          </c:cat>
          <c:val>
            <c:numRef>
              <c:f>Sheet1!$C$2:$C$6</c:f>
              <c:numCache>
                <c:formatCode>General</c:formatCode>
                <c:ptCount val="5"/>
                <c:pt idx="0">
                  <c:v>136.19999999999999</c:v>
                </c:pt>
                <c:pt idx="1">
                  <c:v>136</c:v>
                </c:pt>
                <c:pt idx="2">
                  <c:v>123</c:v>
                </c:pt>
                <c:pt idx="3">
                  <c:v>110</c:v>
                </c:pt>
                <c:pt idx="4">
                  <c:v>89.8</c:v>
                </c:pt>
              </c:numCache>
            </c:numRef>
          </c:val>
          <c:extLst>
            <c:ext xmlns:c16="http://schemas.microsoft.com/office/drawing/2014/chart" uri="{C3380CC4-5D6E-409C-BE32-E72D297353CC}">
              <c16:uniqueId val="{00000001-1241-42AB-9348-E8FE97FFABBB}"/>
            </c:ext>
          </c:extLst>
        </c:ser>
        <c:ser>
          <c:idx val="2"/>
          <c:order val="2"/>
          <c:tx>
            <c:strRef>
              <c:f>Sheet1!$D$1</c:f>
              <c:strCache>
                <c:ptCount val="1"/>
                <c:pt idx="0">
                  <c:v>Domestic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2020</c:v>
                </c:pt>
                <c:pt idx="2">
                  <c:v>2023</c:v>
                </c:pt>
                <c:pt idx="3">
                  <c:v>2025</c:v>
                </c:pt>
                <c:pt idx="4">
                  <c:v>2030</c:v>
                </c:pt>
              </c:numCache>
            </c:numRef>
          </c:cat>
          <c:val>
            <c:numRef>
              <c:f>Sheet1!$D$2:$D$6</c:f>
              <c:numCache>
                <c:formatCode>General</c:formatCode>
                <c:ptCount val="5"/>
                <c:pt idx="0">
                  <c:v>54.9</c:v>
                </c:pt>
                <c:pt idx="1">
                  <c:v>65</c:v>
                </c:pt>
                <c:pt idx="2">
                  <c:v>90</c:v>
                </c:pt>
                <c:pt idx="3">
                  <c:v>111</c:v>
                </c:pt>
                <c:pt idx="4">
                  <c:v>173.9</c:v>
                </c:pt>
              </c:numCache>
            </c:numRef>
          </c:val>
          <c:extLst>
            <c:ext xmlns:c16="http://schemas.microsoft.com/office/drawing/2014/chart" uri="{C3380CC4-5D6E-409C-BE32-E72D297353CC}">
              <c16:uniqueId val="{00000002-1241-42AB-9348-E8FE97FFABBB}"/>
            </c:ext>
          </c:extLst>
        </c:ser>
        <c:ser>
          <c:idx val="3"/>
          <c:order val="3"/>
          <c:tx>
            <c:strRef>
              <c:f>Sheet1!$E$1</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2020</c:v>
                </c:pt>
                <c:pt idx="2">
                  <c:v>2023</c:v>
                </c:pt>
                <c:pt idx="3">
                  <c:v>2025</c:v>
                </c:pt>
                <c:pt idx="4">
                  <c:v>2030</c:v>
                </c:pt>
              </c:numCache>
            </c:numRef>
          </c:cat>
          <c:val>
            <c:numRef>
              <c:f>Sheet1!$E$2:$E$6</c:f>
              <c:numCache>
                <c:formatCode>General</c:formatCode>
                <c:ptCount val="5"/>
                <c:pt idx="0">
                  <c:v>5.5</c:v>
                </c:pt>
                <c:pt idx="1">
                  <c:v>5.7</c:v>
                </c:pt>
                <c:pt idx="2">
                  <c:v>5.7</c:v>
                </c:pt>
                <c:pt idx="3">
                  <c:v>5.7</c:v>
                </c:pt>
                <c:pt idx="4">
                  <c:v>5.7</c:v>
                </c:pt>
              </c:numCache>
            </c:numRef>
          </c:val>
          <c:extLst>
            <c:ext xmlns:c16="http://schemas.microsoft.com/office/drawing/2014/chart" uri="{C3380CC4-5D6E-409C-BE32-E72D297353CC}">
              <c16:uniqueId val="{00000003-1241-42AB-9348-E8FE97FFABBB}"/>
            </c:ext>
          </c:extLst>
        </c:ser>
        <c:dLbls>
          <c:dLblPos val="ctr"/>
          <c:showLegendKey val="0"/>
          <c:showVal val="1"/>
          <c:showCatName val="0"/>
          <c:showSerName val="0"/>
          <c:showPercent val="0"/>
          <c:showBubbleSize val="0"/>
        </c:dLbls>
        <c:gapWidth val="150"/>
        <c:overlap val="100"/>
        <c:axId val="1391502752"/>
        <c:axId val="1391496192"/>
      </c:barChart>
      <c:catAx>
        <c:axId val="13915027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1496192"/>
        <c:crosses val="autoZero"/>
        <c:auto val="1"/>
        <c:lblAlgn val="ctr"/>
        <c:lblOffset val="100"/>
        <c:noMultiLvlLbl val="0"/>
      </c:catAx>
      <c:valAx>
        <c:axId val="139149619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USD (Millions)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150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1049105</c:v>
                </c:pt>
                <c:pt idx="1">
                  <c:v>1066053</c:v>
                </c:pt>
                <c:pt idx="2">
                  <c:v>1073806</c:v>
                </c:pt>
                <c:pt idx="3">
                  <c:v>1080955</c:v>
                </c:pt>
                <c:pt idx="4">
                  <c:v>1087087</c:v>
                </c:pt>
                <c:pt idx="5">
                  <c:v>1092000</c:v>
                </c:pt>
                <c:pt idx="6">
                  <c:v>1095714</c:v>
                </c:pt>
                <c:pt idx="7">
                  <c:v>1097753</c:v>
                </c:pt>
                <c:pt idx="8">
                  <c:v>1098951</c:v>
                </c:pt>
                <c:pt idx="9">
                  <c:v>1099667</c:v>
                </c:pt>
                <c:pt idx="10">
                  <c:v>1100350</c:v>
                </c:pt>
                <c:pt idx="11">
                  <c:v>1100963</c:v>
                </c:pt>
                <c:pt idx="12">
                  <c:v>1100835</c:v>
                </c:pt>
              </c:numCache>
            </c:numRef>
          </c:val>
          <c:smooth val="0"/>
          <c:extLst>
            <c:ext xmlns:c16="http://schemas.microsoft.com/office/drawing/2014/chart" uri="{C3380CC4-5D6E-409C-BE32-E72D297353CC}">
              <c16:uniqueId val="{00000000-F9A9-4EFE-B080-5E8C6EC470B2}"/>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1049105</c:v>
                </c:pt>
                <c:pt idx="1">
                  <c:v>1065532</c:v>
                </c:pt>
                <c:pt idx="2">
                  <c:v>1222137</c:v>
                </c:pt>
                <c:pt idx="3">
                  <c:v>1238467</c:v>
                </c:pt>
                <c:pt idx="4">
                  <c:v>1254562</c:v>
                </c:pt>
                <c:pt idx="5">
                  <c:v>1269673</c:v>
                </c:pt>
                <c:pt idx="6">
                  <c:v>1283613</c:v>
                </c:pt>
                <c:pt idx="7">
                  <c:v>1295597</c:v>
                </c:pt>
                <c:pt idx="8">
                  <c:v>1306489</c:v>
                </c:pt>
                <c:pt idx="9">
                  <c:v>1316623</c:v>
                </c:pt>
                <c:pt idx="10">
                  <c:v>1326512</c:v>
                </c:pt>
                <c:pt idx="11">
                  <c:v>1336063</c:v>
                </c:pt>
                <c:pt idx="12">
                  <c:v>1344300</c:v>
                </c:pt>
              </c:numCache>
            </c:numRef>
          </c:val>
          <c:smooth val="0"/>
          <c:extLst xmlns:c15="http://schemas.microsoft.com/office/drawing/2012/chart">
            <c:ext xmlns:c16="http://schemas.microsoft.com/office/drawing/2014/chart" uri="{C3380CC4-5D6E-409C-BE32-E72D297353CC}">
              <c16:uniqueId val="{00000001-F9A9-4EFE-B080-5E8C6EC470B2}"/>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1049105</c:v>
                </c:pt>
                <c:pt idx="1">
                  <c:v>1066363</c:v>
                </c:pt>
                <c:pt idx="2">
                  <c:v>1224558</c:v>
                </c:pt>
                <c:pt idx="3">
                  <c:v>1241480</c:v>
                </c:pt>
                <c:pt idx="4">
                  <c:v>1258116</c:v>
                </c:pt>
                <c:pt idx="5">
                  <c:v>1273843</c:v>
                </c:pt>
                <c:pt idx="6">
                  <c:v>1288482</c:v>
                </c:pt>
                <c:pt idx="7">
                  <c:v>1301242</c:v>
                </c:pt>
                <c:pt idx="8">
                  <c:v>1312978</c:v>
                </c:pt>
                <c:pt idx="9">
                  <c:v>1324016</c:v>
                </c:pt>
                <c:pt idx="10">
                  <c:v>1334874</c:v>
                </c:pt>
                <c:pt idx="11">
                  <c:v>1345457</c:v>
                </c:pt>
                <c:pt idx="12">
                  <c:v>1354781</c:v>
                </c:pt>
              </c:numCache>
            </c:numRef>
          </c:val>
          <c:smooth val="0"/>
          <c:extLst xmlns:c15="http://schemas.microsoft.com/office/drawing/2012/chart">
            <c:ext xmlns:c16="http://schemas.microsoft.com/office/drawing/2014/chart" uri="{C3380CC4-5D6E-409C-BE32-E72D297353CC}">
              <c16:uniqueId val="{00000002-F9A9-4EFE-B080-5E8C6EC470B2}"/>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1049105</c:v>
                </c:pt>
                <c:pt idx="1">
                  <c:v>1066363</c:v>
                </c:pt>
                <c:pt idx="2">
                  <c:v>1224558</c:v>
                </c:pt>
                <c:pt idx="3">
                  <c:v>1209933</c:v>
                </c:pt>
                <c:pt idx="4">
                  <c:v>1196590</c:v>
                </c:pt>
                <c:pt idx="5">
                  <c:v>1183118</c:v>
                </c:pt>
                <c:pt idx="6">
                  <c:v>1168615</c:v>
                </c:pt>
                <c:pt idx="7">
                  <c:v>1152104</c:v>
                </c:pt>
                <c:pt idx="8">
                  <c:v>1134505</c:v>
                </c:pt>
                <c:pt idx="9">
                  <c:v>1116642</c:v>
                </c:pt>
                <c:pt idx="10">
                  <c:v>1099532</c:v>
                </c:pt>
                <c:pt idx="11">
                  <c:v>1083665</c:v>
                </c:pt>
                <c:pt idx="12">
                  <c:v>1068856</c:v>
                </c:pt>
              </c:numCache>
            </c:numRef>
          </c:val>
          <c:smooth val="0"/>
          <c:extLst xmlns:c15="http://schemas.microsoft.com/office/drawing/2012/chart">
            <c:ext xmlns:c16="http://schemas.microsoft.com/office/drawing/2014/chart" uri="{C3380CC4-5D6E-409C-BE32-E72D297353CC}">
              <c16:uniqueId val="{00000003-F9A9-4EFE-B080-5E8C6EC470B2}"/>
            </c:ext>
          </c:extLst>
        </c:ser>
        <c:ser>
          <c:idx val="4"/>
          <c:order val="4"/>
          <c:tx>
            <c:strRef>
              <c:f>Sheet1!$F$1</c:f>
              <c:strCache>
                <c:ptCount val="1"/>
                <c:pt idx="0">
                  <c:v>O-DRM</c:v>
                </c:pt>
              </c:strCache>
              <c:extLst xmlns:c15="http://schemas.microsoft.com/office/drawing/2012/chart"/>
            </c:strRef>
          </c:tx>
          <c:spPr>
            <a:ln w="57150" cap="rnd">
              <a:solidFill>
                <a:schemeClr val="accent5"/>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Sheet1!$F$2:$F$14</c:f>
              <c:numCache>
                <c:formatCode>#,##0</c:formatCode>
                <c:ptCount val="13"/>
                <c:pt idx="0">
                  <c:v>1049105</c:v>
                </c:pt>
                <c:pt idx="1">
                  <c:v>1066363</c:v>
                </c:pt>
                <c:pt idx="2">
                  <c:v>1224558</c:v>
                </c:pt>
                <c:pt idx="3">
                  <c:v>1242467</c:v>
                </c:pt>
                <c:pt idx="4">
                  <c:v>1260347</c:v>
                </c:pt>
                <c:pt idx="5">
                  <c:v>1277478</c:v>
                </c:pt>
                <c:pt idx="6">
                  <c:v>1293639</c:v>
                </c:pt>
                <c:pt idx="7">
                  <c:v>1308010</c:v>
                </c:pt>
                <c:pt idx="8">
                  <c:v>1321422</c:v>
                </c:pt>
                <c:pt idx="9">
                  <c:v>1334176</c:v>
                </c:pt>
                <c:pt idx="10">
                  <c:v>1346768</c:v>
                </c:pt>
                <c:pt idx="11">
                  <c:v>1359073</c:v>
                </c:pt>
                <c:pt idx="12">
                  <c:v>1370082</c:v>
                </c:pt>
              </c:numCache>
            </c:numRef>
          </c:val>
          <c:smooth val="0"/>
          <c:extLst xmlns:c15="http://schemas.microsoft.com/office/drawing/2012/chart">
            <c:ext xmlns:c16="http://schemas.microsoft.com/office/drawing/2014/chart" uri="{C3380CC4-5D6E-409C-BE32-E72D297353CC}">
              <c16:uniqueId val="{00000004-F9A9-4EFE-B080-5E8C6EC470B2}"/>
            </c:ext>
          </c:extLst>
        </c:ser>
        <c:dLbls>
          <c:showLegendKey val="0"/>
          <c:showVal val="0"/>
          <c:showCatName val="0"/>
          <c:showSerName val="0"/>
          <c:showPercent val="0"/>
          <c:showBubbleSize val="0"/>
        </c:dLbls>
        <c:smooth val="0"/>
        <c:axId val="359149264"/>
        <c:axId val="359147952"/>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800000"/>
        </c:scaling>
        <c:delete val="0"/>
        <c:axPos val="l"/>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dispUnits>
          <c:builtInUnit val="millions"/>
          <c:dispUnitsLbl>
            <c:layout>
              <c:manualLayout>
                <c:xMode val="edge"/>
                <c:yMode val="edge"/>
                <c:x val="2.5551684088269456E-2"/>
                <c:y val="0.34323432343234317"/>
              </c:manualLayout>
            </c:layout>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48297739760951E-2"/>
          <c:y val="8.7060888912064802E-2"/>
          <c:w val="0.89154121921810137"/>
          <c:h val="0.69577836296952944"/>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dPt>
            <c:idx val="10"/>
            <c:marker>
              <c:symbol val="none"/>
            </c:marker>
            <c:bubble3D val="0"/>
            <c:extLst>
              <c:ext xmlns:c16="http://schemas.microsoft.com/office/drawing/2014/chart" uri="{C3380CC4-5D6E-409C-BE32-E72D297353CC}">
                <c16:uniqueId val="{00000000-10D8-4A4A-9B64-9AB70341C579}"/>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extLst/>
            </c:numRef>
          </c:val>
          <c:smooth val="0"/>
          <c:extLst>
            <c:ext xmlns:c16="http://schemas.microsoft.com/office/drawing/2014/chart" uri="{C3380CC4-5D6E-409C-BE32-E72D297353CC}">
              <c16:uniqueId val="{00000001-10D8-4A4A-9B64-9AB70341C579}"/>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Sheet1!$C$2:$C$14</c:f>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extLst/>
            </c:numRef>
          </c:val>
          <c:smooth val="0"/>
          <c:extLst xmlns:c15="http://schemas.microsoft.com/office/drawing/2012/chart">
            <c:ext xmlns:c16="http://schemas.microsoft.com/office/drawing/2014/chart" uri="{C3380CC4-5D6E-409C-BE32-E72D297353CC}">
              <c16:uniqueId val="{00000002-10D8-4A4A-9B64-9AB70341C579}"/>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Sheet1!$D$2:$D$14</c:f>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extLst/>
            </c:numRef>
          </c:val>
          <c:smooth val="0"/>
          <c:extLst xmlns:c15="http://schemas.microsoft.com/office/drawing/2012/chart">
            <c:ext xmlns:c16="http://schemas.microsoft.com/office/drawing/2014/chart" uri="{C3380CC4-5D6E-409C-BE32-E72D297353CC}">
              <c16:uniqueId val="{00000003-10D8-4A4A-9B64-9AB70341C579}"/>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Sheet1!$E$2:$E$14</c:f>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extLst/>
            </c:numRef>
          </c:val>
          <c:smooth val="0"/>
          <c:extLst xmlns:c15="http://schemas.microsoft.com/office/drawing/2012/chart">
            <c:ext xmlns:c16="http://schemas.microsoft.com/office/drawing/2014/chart" uri="{C3380CC4-5D6E-409C-BE32-E72D297353CC}">
              <c16:uniqueId val="{00000004-10D8-4A4A-9B64-9AB70341C579}"/>
            </c:ext>
          </c:extLst>
        </c:ser>
        <c:ser>
          <c:idx val="4"/>
          <c:order val="4"/>
          <c:tx>
            <c:strRef>
              <c:f>Sheet1!$F$1</c:f>
              <c:strCache>
                <c:ptCount val="1"/>
                <c:pt idx="0">
                  <c:v>O-DRM</c:v>
                </c:pt>
              </c:strCache>
              <c:extLst xmlns:c15="http://schemas.microsoft.com/office/drawing/2012/chart"/>
            </c:strRef>
          </c:tx>
          <c:spPr>
            <a:ln w="57150" cap="rnd">
              <a:solidFill>
                <a:schemeClr val="accent5"/>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Sheet1!$F$2:$F$14</c:f>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extLst/>
            </c:numRef>
          </c:val>
          <c:smooth val="0"/>
          <c:extLst xmlns:c15="http://schemas.microsoft.com/office/drawing/2012/chart">
            <c:ext xmlns:c16="http://schemas.microsoft.com/office/drawing/2014/chart" uri="{C3380CC4-5D6E-409C-BE32-E72D297353CC}">
              <c16:uniqueId val="{00000005-10D8-4A4A-9B64-9AB70341C579}"/>
            </c:ext>
          </c:extLst>
        </c:ser>
        <c:dLbls>
          <c:showLegendKey val="0"/>
          <c:showVal val="0"/>
          <c:showCatName val="0"/>
          <c:showSerName val="0"/>
          <c:showPercent val="0"/>
          <c:showBubbleSize val="0"/>
        </c:dLbls>
        <c:smooth val="0"/>
        <c:axId val="359149264"/>
        <c:axId val="359147952"/>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19383634737971E-2"/>
          <c:y val="3.7140204271123488E-2"/>
          <c:w val="0.88815057973522538"/>
          <c:h val="0.75809078879067693"/>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31106</c:v>
                </c:pt>
                <c:pt idx="1">
                  <c:v>28322</c:v>
                </c:pt>
                <c:pt idx="2">
                  <c:v>26525</c:v>
                </c:pt>
                <c:pt idx="3">
                  <c:v>28547</c:v>
                </c:pt>
                <c:pt idx="4">
                  <c:v>31036</c:v>
                </c:pt>
                <c:pt idx="5">
                  <c:v>33066</c:v>
                </c:pt>
                <c:pt idx="6">
                  <c:v>34708</c:v>
                </c:pt>
                <c:pt idx="7">
                  <c:v>35960</c:v>
                </c:pt>
                <c:pt idx="8">
                  <c:v>36864</c:v>
                </c:pt>
                <c:pt idx="9">
                  <c:v>37500</c:v>
                </c:pt>
                <c:pt idx="10">
                  <c:v>37982</c:v>
                </c:pt>
                <c:pt idx="11">
                  <c:v>38682</c:v>
                </c:pt>
                <c:pt idx="12">
                  <c:v>38588</c:v>
                </c:pt>
              </c:numCache>
            </c:numRef>
          </c:val>
          <c:smooth val="0"/>
          <c:extLst>
            <c:ext xmlns:c16="http://schemas.microsoft.com/office/drawing/2014/chart" uri="{C3380CC4-5D6E-409C-BE32-E72D297353CC}">
              <c16:uniqueId val="{00000000-34DC-4F9E-A5B3-6F00CA621301}"/>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31106</c:v>
                </c:pt>
                <c:pt idx="1">
                  <c:v>28314</c:v>
                </c:pt>
                <c:pt idx="2">
                  <c:v>23924</c:v>
                </c:pt>
                <c:pt idx="3">
                  <c:v>19858</c:v>
                </c:pt>
                <c:pt idx="4">
                  <c:v>18499</c:v>
                </c:pt>
                <c:pt idx="5">
                  <c:v>18012</c:v>
                </c:pt>
                <c:pt idx="6">
                  <c:v>17574</c:v>
                </c:pt>
                <c:pt idx="7">
                  <c:v>17079</c:v>
                </c:pt>
                <c:pt idx="8">
                  <c:v>16558</c:v>
                </c:pt>
                <c:pt idx="9">
                  <c:v>16009</c:v>
                </c:pt>
                <c:pt idx="10">
                  <c:v>15385</c:v>
                </c:pt>
                <c:pt idx="11">
                  <c:v>14675</c:v>
                </c:pt>
                <c:pt idx="12">
                  <c:v>13831</c:v>
                </c:pt>
              </c:numCache>
            </c:numRef>
          </c:val>
          <c:smooth val="0"/>
          <c:extLst xmlns:c15="http://schemas.microsoft.com/office/drawing/2012/chart">
            <c:ext xmlns:c16="http://schemas.microsoft.com/office/drawing/2014/chart" uri="{C3380CC4-5D6E-409C-BE32-E72D297353CC}">
              <c16:uniqueId val="{00000001-34DC-4F9E-A5B3-6F00CA621301}"/>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31106</c:v>
                </c:pt>
                <c:pt idx="1">
                  <c:v>28333</c:v>
                </c:pt>
                <c:pt idx="2">
                  <c:v>23973</c:v>
                </c:pt>
                <c:pt idx="3">
                  <c:v>19906</c:v>
                </c:pt>
                <c:pt idx="4">
                  <c:v>18527</c:v>
                </c:pt>
                <c:pt idx="5">
                  <c:v>18024</c:v>
                </c:pt>
                <c:pt idx="6">
                  <c:v>17579</c:v>
                </c:pt>
                <c:pt idx="7">
                  <c:v>17076</c:v>
                </c:pt>
                <c:pt idx="8">
                  <c:v>16545</c:v>
                </c:pt>
                <c:pt idx="9">
                  <c:v>15985</c:v>
                </c:pt>
                <c:pt idx="10">
                  <c:v>15351</c:v>
                </c:pt>
                <c:pt idx="11">
                  <c:v>14633</c:v>
                </c:pt>
                <c:pt idx="12">
                  <c:v>13784</c:v>
                </c:pt>
              </c:numCache>
            </c:numRef>
          </c:val>
          <c:smooth val="0"/>
          <c:extLst xmlns:c15="http://schemas.microsoft.com/office/drawing/2012/chart">
            <c:ext xmlns:c16="http://schemas.microsoft.com/office/drawing/2014/chart" uri="{C3380CC4-5D6E-409C-BE32-E72D297353CC}">
              <c16:uniqueId val="{00000002-34DC-4F9E-A5B3-6F00CA621301}"/>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31106</c:v>
                </c:pt>
                <c:pt idx="1">
                  <c:v>28333</c:v>
                </c:pt>
                <c:pt idx="2">
                  <c:v>23973</c:v>
                </c:pt>
                <c:pt idx="3">
                  <c:v>20067</c:v>
                </c:pt>
                <c:pt idx="4">
                  <c:v>19643</c:v>
                </c:pt>
                <c:pt idx="5">
                  <c:v>21430</c:v>
                </c:pt>
                <c:pt idx="6">
                  <c:v>24449</c:v>
                </c:pt>
                <c:pt idx="7">
                  <c:v>27976</c:v>
                </c:pt>
                <c:pt idx="8">
                  <c:v>31389</c:v>
                </c:pt>
                <c:pt idx="9">
                  <c:v>34142</c:v>
                </c:pt>
                <c:pt idx="10">
                  <c:v>36161</c:v>
                </c:pt>
                <c:pt idx="11">
                  <c:v>37610</c:v>
                </c:pt>
                <c:pt idx="12">
                  <c:v>38653</c:v>
                </c:pt>
              </c:numCache>
            </c:numRef>
          </c:val>
          <c:smooth val="0"/>
          <c:extLst xmlns:c15="http://schemas.microsoft.com/office/drawing/2012/chart">
            <c:ext xmlns:c16="http://schemas.microsoft.com/office/drawing/2014/chart" uri="{C3380CC4-5D6E-409C-BE32-E72D297353CC}">
              <c16:uniqueId val="{00000003-34DC-4F9E-A5B3-6F00CA621301}"/>
            </c:ext>
          </c:extLst>
        </c:ser>
        <c:ser>
          <c:idx val="4"/>
          <c:order val="4"/>
          <c:tx>
            <c:strRef>
              <c:f>Sheet1!$F$1</c:f>
              <c:strCache>
                <c:ptCount val="1"/>
                <c:pt idx="0">
                  <c:v>O-DRM</c:v>
                </c:pt>
              </c:strCache>
              <c:extLst xmlns:c15="http://schemas.microsoft.com/office/drawing/2012/chart"/>
            </c:strRef>
          </c:tx>
          <c:spPr>
            <a:ln w="57150" cap="rnd">
              <a:solidFill>
                <a:schemeClr val="accent5"/>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Sheet1!$F$2:$F$14</c:f>
              <c:numCache>
                <c:formatCode>#,##0</c:formatCode>
                <c:ptCount val="13"/>
                <c:pt idx="0">
                  <c:v>31106</c:v>
                </c:pt>
                <c:pt idx="1">
                  <c:v>28333</c:v>
                </c:pt>
                <c:pt idx="2">
                  <c:v>23973</c:v>
                </c:pt>
                <c:pt idx="3">
                  <c:v>19927</c:v>
                </c:pt>
                <c:pt idx="4">
                  <c:v>18574</c:v>
                </c:pt>
                <c:pt idx="5">
                  <c:v>18078</c:v>
                </c:pt>
                <c:pt idx="6">
                  <c:v>17621</c:v>
                </c:pt>
                <c:pt idx="7">
                  <c:v>17097</c:v>
                </c:pt>
                <c:pt idx="8">
                  <c:v>16542</c:v>
                </c:pt>
                <c:pt idx="9">
                  <c:v>15960</c:v>
                </c:pt>
                <c:pt idx="10">
                  <c:v>15307</c:v>
                </c:pt>
                <c:pt idx="11">
                  <c:v>14579</c:v>
                </c:pt>
                <c:pt idx="12">
                  <c:v>13728</c:v>
                </c:pt>
              </c:numCache>
            </c:numRef>
          </c:val>
          <c:smooth val="0"/>
          <c:extLst xmlns:c15="http://schemas.microsoft.com/office/drawing/2012/chart">
            <c:ext xmlns:c16="http://schemas.microsoft.com/office/drawing/2014/chart" uri="{C3380CC4-5D6E-409C-BE32-E72D297353CC}">
              <c16:uniqueId val="{00000004-34DC-4F9E-A5B3-6F00CA621301}"/>
            </c:ext>
          </c:extLst>
        </c:ser>
        <c:dLbls>
          <c:showLegendKey val="0"/>
          <c:showVal val="0"/>
          <c:showCatName val="0"/>
          <c:showSerName val="0"/>
          <c:showPercent val="0"/>
          <c:showBubbleSize val="0"/>
        </c:dLbls>
        <c:smooth val="0"/>
        <c:axId val="359149264"/>
        <c:axId val="359147952"/>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w="5715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0" i="1"/>
              <a:t>Figure</a:t>
            </a:r>
            <a:r>
              <a:rPr lang="en-US" b="0" i="1"/>
              <a:t> 0-7.</a:t>
            </a:r>
            <a:r>
              <a:rPr lang="en-US" b="0" i="1" baseline="0"/>
              <a:t> </a:t>
            </a:r>
            <a:r>
              <a:rPr lang="en-US" b="0" i="1"/>
              <a:t>AIDS-related deaths</a:t>
            </a:r>
          </a:p>
          <a:p>
            <a:pPr>
              <a:defRPr/>
            </a:pPr>
            <a:r>
              <a:rPr lang="en-US" b="0" i="1"/>
              <a:t> 2019-2030</a:t>
            </a:r>
          </a:p>
        </c:rich>
      </c:tx>
      <c:layout>
        <c:manualLayout>
          <c:xMode val="edge"/>
          <c:yMode val="edge"/>
          <c:x val="0.19202749140893471"/>
          <c:y val="3.4582132564841501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505941162497219"/>
          <c:y val="0.12625384456396765"/>
          <c:w val="0.8472168171562714"/>
          <c:h val="0.66643960202649077"/>
        </c:manualLayout>
      </c:layout>
      <c:lineChart>
        <c:grouping val="standard"/>
        <c:varyColors val="0"/>
        <c:ser>
          <c:idx val="0"/>
          <c:order val="0"/>
          <c:tx>
            <c:strRef>
              <c:f>Sheet1!$B$1</c:f>
              <c:strCache>
                <c:ptCount val="1"/>
                <c:pt idx="0">
                  <c:v>SQ</c:v>
                </c:pt>
              </c:strCache>
            </c:strRef>
          </c:tx>
          <c:spPr>
            <a:ln w="57150" cap="rnd">
              <a:solidFill>
                <a:schemeClr val="bg2">
                  <a:lumMod val="75000"/>
                </a:schemeClr>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Sheet1!$B$2:$B$14</c:f>
              <c:numCache>
                <c:formatCode>#,##0</c:formatCode>
                <c:ptCount val="12"/>
                <c:pt idx="0">
                  <c:v>28322</c:v>
                </c:pt>
                <c:pt idx="1">
                  <c:v>26525</c:v>
                </c:pt>
                <c:pt idx="2">
                  <c:v>28547</c:v>
                </c:pt>
                <c:pt idx="3">
                  <c:v>31036</c:v>
                </c:pt>
                <c:pt idx="4">
                  <c:v>33066</c:v>
                </c:pt>
                <c:pt idx="5">
                  <c:v>34708</c:v>
                </c:pt>
                <c:pt idx="6">
                  <c:v>35960</c:v>
                </c:pt>
                <c:pt idx="7">
                  <c:v>36864</c:v>
                </c:pt>
                <c:pt idx="8">
                  <c:v>37500</c:v>
                </c:pt>
                <c:pt idx="9">
                  <c:v>37982</c:v>
                </c:pt>
                <c:pt idx="10">
                  <c:v>38682</c:v>
                </c:pt>
                <c:pt idx="11">
                  <c:v>38588</c:v>
                </c:pt>
              </c:numCache>
            </c:numRef>
          </c:val>
          <c:smooth val="0"/>
          <c:extLst>
            <c:ext xmlns:c16="http://schemas.microsoft.com/office/drawing/2014/chart" uri="{C3380CC4-5D6E-409C-BE32-E72D297353CC}">
              <c16:uniqueId val="{00000000-6301-45BA-B7BD-37A8F498557E}"/>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Sheet1!$C$2:$C$14</c:f>
              <c:numCache>
                <c:formatCode>#,##0</c:formatCode>
                <c:ptCount val="12"/>
                <c:pt idx="0">
                  <c:v>28314</c:v>
                </c:pt>
                <c:pt idx="1">
                  <c:v>23924</c:v>
                </c:pt>
                <c:pt idx="2">
                  <c:v>19858</c:v>
                </c:pt>
                <c:pt idx="3">
                  <c:v>18499</c:v>
                </c:pt>
                <c:pt idx="4">
                  <c:v>18012</c:v>
                </c:pt>
                <c:pt idx="5">
                  <c:v>17574</c:v>
                </c:pt>
                <c:pt idx="6">
                  <c:v>17079</c:v>
                </c:pt>
                <c:pt idx="7">
                  <c:v>16558</c:v>
                </c:pt>
                <c:pt idx="8">
                  <c:v>16009</c:v>
                </c:pt>
                <c:pt idx="9">
                  <c:v>15385</c:v>
                </c:pt>
                <c:pt idx="10">
                  <c:v>14675</c:v>
                </c:pt>
                <c:pt idx="11">
                  <c:v>13831</c:v>
                </c:pt>
              </c:numCache>
            </c:numRef>
          </c:val>
          <c:smooth val="0"/>
          <c:extLst xmlns:c15="http://schemas.microsoft.com/office/drawing/2012/chart">
            <c:ext xmlns:c16="http://schemas.microsoft.com/office/drawing/2014/chart" uri="{C3380CC4-5D6E-409C-BE32-E72D297353CC}">
              <c16:uniqueId val="{00000001-6301-45BA-B7BD-37A8F498557E}"/>
            </c:ext>
          </c:extLst>
        </c:ser>
        <c:ser>
          <c:idx val="2"/>
          <c:order val="2"/>
          <c:tx>
            <c:strRef>
              <c:f>Sheet1!$D$1</c:f>
              <c:strCache>
                <c:ptCount val="1"/>
                <c:pt idx="0">
                  <c:v>O-SQF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Sheet1!$D$2:$D$14</c:f>
              <c:numCache>
                <c:formatCode>#,##0</c:formatCode>
                <c:ptCount val="12"/>
                <c:pt idx="0">
                  <c:v>28333</c:v>
                </c:pt>
                <c:pt idx="1">
                  <c:v>23973</c:v>
                </c:pt>
                <c:pt idx="2">
                  <c:v>19906</c:v>
                </c:pt>
                <c:pt idx="3">
                  <c:v>18527</c:v>
                </c:pt>
                <c:pt idx="4">
                  <c:v>18024</c:v>
                </c:pt>
                <c:pt idx="5">
                  <c:v>17579</c:v>
                </c:pt>
                <c:pt idx="6">
                  <c:v>17076</c:v>
                </c:pt>
                <c:pt idx="7">
                  <c:v>16545</c:v>
                </c:pt>
                <c:pt idx="8">
                  <c:v>15985</c:v>
                </c:pt>
                <c:pt idx="9">
                  <c:v>15351</c:v>
                </c:pt>
                <c:pt idx="10">
                  <c:v>14633</c:v>
                </c:pt>
                <c:pt idx="11">
                  <c:v>13784</c:v>
                </c:pt>
              </c:numCache>
            </c:numRef>
          </c:val>
          <c:smooth val="0"/>
          <c:extLst xmlns:c15="http://schemas.microsoft.com/office/drawing/2012/chart">
            <c:ext xmlns:c16="http://schemas.microsoft.com/office/drawing/2014/chart" uri="{C3380CC4-5D6E-409C-BE32-E72D297353CC}">
              <c16:uniqueId val="{00000002-6301-45BA-B7BD-37A8F498557E}"/>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Sheet1!$E$2:$E$14</c:f>
              <c:numCache>
                <c:formatCode>#,##0</c:formatCode>
                <c:ptCount val="12"/>
                <c:pt idx="0">
                  <c:v>28333</c:v>
                </c:pt>
                <c:pt idx="1">
                  <c:v>23973</c:v>
                </c:pt>
                <c:pt idx="2">
                  <c:v>20067</c:v>
                </c:pt>
                <c:pt idx="3">
                  <c:v>19643</c:v>
                </c:pt>
                <c:pt idx="4">
                  <c:v>21430</c:v>
                </c:pt>
                <c:pt idx="5">
                  <c:v>24449</c:v>
                </c:pt>
                <c:pt idx="6">
                  <c:v>27976</c:v>
                </c:pt>
                <c:pt idx="7">
                  <c:v>31389</c:v>
                </c:pt>
                <c:pt idx="8">
                  <c:v>34142</c:v>
                </c:pt>
                <c:pt idx="9">
                  <c:v>36161</c:v>
                </c:pt>
                <c:pt idx="10">
                  <c:v>37610</c:v>
                </c:pt>
                <c:pt idx="11">
                  <c:v>38653</c:v>
                </c:pt>
              </c:numCache>
            </c:numRef>
          </c:val>
          <c:smooth val="0"/>
          <c:extLst xmlns:c15="http://schemas.microsoft.com/office/drawing/2012/chart">
            <c:ext xmlns:c16="http://schemas.microsoft.com/office/drawing/2014/chart" uri="{C3380CC4-5D6E-409C-BE32-E72D297353CC}">
              <c16:uniqueId val="{00000003-6301-45BA-B7BD-37A8F498557E}"/>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4"/>
                <c:order val="4"/>
                <c:tx>
                  <c:strRef>
                    <c:extLst>
                      <c:ext uri="{02D57815-91ED-43cb-92C2-25804820EDAC}">
                        <c15:formulaRef>
                          <c15:sqref>Sheet1!$F$1</c15:sqref>
                        </c15:formulaRef>
                      </c:ext>
                    </c:extLst>
                    <c:strCache>
                      <c:ptCount val="1"/>
                      <c:pt idx="0">
                        <c:v>O-DRM</c:v>
                      </c:pt>
                    </c:strCache>
                  </c:strRef>
                </c:tx>
                <c:spPr>
                  <a:ln w="57150" cap="rnd">
                    <a:solidFill>
                      <a:schemeClr val="accent5"/>
                    </a:solidFill>
                    <a:round/>
                  </a:ln>
                  <a:effectLst/>
                </c:spPr>
                <c:marker>
                  <c:symbol val="none"/>
                </c:marker>
                <c:cat>
                  <c:numRef>
                    <c:extLst>
                      <c:ext uri="{02D57815-91ED-43cb-92C2-25804820EDAC}">
                        <c15:formulaRef>
                          <c15:sqref>Sheet1!$A$2:$A$14</c15:sqref>
                        </c15:formulaRef>
                      </c:ext>
                    </c:extLst>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extLst>
                      <c:ext uri="{02D57815-91ED-43cb-92C2-25804820EDAC}">
                        <c15:formulaRef>
                          <c15:sqref>Sheet1!$F$2:$F$14</c15:sqref>
                        </c15:formulaRef>
                      </c:ext>
                    </c:extLst>
                    <c:numCache>
                      <c:formatCode>#,##0</c:formatCode>
                      <c:ptCount val="12"/>
                      <c:pt idx="0">
                        <c:v>28333</c:v>
                      </c:pt>
                      <c:pt idx="1">
                        <c:v>23973</c:v>
                      </c:pt>
                      <c:pt idx="2">
                        <c:v>19927</c:v>
                      </c:pt>
                      <c:pt idx="3">
                        <c:v>18574</c:v>
                      </c:pt>
                      <c:pt idx="4">
                        <c:v>18078</c:v>
                      </c:pt>
                      <c:pt idx="5">
                        <c:v>17621</c:v>
                      </c:pt>
                      <c:pt idx="6">
                        <c:v>17097</c:v>
                      </c:pt>
                      <c:pt idx="7">
                        <c:v>16542</c:v>
                      </c:pt>
                      <c:pt idx="8">
                        <c:v>15960</c:v>
                      </c:pt>
                      <c:pt idx="9">
                        <c:v>15307</c:v>
                      </c:pt>
                      <c:pt idx="10">
                        <c:v>14579</c:v>
                      </c:pt>
                      <c:pt idx="11">
                        <c:v>13728</c:v>
                      </c:pt>
                    </c:numCache>
                  </c:numRef>
                </c:val>
                <c:smooth val="0"/>
                <c:extLst>
                  <c:ext xmlns:c16="http://schemas.microsoft.com/office/drawing/2014/chart" uri="{C3380CC4-5D6E-409C-BE32-E72D297353CC}">
                    <c16:uniqueId val="{00000004-6301-45BA-B7BD-37A8F498557E}"/>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tickLblSkip val="2"/>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w="57150">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b="1" strike="noStrike">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15-19</c:v>
          </c:tx>
          <c:spPr>
            <a:ln w="57150" cap="rnd">
              <a:solidFill>
                <a:schemeClr val="accent1"/>
              </a:solidFill>
              <a:round/>
            </a:ln>
            <a:effectLst/>
          </c:spPr>
          <c:marker>
            <c:symbol val="none"/>
          </c:marker>
          <c:cat>
            <c:numRef>
              <c:f>Sheet1!$A$2:$A$17</c:f>
              <c:numCache>
                <c:formatCode>0%</c:formatCode>
                <c:ptCount val="16"/>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numCache>
            </c:numRef>
          </c:cat>
          <c:val>
            <c:numRef>
              <c:f>Sheet1!$B$2:$B$17</c:f>
              <c:numCache>
                <c:formatCode>General</c:formatCode>
                <c:ptCount val="16"/>
                <c:pt idx="0">
                  <c:v>0</c:v>
                </c:pt>
                <c:pt idx="1">
                  <c:v>14</c:v>
                </c:pt>
                <c:pt idx="2">
                  <c:v>59</c:v>
                </c:pt>
                <c:pt idx="3">
                  <c:v>50</c:v>
                </c:pt>
                <c:pt idx="4">
                  <c:v>32</c:v>
                </c:pt>
                <c:pt idx="5">
                  <c:v>16</c:v>
                </c:pt>
                <c:pt idx="6">
                  <c:v>9</c:v>
                </c:pt>
                <c:pt idx="7">
                  <c:v>5</c:v>
                </c:pt>
                <c:pt idx="8">
                  <c:v>4</c:v>
                </c:pt>
                <c:pt idx="9">
                  <c:v>1</c:v>
                </c:pt>
                <c:pt idx="10">
                  <c:v>2</c:v>
                </c:pt>
                <c:pt idx="11">
                  <c:v>1</c:v>
                </c:pt>
                <c:pt idx="12">
                  <c:v>2</c:v>
                </c:pt>
                <c:pt idx="13">
                  <c:v>0</c:v>
                </c:pt>
                <c:pt idx="14">
                  <c:v>0</c:v>
                </c:pt>
                <c:pt idx="15">
                  <c:v>0</c:v>
                </c:pt>
              </c:numCache>
            </c:numRef>
          </c:val>
          <c:smooth val="0"/>
          <c:extLst>
            <c:ext xmlns:c16="http://schemas.microsoft.com/office/drawing/2014/chart" uri="{C3380CC4-5D6E-409C-BE32-E72D297353CC}">
              <c16:uniqueId val="{00000000-6DDD-4AB9-870E-7EEA8FEE3EDB}"/>
            </c:ext>
          </c:extLst>
        </c:ser>
        <c:ser>
          <c:idx val="1"/>
          <c:order val="1"/>
          <c:tx>
            <c:strRef>
              <c:f>Sheet1!$C$1</c:f>
              <c:strCache>
                <c:ptCount val="1"/>
                <c:pt idx="0">
                  <c:v>20-24</c:v>
                </c:pt>
              </c:strCache>
            </c:strRef>
          </c:tx>
          <c:spPr>
            <a:ln w="57150" cap="rnd">
              <a:solidFill>
                <a:schemeClr val="accent2"/>
              </a:solidFill>
              <a:round/>
            </a:ln>
            <a:effectLst/>
          </c:spPr>
          <c:marker>
            <c:symbol val="none"/>
          </c:marker>
          <c:cat>
            <c:numRef>
              <c:f>Sheet1!$A$2:$A$17</c:f>
              <c:numCache>
                <c:formatCode>0%</c:formatCode>
                <c:ptCount val="16"/>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numCache>
            </c:numRef>
          </c:cat>
          <c:val>
            <c:numRef>
              <c:f>Sheet1!$C$2:$C$17</c:f>
              <c:numCache>
                <c:formatCode>General</c:formatCode>
                <c:ptCount val="16"/>
                <c:pt idx="0">
                  <c:v>0</c:v>
                </c:pt>
                <c:pt idx="1">
                  <c:v>7</c:v>
                </c:pt>
                <c:pt idx="2">
                  <c:v>37</c:v>
                </c:pt>
                <c:pt idx="3">
                  <c:v>51</c:v>
                </c:pt>
                <c:pt idx="4">
                  <c:v>39</c:v>
                </c:pt>
                <c:pt idx="5">
                  <c:v>21</c:v>
                </c:pt>
                <c:pt idx="6">
                  <c:v>14</c:v>
                </c:pt>
                <c:pt idx="7">
                  <c:v>8</c:v>
                </c:pt>
                <c:pt idx="8">
                  <c:v>5</c:v>
                </c:pt>
                <c:pt idx="9">
                  <c:v>3</c:v>
                </c:pt>
                <c:pt idx="10">
                  <c:v>2</c:v>
                </c:pt>
                <c:pt idx="11">
                  <c:v>3</c:v>
                </c:pt>
                <c:pt idx="12">
                  <c:v>0</c:v>
                </c:pt>
                <c:pt idx="13">
                  <c:v>2</c:v>
                </c:pt>
                <c:pt idx="14">
                  <c:v>1</c:v>
                </c:pt>
                <c:pt idx="15">
                  <c:v>2</c:v>
                </c:pt>
              </c:numCache>
            </c:numRef>
          </c:val>
          <c:smooth val="0"/>
          <c:extLst>
            <c:ext xmlns:c16="http://schemas.microsoft.com/office/drawing/2014/chart" uri="{C3380CC4-5D6E-409C-BE32-E72D297353CC}">
              <c16:uniqueId val="{00000001-6DDD-4AB9-870E-7EEA8FEE3EDB}"/>
            </c:ext>
          </c:extLst>
        </c:ser>
        <c:dLbls>
          <c:showLegendKey val="0"/>
          <c:showVal val="0"/>
          <c:showCatName val="0"/>
          <c:showSerName val="0"/>
          <c:showPercent val="0"/>
          <c:showBubbleSize val="0"/>
        </c:dLbls>
        <c:smooth val="0"/>
        <c:axId val="348286736"/>
        <c:axId val="348291328"/>
      </c:lineChart>
      <c:catAx>
        <c:axId val="348286736"/>
        <c:scaling>
          <c:orientation val="minMax"/>
        </c:scaling>
        <c:delete val="0"/>
        <c:axPos val="b"/>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8291328"/>
        <c:crosses val="autoZero"/>
        <c:auto val="1"/>
        <c:lblAlgn val="ctr"/>
        <c:lblOffset val="100"/>
        <c:tickLblSkip val="3"/>
        <c:noMultiLvlLbl val="0"/>
      </c:catAx>
      <c:valAx>
        <c:axId val="3482913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Number of councils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828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Sheet1!$B$2:$B$14</c:f>
              <c:numCache>
                <c:formatCode>#,##0</c:formatCode>
                <c:ptCount val="13"/>
                <c:pt idx="0">
                  <c:v>14103</c:v>
                </c:pt>
                <c:pt idx="1">
                  <c:v>11985</c:v>
                </c:pt>
                <c:pt idx="2">
                  <c:v>11475</c:v>
                </c:pt>
                <c:pt idx="3">
                  <c:v>11778</c:v>
                </c:pt>
                <c:pt idx="4">
                  <c:v>12087</c:v>
                </c:pt>
                <c:pt idx="5">
                  <c:v>12359</c:v>
                </c:pt>
                <c:pt idx="6">
                  <c:v>12586</c:v>
                </c:pt>
                <c:pt idx="7">
                  <c:v>12770</c:v>
                </c:pt>
                <c:pt idx="8">
                  <c:v>12903</c:v>
                </c:pt>
                <c:pt idx="9">
                  <c:v>12992</c:v>
                </c:pt>
                <c:pt idx="10">
                  <c:v>13051</c:v>
                </c:pt>
                <c:pt idx="11">
                  <c:v>13086</c:v>
                </c:pt>
                <c:pt idx="12">
                  <c:v>13095</c:v>
                </c:pt>
              </c:numCache>
              <c:extLst/>
            </c:numRef>
          </c:val>
          <c:smooth val="0"/>
          <c:extLst>
            <c:ext xmlns:c16="http://schemas.microsoft.com/office/drawing/2014/chart" uri="{C3380CC4-5D6E-409C-BE32-E72D297353CC}">
              <c16:uniqueId val="{00000000-D3EC-4B44-B940-0FA363FA3BE1}"/>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Sheet1!$C$2:$C$14</c:f>
              <c:numCache>
                <c:formatCode>#,##0</c:formatCode>
                <c:ptCount val="13"/>
                <c:pt idx="0">
                  <c:v>14103</c:v>
                </c:pt>
                <c:pt idx="1">
                  <c:v>11726</c:v>
                </c:pt>
                <c:pt idx="2">
                  <c:v>8816</c:v>
                </c:pt>
                <c:pt idx="3">
                  <c:v>7137</c:v>
                </c:pt>
                <c:pt idx="4">
                  <c:v>6710</c:v>
                </c:pt>
                <c:pt idx="5">
                  <c:v>6332</c:v>
                </c:pt>
                <c:pt idx="6">
                  <c:v>5958</c:v>
                </c:pt>
                <c:pt idx="7">
                  <c:v>5591</c:v>
                </c:pt>
                <c:pt idx="8">
                  <c:v>5227</c:v>
                </c:pt>
                <c:pt idx="9">
                  <c:v>4865</c:v>
                </c:pt>
                <c:pt idx="10">
                  <c:v>4507</c:v>
                </c:pt>
                <c:pt idx="11">
                  <c:v>4150</c:v>
                </c:pt>
                <c:pt idx="12">
                  <c:v>3794</c:v>
                </c:pt>
              </c:numCache>
              <c:extLst/>
            </c:numRef>
          </c:val>
          <c:smooth val="0"/>
          <c:extLst xmlns:c15="http://schemas.microsoft.com/office/drawing/2012/chart">
            <c:ext xmlns:c16="http://schemas.microsoft.com/office/drawing/2014/chart" uri="{C3380CC4-5D6E-409C-BE32-E72D297353CC}">
              <c16:uniqueId val="{00000001-D3EC-4B44-B940-0FA363FA3BE1}"/>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Sheet1!$D$2:$D$14</c:f>
              <c:numCache>
                <c:formatCode>#,##0</c:formatCode>
                <c:ptCount val="13"/>
                <c:pt idx="0">
                  <c:v>14103</c:v>
                </c:pt>
                <c:pt idx="1">
                  <c:v>12166</c:v>
                </c:pt>
                <c:pt idx="2">
                  <c:v>9491</c:v>
                </c:pt>
                <c:pt idx="3">
                  <c:v>7392</c:v>
                </c:pt>
                <c:pt idx="4">
                  <c:v>6936</c:v>
                </c:pt>
                <c:pt idx="5">
                  <c:v>6585</c:v>
                </c:pt>
                <c:pt idx="6">
                  <c:v>6240</c:v>
                </c:pt>
                <c:pt idx="7">
                  <c:v>5897</c:v>
                </c:pt>
                <c:pt idx="8">
                  <c:v>5551</c:v>
                </c:pt>
                <c:pt idx="9">
                  <c:v>5203</c:v>
                </c:pt>
                <c:pt idx="10">
                  <c:v>4858</c:v>
                </c:pt>
                <c:pt idx="11">
                  <c:v>4512</c:v>
                </c:pt>
                <c:pt idx="12">
                  <c:v>4162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D3EC-4B44-B940-0FA363FA3BE1}"/>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Sheet1!$E$2:$E$14</c:f>
              <c:numCache>
                <c:formatCode>#,##0</c:formatCode>
                <c:ptCount val="13"/>
                <c:pt idx="0">
                  <c:v>14103</c:v>
                </c:pt>
                <c:pt idx="1">
                  <c:v>12166</c:v>
                </c:pt>
                <c:pt idx="2">
                  <c:v>9491</c:v>
                </c:pt>
                <c:pt idx="3">
                  <c:v>8300</c:v>
                </c:pt>
                <c:pt idx="4">
                  <c:v>9049</c:v>
                </c:pt>
                <c:pt idx="5">
                  <c:v>10031</c:v>
                </c:pt>
                <c:pt idx="6">
                  <c:v>11079</c:v>
                </c:pt>
                <c:pt idx="7">
                  <c:v>12152</c:v>
                </c:pt>
                <c:pt idx="8">
                  <c:v>13198</c:v>
                </c:pt>
                <c:pt idx="9">
                  <c:v>14232</c:v>
                </c:pt>
                <c:pt idx="10">
                  <c:v>15306</c:v>
                </c:pt>
                <c:pt idx="11">
                  <c:v>16494</c:v>
                </c:pt>
                <c:pt idx="12">
                  <c:v>17885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D3EC-4B44-B940-0FA363FA3BE1}"/>
            </c:ext>
          </c:extLst>
        </c:ser>
        <c:ser>
          <c:idx val="4"/>
          <c:order val="4"/>
          <c:tx>
            <c:strRef>
              <c:f>Sheet1!$F$1</c:f>
              <c:strCache>
                <c:ptCount val="1"/>
                <c:pt idx="0">
                  <c:v>O-DRM</c:v>
                </c:pt>
              </c:strCache>
              <c:extLst xmlns:c15="http://schemas.microsoft.com/office/drawing/2012/chart"/>
            </c:strRef>
          </c:tx>
          <c:spPr>
            <a:ln w="57150" cap="rnd">
              <a:solidFill>
                <a:schemeClr val="accent5"/>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Sheet1!$F$2:$F$14</c:f>
              <c:numCache>
                <c:formatCode>#,##0</c:formatCode>
                <c:ptCount val="13"/>
                <c:pt idx="0">
                  <c:v>14103</c:v>
                </c:pt>
                <c:pt idx="1">
                  <c:v>12166</c:v>
                </c:pt>
                <c:pt idx="2">
                  <c:v>9491</c:v>
                </c:pt>
                <c:pt idx="3">
                  <c:v>7864</c:v>
                </c:pt>
                <c:pt idx="4">
                  <c:v>7527</c:v>
                </c:pt>
                <c:pt idx="5">
                  <c:v>7242</c:v>
                </c:pt>
                <c:pt idx="6">
                  <c:v>6933</c:v>
                </c:pt>
                <c:pt idx="7">
                  <c:v>6611</c:v>
                </c:pt>
                <c:pt idx="8">
                  <c:v>6272</c:v>
                </c:pt>
                <c:pt idx="9">
                  <c:v>5920</c:v>
                </c:pt>
                <c:pt idx="10">
                  <c:v>5562</c:v>
                </c:pt>
                <c:pt idx="11">
                  <c:v>5194</c:v>
                </c:pt>
                <c:pt idx="12">
                  <c:v>4815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D3EC-4B44-B940-0FA363FA3BE1}"/>
            </c:ext>
          </c:extLst>
        </c:ser>
        <c:dLbls>
          <c:showLegendKey val="0"/>
          <c:showVal val="0"/>
          <c:showCatName val="0"/>
          <c:showSerName val="0"/>
          <c:showPercent val="0"/>
          <c:showBubbleSize val="0"/>
        </c:dLbls>
        <c:smooth val="0"/>
        <c:axId val="359149264"/>
        <c:axId val="359147952"/>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4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AGYW 15-19</c:v>
                </c:pt>
              </c:strCache>
            </c:strRef>
          </c:tx>
          <c:spPr>
            <a:ln w="28575" cap="rnd">
              <a:solidFill>
                <a:schemeClr val="accent1"/>
              </a:solidFill>
              <a:round/>
            </a:ln>
            <a:effectLst/>
          </c:spPr>
          <c:marker>
            <c:symbol val="none"/>
          </c:marker>
          <c:cat>
            <c:numRef>
              <c:f>Sheet1!$A$2:$A$17</c:f>
              <c:numCache>
                <c:formatCode>0.0%</c:formatCode>
                <c:ptCount val="16"/>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numCache>
            </c:numRef>
          </c:cat>
          <c:val>
            <c:numRef>
              <c:f>Sheet1!$B$2:$B$17</c:f>
              <c:numCache>
                <c:formatCode>General</c:formatCode>
                <c:ptCount val="16"/>
                <c:pt idx="0">
                  <c:v>0</c:v>
                </c:pt>
                <c:pt idx="1">
                  <c:v>14</c:v>
                </c:pt>
                <c:pt idx="2">
                  <c:v>59</c:v>
                </c:pt>
                <c:pt idx="3">
                  <c:v>50</c:v>
                </c:pt>
                <c:pt idx="4">
                  <c:v>32</c:v>
                </c:pt>
                <c:pt idx="5">
                  <c:v>16</c:v>
                </c:pt>
                <c:pt idx="6">
                  <c:v>9</c:v>
                </c:pt>
                <c:pt idx="7">
                  <c:v>5</c:v>
                </c:pt>
                <c:pt idx="8">
                  <c:v>4</c:v>
                </c:pt>
                <c:pt idx="9">
                  <c:v>1</c:v>
                </c:pt>
                <c:pt idx="10">
                  <c:v>2</c:v>
                </c:pt>
                <c:pt idx="11">
                  <c:v>1</c:v>
                </c:pt>
                <c:pt idx="12">
                  <c:v>2</c:v>
                </c:pt>
                <c:pt idx="13">
                  <c:v>0</c:v>
                </c:pt>
                <c:pt idx="14">
                  <c:v>0</c:v>
                </c:pt>
                <c:pt idx="15">
                  <c:v>0</c:v>
                </c:pt>
              </c:numCache>
            </c:numRef>
          </c:val>
          <c:smooth val="0"/>
          <c:extLst>
            <c:ext xmlns:c16="http://schemas.microsoft.com/office/drawing/2014/chart" uri="{C3380CC4-5D6E-409C-BE32-E72D297353CC}">
              <c16:uniqueId val="{00000000-1893-4EA4-ACFA-8D3695766FC9}"/>
            </c:ext>
          </c:extLst>
        </c:ser>
        <c:ser>
          <c:idx val="1"/>
          <c:order val="1"/>
          <c:tx>
            <c:strRef>
              <c:f>Sheet1!$C$1</c:f>
              <c:strCache>
                <c:ptCount val="1"/>
                <c:pt idx="0">
                  <c:v>20-24</c:v>
                </c:pt>
              </c:strCache>
            </c:strRef>
          </c:tx>
          <c:spPr>
            <a:ln w="28575" cap="rnd">
              <a:solidFill>
                <a:schemeClr val="accent2"/>
              </a:solidFill>
              <a:round/>
            </a:ln>
            <a:effectLst/>
          </c:spPr>
          <c:marker>
            <c:symbol val="none"/>
          </c:marker>
          <c:cat>
            <c:numRef>
              <c:f>Sheet1!$A$2:$A$17</c:f>
              <c:numCache>
                <c:formatCode>0.0%</c:formatCode>
                <c:ptCount val="16"/>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numCache>
            </c:numRef>
          </c:cat>
          <c:val>
            <c:numRef>
              <c:f>Sheet1!$C$2:$C$17</c:f>
              <c:numCache>
                <c:formatCode>General</c:formatCode>
                <c:ptCount val="16"/>
                <c:pt idx="0">
                  <c:v>0</c:v>
                </c:pt>
                <c:pt idx="1">
                  <c:v>7</c:v>
                </c:pt>
                <c:pt idx="2">
                  <c:v>37</c:v>
                </c:pt>
                <c:pt idx="3">
                  <c:v>51</c:v>
                </c:pt>
                <c:pt idx="4">
                  <c:v>39</c:v>
                </c:pt>
                <c:pt idx="5">
                  <c:v>21</c:v>
                </c:pt>
                <c:pt idx="6">
                  <c:v>14</c:v>
                </c:pt>
                <c:pt idx="7">
                  <c:v>8</c:v>
                </c:pt>
                <c:pt idx="8">
                  <c:v>5</c:v>
                </c:pt>
                <c:pt idx="9">
                  <c:v>3</c:v>
                </c:pt>
                <c:pt idx="10">
                  <c:v>2</c:v>
                </c:pt>
                <c:pt idx="11">
                  <c:v>3</c:v>
                </c:pt>
                <c:pt idx="12">
                  <c:v>0</c:v>
                </c:pt>
                <c:pt idx="13">
                  <c:v>2</c:v>
                </c:pt>
                <c:pt idx="14">
                  <c:v>1</c:v>
                </c:pt>
                <c:pt idx="15">
                  <c:v>2</c:v>
                </c:pt>
              </c:numCache>
            </c:numRef>
          </c:val>
          <c:smooth val="0"/>
          <c:extLst>
            <c:ext xmlns:c16="http://schemas.microsoft.com/office/drawing/2014/chart" uri="{C3380CC4-5D6E-409C-BE32-E72D297353CC}">
              <c16:uniqueId val="{00000001-1893-4EA4-ACFA-8D3695766FC9}"/>
            </c:ext>
          </c:extLst>
        </c:ser>
        <c:dLbls>
          <c:showLegendKey val="0"/>
          <c:showVal val="0"/>
          <c:showCatName val="0"/>
          <c:showSerName val="0"/>
          <c:showPercent val="0"/>
          <c:showBubbleSize val="0"/>
        </c:dLbls>
        <c:marker val="1"/>
        <c:smooth val="0"/>
        <c:axId val="347631992"/>
        <c:axId val="347635272"/>
      </c:lineChart>
      <c:lineChart>
        <c:grouping val="standard"/>
        <c:varyColors val="0"/>
        <c:ser>
          <c:idx val="2"/>
          <c:order val="2"/>
          <c:tx>
            <c:strRef>
              <c:f>Sheet1!$D$1</c:f>
              <c:strCache>
                <c:ptCount val="1"/>
                <c:pt idx="0">
                  <c:v>$/IA</c:v>
                </c:pt>
              </c:strCache>
            </c:strRef>
          </c:tx>
          <c:spPr>
            <a:ln w="28575" cap="rnd">
              <a:solidFill>
                <a:srgbClr val="FF0000"/>
              </a:solidFill>
              <a:round/>
            </a:ln>
            <a:effectLst/>
          </c:spPr>
          <c:marker>
            <c:symbol val="none"/>
          </c:marker>
          <c:cat>
            <c:numRef>
              <c:f>Sheet1!$A$2:$A$17</c:f>
              <c:numCache>
                <c:formatCode>0.0%</c:formatCode>
                <c:ptCount val="16"/>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numCache>
            </c:numRef>
          </c:cat>
          <c:val>
            <c:numRef>
              <c:f>Sheet1!$D$2:$D$17</c:f>
              <c:numCache>
                <c:formatCode>"$"#,##0_);[Red]\("$"#,##0\)</c:formatCode>
                <c:ptCount val="16"/>
                <c:pt idx="0">
                  <c:v>396404.38606204273</c:v>
                </c:pt>
                <c:pt idx="1">
                  <c:v>196404.38606204273</c:v>
                </c:pt>
                <c:pt idx="2">
                  <c:v>129737.71939537606</c:v>
                </c:pt>
                <c:pt idx="3">
                  <c:v>96404.386062042744</c:v>
                </c:pt>
                <c:pt idx="4">
                  <c:v>76404.386062042744</c:v>
                </c:pt>
                <c:pt idx="5">
                  <c:v>63071.052728709401</c:v>
                </c:pt>
                <c:pt idx="6">
                  <c:v>53547.243204899874</c:v>
                </c:pt>
                <c:pt idx="7">
                  <c:v>46404.386062042744</c:v>
                </c:pt>
                <c:pt idx="8">
                  <c:v>40848.830506487182</c:v>
                </c:pt>
                <c:pt idx="9">
                  <c:v>36404.386062042729</c:v>
                </c:pt>
                <c:pt idx="10">
                  <c:v>32768.022425679097</c:v>
                </c:pt>
                <c:pt idx="11">
                  <c:v>29737.719395376062</c:v>
                </c:pt>
                <c:pt idx="12">
                  <c:v>27173.616831273495</c:v>
                </c:pt>
                <c:pt idx="13">
                  <c:v>24975.814633471298</c:v>
                </c:pt>
                <c:pt idx="14">
                  <c:v>23071.052728709394</c:v>
                </c:pt>
              </c:numCache>
            </c:numRef>
          </c:val>
          <c:smooth val="0"/>
          <c:extLst>
            <c:ext xmlns:c16="http://schemas.microsoft.com/office/drawing/2014/chart" uri="{C3380CC4-5D6E-409C-BE32-E72D297353CC}">
              <c16:uniqueId val="{00000002-1893-4EA4-ACFA-8D3695766FC9}"/>
            </c:ext>
          </c:extLst>
        </c:ser>
        <c:dLbls>
          <c:showLegendKey val="0"/>
          <c:showVal val="0"/>
          <c:showCatName val="0"/>
          <c:showSerName val="0"/>
          <c:showPercent val="0"/>
          <c:showBubbleSize val="0"/>
        </c:dLbls>
        <c:marker val="1"/>
        <c:smooth val="0"/>
        <c:axId val="720086840"/>
        <c:axId val="720085856"/>
      </c:lineChart>
      <c:catAx>
        <c:axId val="347631992"/>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7635272"/>
        <c:crosses val="autoZero"/>
        <c:auto val="1"/>
        <c:lblAlgn val="ctr"/>
        <c:lblOffset val="100"/>
        <c:tickLblSkip val="2"/>
        <c:noMultiLvlLbl val="0"/>
      </c:catAx>
      <c:valAx>
        <c:axId val="347635272"/>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7631992"/>
        <c:crosses val="autoZero"/>
        <c:crossBetween val="between"/>
        <c:majorUnit val="20"/>
      </c:valAx>
      <c:valAx>
        <c:axId val="720085856"/>
        <c:scaling>
          <c:orientation val="minMax"/>
        </c:scaling>
        <c:delete val="0"/>
        <c:axPos val="r"/>
        <c:numFmt formatCode="&quot;$&quot;#,##0_);[Red]\(&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20086840"/>
        <c:crosses val="max"/>
        <c:crossBetween val="between"/>
        <c:majorUnit val="100000"/>
      </c:valAx>
      <c:catAx>
        <c:axId val="720086840"/>
        <c:scaling>
          <c:orientation val="minMax"/>
        </c:scaling>
        <c:delete val="1"/>
        <c:axPos val="b"/>
        <c:numFmt formatCode="0.0%" sourceLinked="1"/>
        <c:majorTickMark val="out"/>
        <c:minorTickMark val="none"/>
        <c:tickLblPos val="nextTo"/>
        <c:crossAx val="720085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CC</c:v>
                </c:pt>
              </c:strCache>
            </c:strRef>
          </c:tx>
          <c:spPr>
            <a:ln w="57150" cap="rnd">
              <a:solidFill>
                <a:schemeClr val="bg1">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14103</c:v>
                </c:pt>
                <c:pt idx="1">
                  <c:v>11985</c:v>
                </c:pt>
                <c:pt idx="2">
                  <c:v>11475</c:v>
                </c:pt>
                <c:pt idx="3">
                  <c:v>11778</c:v>
                </c:pt>
                <c:pt idx="4">
                  <c:v>12087</c:v>
                </c:pt>
                <c:pt idx="5">
                  <c:v>12359</c:v>
                </c:pt>
                <c:pt idx="6">
                  <c:v>12586</c:v>
                </c:pt>
                <c:pt idx="7">
                  <c:v>12770</c:v>
                </c:pt>
                <c:pt idx="8">
                  <c:v>12903</c:v>
                </c:pt>
                <c:pt idx="9">
                  <c:v>12992</c:v>
                </c:pt>
                <c:pt idx="10">
                  <c:v>13051</c:v>
                </c:pt>
                <c:pt idx="11">
                  <c:v>13086</c:v>
                </c:pt>
                <c:pt idx="12">
                  <c:v>13095</c:v>
                </c:pt>
              </c:numCache>
            </c:numRef>
          </c:val>
          <c:smooth val="0"/>
          <c:extLst>
            <c:ext xmlns:c16="http://schemas.microsoft.com/office/drawing/2014/chart" uri="{C3380CC4-5D6E-409C-BE32-E72D297353CC}">
              <c16:uniqueId val="{00000000-372D-4381-BA43-23BD881729F0}"/>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Sheet1!$C$2:$C$14</c:f>
              <c:numCache>
                <c:formatCode>#,##0</c:formatCode>
                <c:ptCount val="13"/>
                <c:pt idx="0">
                  <c:v>14103</c:v>
                </c:pt>
                <c:pt idx="1">
                  <c:v>11726</c:v>
                </c:pt>
                <c:pt idx="2">
                  <c:v>8816</c:v>
                </c:pt>
                <c:pt idx="3">
                  <c:v>7137</c:v>
                </c:pt>
                <c:pt idx="4">
                  <c:v>6710</c:v>
                </c:pt>
                <c:pt idx="5">
                  <c:v>6332</c:v>
                </c:pt>
                <c:pt idx="6">
                  <c:v>5958</c:v>
                </c:pt>
                <c:pt idx="7">
                  <c:v>5591</c:v>
                </c:pt>
                <c:pt idx="8">
                  <c:v>5227</c:v>
                </c:pt>
                <c:pt idx="9">
                  <c:v>4865</c:v>
                </c:pt>
                <c:pt idx="10">
                  <c:v>4507</c:v>
                </c:pt>
                <c:pt idx="11">
                  <c:v>4150</c:v>
                </c:pt>
                <c:pt idx="12">
                  <c:v>3794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372D-4381-BA43-23BD881729F0}"/>
            </c:ext>
          </c:extLst>
        </c:ser>
        <c:ser>
          <c:idx val="2"/>
          <c:order val="2"/>
          <c:tx>
            <c:strRef>
              <c:f>Sheet1!$D$1</c:f>
              <c:strCache>
                <c:ptCount val="1"/>
                <c:pt idx="0">
                  <c:v>O-CCF</c:v>
                </c:pt>
              </c:strCache>
              <c:extLst xmlns:c15="http://schemas.microsoft.com/office/drawing/2012/chart"/>
            </c:strRef>
          </c:tx>
          <c:spPr>
            <a:ln w="28575"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xmlns:c15="http://schemas.microsoft.com/office/drawing/2012/chart"/>
            </c:numRef>
          </c:cat>
          <c:val>
            <c:numRef>
              <c:f>Sheet1!$D$2:$D$14</c:f>
              <c:numCache>
                <c:formatCode>#,##0</c:formatCode>
                <c:ptCount val="13"/>
                <c:pt idx="0">
                  <c:v>14103</c:v>
                </c:pt>
                <c:pt idx="1">
                  <c:v>12166</c:v>
                </c:pt>
                <c:pt idx="2">
                  <c:v>9491</c:v>
                </c:pt>
                <c:pt idx="3">
                  <c:v>7392</c:v>
                </c:pt>
                <c:pt idx="4">
                  <c:v>6936</c:v>
                </c:pt>
                <c:pt idx="5">
                  <c:v>6585</c:v>
                </c:pt>
                <c:pt idx="6">
                  <c:v>6240</c:v>
                </c:pt>
                <c:pt idx="7">
                  <c:v>5897</c:v>
                </c:pt>
                <c:pt idx="8">
                  <c:v>5551</c:v>
                </c:pt>
                <c:pt idx="9">
                  <c:v>5203</c:v>
                </c:pt>
                <c:pt idx="10">
                  <c:v>4858</c:v>
                </c:pt>
                <c:pt idx="11">
                  <c:v>4512</c:v>
                </c:pt>
                <c:pt idx="12">
                  <c:v>4162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372D-4381-BA43-23BD881729F0}"/>
            </c:ext>
          </c:extLst>
        </c:ser>
        <c:ser>
          <c:idx val="5"/>
          <c:order val="5"/>
          <c:tx>
            <c:strRef>
              <c:f>Sheet1!$G$1</c:f>
              <c:strCache>
                <c:ptCount val="1"/>
                <c:pt idx="0">
                  <c:v>AGYW</c:v>
                </c:pt>
              </c:strCache>
            </c:strRef>
          </c:tx>
          <c:spPr>
            <a:ln w="57150" cap="rnd">
              <a:solidFill>
                <a:srgbClr val="7030A0"/>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Sheet1!$G$2:$G$14</c:f>
              <c:numCache>
                <c:formatCode>#,##0</c:formatCode>
                <c:ptCount val="13"/>
                <c:pt idx="0">
                  <c:v>14103</c:v>
                </c:pt>
                <c:pt idx="1">
                  <c:v>11815</c:v>
                </c:pt>
                <c:pt idx="2">
                  <c:v>10585</c:v>
                </c:pt>
                <c:pt idx="3">
                  <c:v>10194</c:v>
                </c:pt>
                <c:pt idx="4">
                  <c:v>9814</c:v>
                </c:pt>
                <c:pt idx="5">
                  <c:v>9396</c:v>
                </c:pt>
                <c:pt idx="6">
                  <c:v>9430</c:v>
                </c:pt>
                <c:pt idx="7">
                  <c:v>9464</c:v>
                </c:pt>
                <c:pt idx="8">
                  <c:v>9436</c:v>
                </c:pt>
                <c:pt idx="9">
                  <c:v>9349</c:v>
                </c:pt>
                <c:pt idx="10">
                  <c:v>9219</c:v>
                </c:pt>
                <c:pt idx="11">
                  <c:v>9063</c:v>
                </c:pt>
                <c:pt idx="12">
                  <c:v>8889</c:v>
                </c:pt>
              </c:numCache>
            </c:numRef>
          </c:val>
          <c:smooth val="0"/>
          <c:extLst>
            <c:ext xmlns:c16="http://schemas.microsoft.com/office/drawing/2014/chart" uri="{C3380CC4-5D6E-409C-BE32-E72D297353CC}">
              <c16:uniqueId val="{00000001-372D-4381-BA43-23BD881729F0}"/>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3"/>
                <c:order val="3"/>
                <c:tx>
                  <c:strRef>
                    <c:extLst>
                      <c:ext uri="{02D57815-91ED-43cb-92C2-25804820EDAC}">
                        <c15:formulaRef>
                          <c15:sqref>Sheet1!$E$1</c15:sqref>
                        </c15:formulaRef>
                      </c:ext>
                    </c:extLst>
                    <c:strCache>
                      <c:ptCount val="1"/>
                      <c:pt idx="0">
                        <c:v>O-DDF</c:v>
                      </c:pt>
                    </c:strCache>
                  </c:strRef>
                </c:tx>
                <c:spPr>
                  <a:ln w="28575" cap="rnd">
                    <a:solidFill>
                      <a:schemeClr val="accent4"/>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Sheet1!$E$2:$E$14</c15:sqref>
                        </c15:formulaRef>
                      </c:ext>
                    </c:extLst>
                    <c:numCache>
                      <c:formatCode>#,##0</c:formatCode>
                      <c:ptCount val="13"/>
                      <c:pt idx="0">
                        <c:v>14103</c:v>
                      </c:pt>
                      <c:pt idx="1">
                        <c:v>12166</c:v>
                      </c:pt>
                      <c:pt idx="2">
                        <c:v>9491</c:v>
                      </c:pt>
                      <c:pt idx="3">
                        <c:v>8300</c:v>
                      </c:pt>
                      <c:pt idx="4">
                        <c:v>9049</c:v>
                      </c:pt>
                      <c:pt idx="5">
                        <c:v>10031</c:v>
                      </c:pt>
                      <c:pt idx="6">
                        <c:v>11079</c:v>
                      </c:pt>
                      <c:pt idx="7">
                        <c:v>12152</c:v>
                      </c:pt>
                      <c:pt idx="8">
                        <c:v>13198</c:v>
                      </c:pt>
                      <c:pt idx="9">
                        <c:v>14232</c:v>
                      </c:pt>
                      <c:pt idx="10">
                        <c:v>15306</c:v>
                      </c:pt>
                      <c:pt idx="11">
                        <c:v>16494</c:v>
                      </c:pt>
                      <c:pt idx="12">
                        <c:v>17885</c:v>
                      </c:pt>
                    </c:numCache>
                  </c:numRef>
                </c:val>
                <c:smooth val="0"/>
                <c:extLst>
                  <c:ext xmlns:c16="http://schemas.microsoft.com/office/drawing/2014/chart" uri="{C3380CC4-5D6E-409C-BE32-E72D297353CC}">
                    <c16:uniqueId val="{00000004-372D-4381-BA43-23BD881729F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14103</c:v>
                      </c:pt>
                      <c:pt idx="1">
                        <c:v>12166</c:v>
                      </c:pt>
                      <c:pt idx="2">
                        <c:v>9491</c:v>
                      </c:pt>
                      <c:pt idx="3">
                        <c:v>7864</c:v>
                      </c:pt>
                      <c:pt idx="4">
                        <c:v>7527</c:v>
                      </c:pt>
                      <c:pt idx="5">
                        <c:v>7242</c:v>
                      </c:pt>
                      <c:pt idx="6">
                        <c:v>6933</c:v>
                      </c:pt>
                      <c:pt idx="7">
                        <c:v>6611</c:v>
                      </c:pt>
                      <c:pt idx="8">
                        <c:v>6272</c:v>
                      </c:pt>
                      <c:pt idx="9">
                        <c:v>5920</c:v>
                      </c:pt>
                      <c:pt idx="10">
                        <c:v>5562</c:v>
                      </c:pt>
                      <c:pt idx="11">
                        <c:v>5194</c:v>
                      </c:pt>
                      <c:pt idx="12">
                        <c:v>4815</c:v>
                      </c:pt>
                    </c:numCache>
                  </c:numRef>
                </c:val>
                <c:smooth val="0"/>
                <c:extLst xmlns:c15="http://schemas.microsoft.com/office/drawing/2012/chart">
                  <c:ext xmlns:c16="http://schemas.microsoft.com/office/drawing/2014/chart" uri="{C3380CC4-5D6E-409C-BE32-E72D297353CC}">
                    <c16:uniqueId val="{00000005-372D-4381-BA43-23BD881729F0}"/>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noMultiLvlLbl val="0"/>
      </c:catAx>
      <c:valAx>
        <c:axId val="359147952"/>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13659080286197"/>
          <c:y val="8.447914598910429E-2"/>
          <c:w val="0.84872146118721459"/>
          <c:h val="0.68373004176616958"/>
        </c:manualLayout>
      </c:layout>
      <c:lineChart>
        <c:grouping val="standard"/>
        <c:varyColors val="0"/>
        <c:ser>
          <c:idx val="0"/>
          <c:order val="0"/>
          <c:tx>
            <c:strRef>
              <c:f>Sheet1!$B$1</c:f>
              <c:strCache>
                <c:ptCount val="1"/>
                <c:pt idx="0">
                  <c:v>CC</c:v>
                </c:pt>
              </c:strCache>
            </c:strRef>
          </c:tx>
          <c:spPr>
            <a:ln w="76200" cap="rnd">
              <a:solidFill>
                <a:schemeClr val="bg1">
                  <a:lumMod val="75000"/>
                </a:schemeClr>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467.98264999999998</c:v>
                </c:pt>
                <c:pt idx="1">
                  <c:v>461.49829999999997</c:v>
                </c:pt>
                <c:pt idx="2">
                  <c:v>465.83078</c:v>
                </c:pt>
                <c:pt idx="3">
                  <c:v>469.97609999999997</c:v>
                </c:pt>
                <c:pt idx="4">
                  <c:v>474.03453999999999</c:v>
                </c:pt>
                <c:pt idx="5">
                  <c:v>477.90449000000001</c:v>
                </c:pt>
                <c:pt idx="6">
                  <c:v>481.42367999999999</c:v>
                </c:pt>
                <c:pt idx="7">
                  <c:v>484.66980999999998</c:v>
                </c:pt>
                <c:pt idx="8">
                  <c:v>487.64582999999999</c:v>
                </c:pt>
                <c:pt idx="9">
                  <c:v>490.32909999999998</c:v>
                </c:pt>
                <c:pt idx="10">
                  <c:v>492.83341000000001</c:v>
                </c:pt>
                <c:pt idx="11">
                  <c:v>496.46039999999999</c:v>
                </c:pt>
                <c:pt idx="12">
                  <c:v>500.31641999999999</c:v>
                </c:pt>
              </c:numCache>
            </c:numRef>
          </c:val>
          <c:smooth val="0"/>
          <c:extLst>
            <c:ext xmlns:c16="http://schemas.microsoft.com/office/drawing/2014/chart" uri="{C3380CC4-5D6E-409C-BE32-E72D297353CC}">
              <c16:uniqueId val="{00000000-C7D5-4870-88C8-05EC38007A07}"/>
            </c:ext>
          </c:extLst>
        </c:ser>
        <c:ser>
          <c:idx val="1"/>
          <c:order val="1"/>
          <c:tx>
            <c:strRef>
              <c:f>Sheet1!$C$1</c:f>
              <c:strCache>
                <c:ptCount val="1"/>
                <c:pt idx="0">
                  <c:v>NS</c:v>
                </c:pt>
              </c:strCache>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467.98264999999998</c:v>
                </c:pt>
                <c:pt idx="1">
                  <c:v>509.95699000000002</c:v>
                </c:pt>
                <c:pt idx="2">
                  <c:v>573.85712999999998</c:v>
                </c:pt>
                <c:pt idx="3">
                  <c:v>579.20203000000004</c:v>
                </c:pt>
                <c:pt idx="4">
                  <c:v>602.96974999999998</c:v>
                </c:pt>
                <c:pt idx="5">
                  <c:v>628.05430000000001</c:v>
                </c:pt>
                <c:pt idx="6">
                  <c:v>654.36455000000001</c:v>
                </c:pt>
                <c:pt idx="7">
                  <c:v>681.82455000000004</c:v>
                </c:pt>
                <c:pt idx="8">
                  <c:v>710.52549999999997</c:v>
                </c:pt>
                <c:pt idx="9">
                  <c:v>740.52671999999995</c:v>
                </c:pt>
                <c:pt idx="10">
                  <c:v>771.93263999999999</c:v>
                </c:pt>
                <c:pt idx="11">
                  <c:v>804.78490999999997</c:v>
                </c:pt>
                <c:pt idx="12">
                  <c:v>839.00984000000005</c:v>
                </c:pt>
              </c:numCache>
            </c:numRef>
          </c:val>
          <c:smooth val="0"/>
          <c:extLst>
            <c:ext xmlns:c16="http://schemas.microsoft.com/office/drawing/2014/chart" uri="{C3380CC4-5D6E-409C-BE32-E72D297353CC}">
              <c16:uniqueId val="{00000001-C7D5-4870-88C8-05EC38007A07}"/>
            </c:ext>
          </c:extLst>
        </c:ser>
        <c:ser>
          <c:idx val="2"/>
          <c:order val="2"/>
          <c:tx>
            <c:strRef>
              <c:f>Sheet1!$D$1</c:f>
              <c:strCache>
                <c:ptCount val="1"/>
                <c:pt idx="0">
                  <c:v>O-CCF</c:v>
                </c:pt>
              </c:strCache>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467.98264999999998</c:v>
                </c:pt>
                <c:pt idx="1">
                  <c:v>466.94026000000002</c:v>
                </c:pt>
                <c:pt idx="2">
                  <c:v>482.07378</c:v>
                </c:pt>
                <c:pt idx="3">
                  <c:v>463.33850000000001</c:v>
                </c:pt>
                <c:pt idx="4">
                  <c:v>461.11482999999998</c:v>
                </c:pt>
                <c:pt idx="5">
                  <c:v>453.0043</c:v>
                </c:pt>
                <c:pt idx="6">
                  <c:v>457.93310000000002</c:v>
                </c:pt>
                <c:pt idx="7">
                  <c:v>462.66206</c:v>
                </c:pt>
                <c:pt idx="8">
                  <c:v>458.34782000000001</c:v>
                </c:pt>
                <c:pt idx="9">
                  <c:v>462.52681000000001</c:v>
                </c:pt>
                <c:pt idx="10">
                  <c:v>464.74790000000002</c:v>
                </c:pt>
                <c:pt idx="11">
                  <c:v>467.14783999999997</c:v>
                </c:pt>
                <c:pt idx="12">
                  <c:v>469.02936</c:v>
                </c:pt>
              </c:numCache>
            </c:numRef>
          </c:val>
          <c:smooth val="0"/>
          <c:extLst>
            <c:ext xmlns:c16="http://schemas.microsoft.com/office/drawing/2014/chart" uri="{C3380CC4-5D6E-409C-BE32-E72D297353CC}">
              <c16:uniqueId val="{00000002-C7D5-4870-88C8-05EC38007A07}"/>
            </c:ext>
          </c:extLst>
        </c:ser>
        <c:ser>
          <c:idx val="5"/>
          <c:order val="5"/>
          <c:tx>
            <c:strRef>
              <c:f>Sheet1!$G$1</c:f>
              <c:strCache>
                <c:ptCount val="1"/>
                <c:pt idx="0">
                  <c:v>AGYW</c:v>
                </c:pt>
              </c:strCache>
            </c:strRef>
          </c:tx>
          <c:spPr>
            <a:ln w="57150" cap="rnd">
              <a:solidFill>
                <a:srgbClr val="7030A0"/>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Sheet1!$G$2:$G$14</c:f>
              <c:numCache>
                <c:formatCode>_("$"* #,##0_);_("$"* \(#,##0\);_("$"* "-"??_);_(@_)</c:formatCode>
                <c:ptCount val="13"/>
                <c:pt idx="0">
                  <c:v>472.70056216999996</c:v>
                </c:pt>
                <c:pt idx="1">
                  <c:v>490.16681655532619</c:v>
                </c:pt>
                <c:pt idx="2">
                  <c:v>648.46497677167145</c:v>
                </c:pt>
                <c:pt idx="3">
                  <c:v>658.71560842630038</c:v>
                </c:pt>
                <c:pt idx="4">
                  <c:v>682.80340141520196</c:v>
                </c:pt>
                <c:pt idx="5">
                  <c:v>738.22176973622436</c:v>
                </c:pt>
                <c:pt idx="6">
                  <c:v>749.47386606988766</c:v>
                </c:pt>
                <c:pt idx="7">
                  <c:v>760.6025122829783</c:v>
                </c:pt>
                <c:pt idx="8">
                  <c:v>771.52946249901674</c:v>
                </c:pt>
                <c:pt idx="9">
                  <c:v>782.17723602050501</c:v>
                </c:pt>
                <c:pt idx="10">
                  <c:v>792.6259865433301</c:v>
                </c:pt>
                <c:pt idx="11">
                  <c:v>803.89427686235467</c:v>
                </c:pt>
                <c:pt idx="12">
                  <c:v>815.35227459776229</c:v>
                </c:pt>
              </c:numCache>
            </c:numRef>
          </c:val>
          <c:smooth val="0"/>
          <c:extLst>
            <c:ext xmlns:c16="http://schemas.microsoft.com/office/drawing/2014/chart" uri="{C3380CC4-5D6E-409C-BE32-E72D297353CC}">
              <c16:uniqueId val="{00000005-C7D5-4870-88C8-05EC38007A07}"/>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3"/>
                <c:order val="3"/>
                <c:tx>
                  <c:strRef>
                    <c:extLst>
                      <c:ext uri="{02D57815-91ED-43cb-92C2-25804820EDAC}">
                        <c15:formulaRef>
                          <c15:sqref>Sheet1!$E$1</c15:sqref>
                        </c15:formulaRef>
                      </c:ext>
                    </c:extLst>
                    <c:strCache>
                      <c:ptCount val="1"/>
                      <c:pt idx="0">
                        <c:v>O-DDF</c:v>
                      </c:pt>
                    </c:strCache>
                  </c:strRef>
                </c:tx>
                <c:spPr>
                  <a:ln w="57150" cap="rnd">
                    <a:solidFill>
                      <a:schemeClr val="accent5"/>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Sheet1!$E$2:$E$14</c15:sqref>
                        </c15:formulaRef>
                      </c:ext>
                    </c:extLst>
                    <c:numCache>
                      <c:formatCode>#,##0</c:formatCode>
                      <c:ptCount val="13"/>
                      <c:pt idx="0">
                        <c:v>467.98264999999998</c:v>
                      </c:pt>
                      <c:pt idx="1">
                        <c:v>466.94026000000002</c:v>
                      </c:pt>
                      <c:pt idx="2">
                        <c:v>482.07378</c:v>
                      </c:pt>
                      <c:pt idx="3">
                        <c:v>425.39645000000002</c:v>
                      </c:pt>
                      <c:pt idx="4">
                        <c:v>404.52148999999997</c:v>
                      </c:pt>
                      <c:pt idx="5">
                        <c:v>383.88339999999999</c:v>
                      </c:pt>
                      <c:pt idx="6">
                        <c:v>375.42246999999998</c:v>
                      </c:pt>
                      <c:pt idx="7">
                        <c:v>366.57551000000001</c:v>
                      </c:pt>
                      <c:pt idx="8">
                        <c:v>357.58470999999997</c:v>
                      </c:pt>
                      <c:pt idx="9">
                        <c:v>348.50198999999998</c:v>
                      </c:pt>
                      <c:pt idx="10">
                        <c:v>339.31407000000002</c:v>
                      </c:pt>
                      <c:pt idx="11">
                        <c:v>329.97320999999999</c:v>
                      </c:pt>
                      <c:pt idx="12">
                        <c:v>320.20596999999998</c:v>
                      </c:pt>
                    </c:numCache>
                  </c:numRef>
                </c:val>
                <c:smooth val="0"/>
                <c:extLst>
                  <c:ext xmlns:c16="http://schemas.microsoft.com/office/drawing/2014/chart" uri="{C3380CC4-5D6E-409C-BE32-E72D297353CC}">
                    <c16:uniqueId val="{00000003-C7D5-4870-88C8-05EC38007A0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O-DRM</c:v>
                      </c:pt>
                    </c:strCache>
                  </c:strRef>
                </c:tx>
                <c:spPr>
                  <a:ln w="57150"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xmlns:c15="http://schemas.microsoft.com/office/drawing/2012/chart">
                      <c:ext xmlns:c15="http://schemas.microsoft.com/office/drawing/2012/chart" uri="{02D57815-91ED-43cb-92C2-25804820EDAC}">
                        <c15:formulaRef>
                          <c15:sqref>Sheet1!$F$2:$F$14</c15:sqref>
                        </c15:formulaRef>
                      </c:ext>
                    </c:extLst>
                    <c:numCache>
                      <c:formatCode>#,##0</c:formatCode>
                      <c:ptCount val="13"/>
                      <c:pt idx="0">
                        <c:v>467.98264999999998</c:v>
                      </c:pt>
                      <c:pt idx="1">
                        <c:v>466.94026000000002</c:v>
                      </c:pt>
                      <c:pt idx="2">
                        <c:v>482.07378</c:v>
                      </c:pt>
                      <c:pt idx="3">
                        <c:v>449.30588999999998</c:v>
                      </c:pt>
                      <c:pt idx="4">
                        <c:v>444.33544000000001</c:v>
                      </c:pt>
                      <c:pt idx="5">
                        <c:v>433.32729999999998</c:v>
                      </c:pt>
                      <c:pt idx="6">
                        <c:v>435.3048</c:v>
                      </c:pt>
                      <c:pt idx="7">
                        <c:v>436.98432000000003</c:v>
                      </c:pt>
                      <c:pt idx="8">
                        <c:v>429.44695000000002</c:v>
                      </c:pt>
                      <c:pt idx="9">
                        <c:v>430.22233999999997</c:v>
                      </c:pt>
                      <c:pt idx="10">
                        <c:v>428.85217</c:v>
                      </c:pt>
                      <c:pt idx="11">
                        <c:v>427.46248000000003</c:v>
                      </c:pt>
                      <c:pt idx="12">
                        <c:v>425.34379000000001</c:v>
                      </c:pt>
                    </c:numCache>
                  </c:numRef>
                </c:val>
                <c:smooth val="0"/>
                <c:extLst xmlns:c15="http://schemas.microsoft.com/office/drawing/2012/chart">
                  <c:ext xmlns:c16="http://schemas.microsoft.com/office/drawing/2014/chart" uri="{C3380CC4-5D6E-409C-BE32-E72D297353CC}">
                    <c16:uniqueId val="{00000004-C7D5-4870-88C8-05EC38007A07}"/>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tickLblSkip val="2"/>
        <c:tickMarkSkip val="2"/>
        <c:noMultiLvlLbl val="0"/>
      </c:catAx>
      <c:valAx>
        <c:axId val="3591479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USD (M)</a:t>
                </a:r>
              </a:p>
            </c:rich>
          </c:tx>
          <c:layout>
            <c:manualLayout>
              <c:xMode val="edge"/>
              <c:yMode val="edge"/>
              <c:x val="1.5981735159817351E-2"/>
              <c:y val="0.2840472481046821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Condoms</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6130-475D-A542-6038ECF0EDF8}"/>
              </c:ext>
            </c:extLst>
          </c:dPt>
          <c:dPt>
            <c:idx val="1"/>
            <c:invertIfNegative val="0"/>
            <c:bubble3D val="0"/>
            <c:extLst>
              <c:ext xmlns:c16="http://schemas.microsoft.com/office/drawing/2014/chart" uri="{C3380CC4-5D6E-409C-BE32-E72D297353CC}">
                <c16:uniqueId val="{00000003-6130-475D-A542-6038ECF0EDF8}"/>
              </c:ext>
            </c:extLst>
          </c:dPt>
          <c:dPt>
            <c:idx val="2"/>
            <c:invertIfNegative val="0"/>
            <c:bubble3D val="0"/>
            <c:extLst>
              <c:ext xmlns:c16="http://schemas.microsoft.com/office/drawing/2014/chart" uri="{C3380CC4-5D6E-409C-BE32-E72D297353CC}">
                <c16:uniqueId val="{00000005-6130-475D-A542-6038ECF0EDF8}"/>
              </c:ext>
            </c:extLst>
          </c:dPt>
          <c:dPt>
            <c:idx val="3"/>
            <c:invertIfNegative val="0"/>
            <c:bubble3D val="0"/>
            <c:extLst>
              <c:ext xmlns:c16="http://schemas.microsoft.com/office/drawing/2014/chart" uri="{C3380CC4-5D6E-409C-BE32-E72D297353CC}">
                <c16:uniqueId val="{00000007-6130-475D-A542-6038ECF0EDF8}"/>
              </c:ext>
            </c:extLst>
          </c:dPt>
          <c:dPt>
            <c:idx val="4"/>
            <c:invertIfNegative val="0"/>
            <c:bubble3D val="0"/>
            <c:extLst>
              <c:ext xmlns:c16="http://schemas.microsoft.com/office/drawing/2014/chart" uri="{C3380CC4-5D6E-409C-BE32-E72D297353CC}">
                <c16:uniqueId val="{00000009-6130-475D-A542-6038ECF0EDF8}"/>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Full costs of cash transfers</c:v>
                </c:pt>
                <c:pt idx="1">
                  <c:v>Shared costs of cash transfers</c:v>
                </c:pt>
              </c:strCache>
            </c:strRef>
          </c:cat>
          <c:val>
            <c:numRef>
              <c:f>Sheet1!$B$2:$B$3</c:f>
              <c:numCache>
                <c:formatCode>General</c:formatCode>
                <c:ptCount val="2"/>
                <c:pt idx="0">
                  <c:v>57</c:v>
                </c:pt>
                <c:pt idx="1">
                  <c:v>57</c:v>
                </c:pt>
              </c:numCache>
            </c:numRef>
          </c:val>
          <c:extLst>
            <c:ext xmlns:c16="http://schemas.microsoft.com/office/drawing/2014/chart" uri="{C3380CC4-5D6E-409C-BE32-E72D297353CC}">
              <c16:uniqueId val="{0000000A-6130-475D-A542-6038ECF0EDF8}"/>
            </c:ext>
          </c:extLst>
        </c:ser>
        <c:ser>
          <c:idx val="1"/>
          <c:order val="1"/>
          <c:tx>
            <c:strRef>
              <c:f>Sheet1!$C$1</c:f>
              <c:strCache>
                <c:ptCount val="1"/>
                <c:pt idx="0">
                  <c:v>PrEP</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Full costs of cash transfers</c:v>
                </c:pt>
                <c:pt idx="1">
                  <c:v>Shared costs of cash transfers</c:v>
                </c:pt>
              </c:strCache>
            </c:strRef>
          </c:cat>
          <c:val>
            <c:numRef>
              <c:f>Sheet1!$C$2:$C$3</c:f>
              <c:numCache>
                <c:formatCode>General</c:formatCode>
                <c:ptCount val="2"/>
                <c:pt idx="0">
                  <c:v>852</c:v>
                </c:pt>
                <c:pt idx="1">
                  <c:v>852</c:v>
                </c:pt>
              </c:numCache>
            </c:numRef>
          </c:val>
          <c:extLst>
            <c:ext xmlns:c16="http://schemas.microsoft.com/office/drawing/2014/chart" uri="{C3380CC4-5D6E-409C-BE32-E72D297353CC}">
              <c16:uniqueId val="{0000000A-4D16-4E5E-AB49-72ABE083F25C}"/>
            </c:ext>
          </c:extLst>
        </c:ser>
        <c:ser>
          <c:idx val="2"/>
          <c:order val="2"/>
          <c:tx>
            <c:strRef>
              <c:f>Sheet1!$D$1</c:f>
              <c:strCache>
                <c:ptCount val="1"/>
                <c:pt idx="0">
                  <c:v>Sexuality education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Full costs of cash transfers</c:v>
                </c:pt>
                <c:pt idx="1">
                  <c:v>Shared costs of cash transfers</c:v>
                </c:pt>
              </c:strCache>
            </c:strRef>
          </c:cat>
          <c:val>
            <c:numRef>
              <c:f>Sheet1!$D$2:$D$3</c:f>
              <c:numCache>
                <c:formatCode>General</c:formatCode>
                <c:ptCount val="2"/>
                <c:pt idx="0">
                  <c:v>72</c:v>
                </c:pt>
                <c:pt idx="1">
                  <c:v>72</c:v>
                </c:pt>
              </c:numCache>
            </c:numRef>
          </c:val>
          <c:extLst>
            <c:ext xmlns:c16="http://schemas.microsoft.com/office/drawing/2014/chart" uri="{C3380CC4-5D6E-409C-BE32-E72D297353CC}">
              <c16:uniqueId val="{0000000D-4D16-4E5E-AB49-72ABE083F25C}"/>
            </c:ext>
          </c:extLst>
        </c:ser>
        <c:ser>
          <c:idx val="3"/>
          <c:order val="3"/>
          <c:tx>
            <c:strRef>
              <c:f>Sheet1!$E$1</c:f>
              <c:strCache>
                <c:ptCount val="1"/>
                <c:pt idx="0">
                  <c:v>Economic empowerment (cash transfers)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Full costs of cash transfers</c:v>
                </c:pt>
                <c:pt idx="1">
                  <c:v>Shared costs of cash transfers</c:v>
                </c:pt>
              </c:strCache>
            </c:strRef>
          </c:cat>
          <c:val>
            <c:numRef>
              <c:f>Sheet1!$E$2:$E$3</c:f>
              <c:numCache>
                <c:formatCode>General</c:formatCode>
                <c:ptCount val="2"/>
                <c:pt idx="0">
                  <c:v>1388</c:v>
                </c:pt>
                <c:pt idx="1">
                  <c:v>369</c:v>
                </c:pt>
              </c:numCache>
            </c:numRef>
          </c:val>
          <c:extLst>
            <c:ext xmlns:c16="http://schemas.microsoft.com/office/drawing/2014/chart" uri="{C3380CC4-5D6E-409C-BE32-E72D297353CC}">
              <c16:uniqueId val="{0000000E-4D16-4E5E-AB49-72ABE083F25C}"/>
            </c:ext>
          </c:extLst>
        </c:ser>
        <c:ser>
          <c:idx val="4"/>
          <c:order val="4"/>
          <c:tx>
            <c:strRef>
              <c:f>Sheet1!$F$1</c:f>
              <c:strCache>
                <c:ptCount val="1"/>
                <c:pt idx="0">
                  <c:v>VMMC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Full costs of cash transfers</c:v>
                </c:pt>
                <c:pt idx="1">
                  <c:v>Shared costs of cash transfers</c:v>
                </c:pt>
              </c:strCache>
            </c:strRef>
          </c:cat>
          <c:val>
            <c:numRef>
              <c:f>Sheet1!$F$2:$F$3</c:f>
              <c:numCache>
                <c:formatCode>General</c:formatCode>
                <c:ptCount val="2"/>
                <c:pt idx="0">
                  <c:v>161</c:v>
                </c:pt>
                <c:pt idx="1">
                  <c:v>151</c:v>
                </c:pt>
              </c:numCache>
            </c:numRef>
          </c:val>
          <c:extLst>
            <c:ext xmlns:c16="http://schemas.microsoft.com/office/drawing/2014/chart" uri="{C3380CC4-5D6E-409C-BE32-E72D297353CC}">
              <c16:uniqueId val="{0000000F-4D16-4E5E-AB49-72ABE083F25C}"/>
            </c:ext>
          </c:extLst>
        </c:ser>
        <c:dLbls>
          <c:dLblPos val="ctr"/>
          <c:showLegendKey val="0"/>
          <c:showVal val="1"/>
          <c:showCatName val="0"/>
          <c:showSerName val="0"/>
          <c:showPercent val="0"/>
          <c:showBubbleSize val="0"/>
        </c:dLbls>
        <c:gapWidth val="79"/>
        <c:overlap val="100"/>
        <c:axId val="960804784"/>
        <c:axId val="960809048"/>
      </c:barChart>
      <c:catAx>
        <c:axId val="960804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960809048"/>
        <c:crosses val="autoZero"/>
        <c:auto val="1"/>
        <c:lblAlgn val="ctr"/>
        <c:lblOffset val="100"/>
        <c:noMultiLvlLbl val="0"/>
      </c:catAx>
      <c:valAx>
        <c:axId val="960809048"/>
        <c:scaling>
          <c:orientation val="minMax"/>
        </c:scaling>
        <c:delete val="0"/>
        <c:axPos val="l"/>
        <c:numFmt formatCode="&quot;$&quot;#,##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080478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r>
              <a:rPr lang="en-US"/>
              <a:t>Number of Districts by Incidence</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0"/>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Districts!$R$7:$R$15</c:f>
              <c:numCache>
                <c:formatCode>#,##0.00_);\(#,##0.00\)</c:formatCode>
                <c:ptCount val="9"/>
                <c:pt idx="0">
                  <c:v>0</c:v>
                </c:pt>
                <c:pt idx="1">
                  <c:v>0.1</c:v>
                </c:pt>
                <c:pt idx="2">
                  <c:v>0.2</c:v>
                </c:pt>
                <c:pt idx="3">
                  <c:v>0.30000000000000004</c:v>
                </c:pt>
                <c:pt idx="4">
                  <c:v>0.4</c:v>
                </c:pt>
                <c:pt idx="5">
                  <c:v>0.5</c:v>
                </c:pt>
                <c:pt idx="6">
                  <c:v>0.6</c:v>
                </c:pt>
                <c:pt idx="7">
                  <c:v>0.7</c:v>
                </c:pt>
                <c:pt idx="8">
                  <c:v>0.79999999999999993</c:v>
                </c:pt>
              </c:numCache>
            </c:numRef>
          </c:cat>
          <c:val>
            <c:numRef>
              <c:f>Districts!$S$7:$S$15</c:f>
              <c:numCache>
                <c:formatCode>General</c:formatCode>
                <c:ptCount val="9"/>
                <c:pt idx="0">
                  <c:v>0</c:v>
                </c:pt>
                <c:pt idx="1">
                  <c:v>5</c:v>
                </c:pt>
                <c:pt idx="2">
                  <c:v>71</c:v>
                </c:pt>
                <c:pt idx="3">
                  <c:v>71</c:v>
                </c:pt>
                <c:pt idx="4">
                  <c:v>21</c:v>
                </c:pt>
                <c:pt idx="5">
                  <c:v>14</c:v>
                </c:pt>
                <c:pt idx="6">
                  <c:v>5</c:v>
                </c:pt>
                <c:pt idx="7">
                  <c:v>3</c:v>
                </c:pt>
                <c:pt idx="8">
                  <c:v>2</c:v>
                </c:pt>
              </c:numCache>
            </c:numRef>
          </c:val>
          <c:extLst>
            <c:ext xmlns:c16="http://schemas.microsoft.com/office/drawing/2014/chart" uri="{C3380CC4-5D6E-409C-BE32-E72D297353CC}">
              <c16:uniqueId val="{00000000-B446-4616-8674-986CB47D5675}"/>
            </c:ext>
          </c:extLst>
        </c:ser>
        <c:dLbls>
          <c:showLegendKey val="0"/>
          <c:showVal val="0"/>
          <c:showCatName val="0"/>
          <c:showSerName val="0"/>
          <c:showPercent val="0"/>
          <c:showBubbleSize val="0"/>
        </c:dLbls>
        <c:gapWidth val="50"/>
        <c:overlap val="-27"/>
        <c:axId val="565238448"/>
        <c:axId val="565246320"/>
      </c:barChart>
      <c:catAx>
        <c:axId val="565238448"/>
        <c:scaling>
          <c:orientation val="minMax"/>
        </c:scaling>
        <c:delete val="0"/>
        <c:axPos val="b"/>
        <c:numFmt formatCode="#,##0.00_);\(#,##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5246320"/>
        <c:crosses val="autoZero"/>
        <c:auto val="1"/>
        <c:lblAlgn val="ctr"/>
        <c:lblOffset val="100"/>
        <c:noMultiLvlLbl val="0"/>
      </c:catAx>
      <c:valAx>
        <c:axId val="565246320"/>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5238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800" b="0" i="1"/>
              <a:t>Figure 0-6. New infections</a:t>
            </a:r>
          </a:p>
          <a:p>
            <a:pPr>
              <a:defRPr sz="800"/>
            </a:pPr>
            <a:r>
              <a:rPr lang="en-US" sz="800" b="0" i="1"/>
              <a:t> 2019-2030</a:t>
            </a:r>
          </a:p>
        </c:rich>
      </c:tx>
      <c:layout>
        <c:manualLayout>
          <c:xMode val="edge"/>
          <c:yMode val="edge"/>
          <c:x val="0.2806370715672884"/>
          <c:y val="2.3054755043227664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426249138212563"/>
          <c:y val="8.0109847481599092E-2"/>
          <c:w val="0.89154121921810137"/>
          <c:h val="0.72404116808233621"/>
        </c:manualLayout>
      </c:layout>
      <c:lineChart>
        <c:grouping val="standard"/>
        <c:varyColors val="0"/>
        <c:ser>
          <c:idx val="0"/>
          <c:order val="0"/>
          <c:tx>
            <c:strRef>
              <c:f>Sheet1!$B$1</c:f>
              <c:strCache>
                <c:ptCount val="1"/>
                <c:pt idx="0">
                  <c:v>CC</c:v>
                </c:pt>
              </c:strCache>
            </c:strRef>
          </c:tx>
          <c:spPr>
            <a:ln w="57150" cap="rnd">
              <a:solidFill>
                <a:schemeClr val="bg2">
                  <a:lumMod val="75000"/>
                </a:schemeClr>
              </a:solidFill>
              <a:round/>
            </a:ln>
            <a:effectLst/>
          </c:spPr>
          <c:marker>
            <c:symbol val="none"/>
          </c:marker>
          <c:dPt>
            <c:idx val="9"/>
            <c:marker>
              <c:symbol val="none"/>
            </c:marker>
            <c:bubble3D val="0"/>
            <c:extLst>
              <c:ext xmlns:c16="http://schemas.microsoft.com/office/drawing/2014/chart" uri="{C3380CC4-5D6E-409C-BE32-E72D297353CC}">
                <c16:uniqueId val="{00000000-6614-4CFE-B7ED-65D84DB350C7}"/>
              </c:ext>
            </c:extLst>
          </c:dPt>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#,##0</c:formatCode>
                <c:ptCount val="13"/>
                <c:pt idx="0">
                  <c:v>51103</c:v>
                </c:pt>
                <c:pt idx="1">
                  <c:v>44903</c:v>
                </c:pt>
                <c:pt idx="2">
                  <c:v>43283</c:v>
                </c:pt>
                <c:pt idx="3">
                  <c:v>43756</c:v>
                </c:pt>
                <c:pt idx="4">
                  <c:v>44188</c:v>
                </c:pt>
                <c:pt idx="5">
                  <c:v>44505</c:v>
                </c:pt>
                <c:pt idx="6">
                  <c:v>44704</c:v>
                </c:pt>
                <c:pt idx="7">
                  <c:v>44796</c:v>
                </c:pt>
                <c:pt idx="8">
                  <c:v>44777</c:v>
                </c:pt>
                <c:pt idx="9">
                  <c:v>44681</c:v>
                </c:pt>
                <c:pt idx="10">
                  <c:v>44546</c:v>
                </c:pt>
                <c:pt idx="11">
                  <c:v>44393</c:v>
                </c:pt>
                <c:pt idx="12">
                  <c:v>44228</c:v>
                </c:pt>
              </c:numCache>
            </c:numRef>
          </c:val>
          <c:smooth val="0"/>
          <c:extLst>
            <c:ext xmlns:c16="http://schemas.microsoft.com/office/drawing/2014/chart" uri="{C3380CC4-5D6E-409C-BE32-E72D297353CC}">
              <c16:uniqueId val="{00000001-6614-4CFE-B7ED-65D84DB350C7}"/>
            </c:ext>
          </c:extLst>
        </c:ser>
        <c:ser>
          <c:idx val="1"/>
          <c:order val="1"/>
          <c:tx>
            <c:strRef>
              <c:f>Sheet1!$C$1</c:f>
              <c:strCache>
                <c:ptCount val="1"/>
                <c:pt idx="0">
                  <c:v>NS</c:v>
                </c:pt>
              </c:strCache>
              <c:extLst xmlns:c15="http://schemas.microsoft.com/office/drawing/2012/chart"/>
            </c:strRef>
          </c:tx>
          <c:spPr>
            <a:ln w="57150" cap="rnd">
              <a:solidFill>
                <a:schemeClr val="accent2"/>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Sheet1!$C$2:$C$14</c:f>
              <c:numCache>
                <c:formatCode>#,##0</c:formatCode>
                <c:ptCount val="13"/>
                <c:pt idx="0">
                  <c:v>51103</c:v>
                </c:pt>
                <c:pt idx="1">
                  <c:v>44072</c:v>
                </c:pt>
                <c:pt idx="2">
                  <c:v>31258</c:v>
                </c:pt>
                <c:pt idx="3">
                  <c:v>26389</c:v>
                </c:pt>
                <c:pt idx="4">
                  <c:v>24895</c:v>
                </c:pt>
                <c:pt idx="5">
                  <c:v>23517</c:v>
                </c:pt>
                <c:pt idx="6">
                  <c:v>22145</c:v>
                </c:pt>
                <c:pt idx="7">
                  <c:v>20797</c:v>
                </c:pt>
                <c:pt idx="8">
                  <c:v>19468</c:v>
                </c:pt>
                <c:pt idx="9">
                  <c:v>18165</c:v>
                </c:pt>
                <c:pt idx="10">
                  <c:v>16890</c:v>
                </c:pt>
                <c:pt idx="11">
                  <c:v>15640</c:v>
                </c:pt>
                <c:pt idx="12">
                  <c:v>14407</c:v>
                </c:pt>
              </c:numCache>
            </c:numRef>
          </c:val>
          <c:smooth val="0"/>
          <c:extLst xmlns:c15="http://schemas.microsoft.com/office/drawing/2012/chart">
            <c:ext xmlns:c16="http://schemas.microsoft.com/office/drawing/2014/chart" uri="{C3380CC4-5D6E-409C-BE32-E72D297353CC}">
              <c16:uniqueId val="{00000002-6614-4CFE-B7ED-65D84DB350C7}"/>
            </c:ext>
          </c:extLst>
        </c:ser>
        <c:ser>
          <c:idx val="2"/>
          <c:order val="2"/>
          <c:tx>
            <c:strRef>
              <c:f>Sheet1!$D$1</c:f>
              <c:strCache>
                <c:ptCount val="1"/>
                <c:pt idx="0">
                  <c:v>O-CCF</c:v>
                </c:pt>
              </c:strCache>
              <c:extLst xmlns:c15="http://schemas.microsoft.com/office/drawing/2012/chart"/>
            </c:strRef>
          </c:tx>
          <c:spPr>
            <a:ln w="57150" cap="rnd">
              <a:solidFill>
                <a:schemeClr val="accent6"/>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Sheet1!$D$2:$D$14</c:f>
              <c:numCache>
                <c:formatCode>#,##0</c:formatCode>
                <c:ptCount val="13"/>
                <c:pt idx="0">
                  <c:v>51103</c:v>
                </c:pt>
                <c:pt idx="1">
                  <c:v>45345</c:v>
                </c:pt>
                <c:pt idx="2">
                  <c:v>33173</c:v>
                </c:pt>
                <c:pt idx="3">
                  <c:v>27153</c:v>
                </c:pt>
                <c:pt idx="4">
                  <c:v>25571</c:v>
                </c:pt>
                <c:pt idx="5">
                  <c:v>24269</c:v>
                </c:pt>
                <c:pt idx="6">
                  <c:v>22981</c:v>
                </c:pt>
                <c:pt idx="7">
                  <c:v>21705</c:v>
                </c:pt>
                <c:pt idx="8">
                  <c:v>20435</c:v>
                </c:pt>
                <c:pt idx="9">
                  <c:v>19176</c:v>
                </c:pt>
                <c:pt idx="10">
                  <c:v>17954</c:v>
                </c:pt>
                <c:pt idx="11">
                  <c:v>16749</c:v>
                </c:pt>
                <c:pt idx="12">
                  <c:v>15559</c:v>
                </c:pt>
              </c:numCache>
            </c:numRef>
          </c:val>
          <c:smooth val="0"/>
          <c:extLst xmlns:c15="http://schemas.microsoft.com/office/drawing/2012/chart">
            <c:ext xmlns:c16="http://schemas.microsoft.com/office/drawing/2014/chart" uri="{C3380CC4-5D6E-409C-BE32-E72D297353CC}">
              <c16:uniqueId val="{00000003-6614-4CFE-B7ED-65D84DB350C7}"/>
            </c:ext>
          </c:extLst>
        </c:ser>
        <c:ser>
          <c:idx val="3"/>
          <c:order val="3"/>
          <c:tx>
            <c:strRef>
              <c:f>Sheet1!$E$1</c:f>
              <c:strCache>
                <c:ptCount val="1"/>
                <c:pt idx="0">
                  <c:v>O-DDF</c:v>
                </c:pt>
              </c:strCache>
              <c:extLst xmlns:c15="http://schemas.microsoft.com/office/drawing/2012/chart"/>
            </c:strRef>
          </c:tx>
          <c:spPr>
            <a:ln w="57150" cap="rnd">
              <a:solidFill>
                <a:schemeClr val="accent4"/>
              </a:solidFill>
              <a:round/>
            </a:ln>
            <a:effectLst/>
          </c:spPr>
          <c:marker>
            <c:symbol val="none"/>
          </c:marker>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Sheet1!$E$2:$E$14</c:f>
              <c:numCache>
                <c:formatCode>#,##0</c:formatCode>
                <c:ptCount val="13"/>
                <c:pt idx="0">
                  <c:v>51103</c:v>
                </c:pt>
                <c:pt idx="1">
                  <c:v>45345</c:v>
                </c:pt>
                <c:pt idx="2">
                  <c:v>33173</c:v>
                </c:pt>
                <c:pt idx="3">
                  <c:v>29761</c:v>
                </c:pt>
                <c:pt idx="4">
                  <c:v>31574</c:v>
                </c:pt>
                <c:pt idx="5">
                  <c:v>33976</c:v>
                </c:pt>
                <c:pt idx="6">
                  <c:v>36549</c:v>
                </c:pt>
                <c:pt idx="7">
                  <c:v>39213</c:v>
                </c:pt>
                <c:pt idx="8">
                  <c:v>41851</c:v>
                </c:pt>
                <c:pt idx="9">
                  <c:v>44529</c:v>
                </c:pt>
                <c:pt idx="10">
                  <c:v>47412</c:v>
                </c:pt>
                <c:pt idx="11">
                  <c:v>50721</c:v>
                </c:pt>
                <c:pt idx="12">
                  <c:v>54736</c:v>
                </c:pt>
              </c:numCache>
            </c:numRef>
          </c:val>
          <c:smooth val="0"/>
          <c:extLst xmlns:c15="http://schemas.microsoft.com/office/drawing/2012/chart">
            <c:ext xmlns:c16="http://schemas.microsoft.com/office/drawing/2014/chart" uri="{C3380CC4-5D6E-409C-BE32-E72D297353CC}">
              <c16:uniqueId val="{00000004-6614-4CFE-B7ED-65D84DB350C7}"/>
            </c:ext>
          </c:extLst>
        </c:ser>
        <c:dLbls>
          <c:showLegendKey val="0"/>
          <c:showVal val="0"/>
          <c:showCatName val="0"/>
          <c:showSerName val="0"/>
          <c:showPercent val="0"/>
          <c:showBubbleSize val="0"/>
        </c:dLbls>
        <c:smooth val="0"/>
        <c:axId val="359149264"/>
        <c:axId val="359147952"/>
        <c:extLst>
          <c:ext xmlns:c15="http://schemas.microsoft.com/office/drawing/2012/chart" uri="{02D57815-91ED-43cb-92C2-25804820EDAC}">
            <c15:filteredLineSeries>
              <c15:ser>
                <c:idx val="4"/>
                <c:order val="4"/>
                <c:tx>
                  <c:strRef>
                    <c:extLst>
                      <c:ext uri="{02D57815-91ED-43cb-92C2-25804820EDAC}">
                        <c15:formulaRef>
                          <c15:sqref>Sheet1!$F$1</c15:sqref>
                        </c15:formulaRef>
                      </c:ext>
                    </c:extLst>
                    <c:strCache>
                      <c:ptCount val="1"/>
                      <c:pt idx="0">
                        <c:v>O-DRM</c:v>
                      </c:pt>
                    </c:strCache>
                  </c:strRef>
                </c:tx>
                <c:spPr>
                  <a:ln w="28575" cap="rnd">
                    <a:solidFill>
                      <a:schemeClr val="accent5"/>
                    </a:solidFill>
                    <a:round/>
                  </a:ln>
                  <a:effectLst/>
                </c:spPr>
                <c:marker>
                  <c:symbol val="none"/>
                </c:marker>
                <c:cat>
                  <c:numRef>
                    <c:extLst>
                      <c:ext uri="{02D57815-91ED-43cb-92C2-25804820EDAC}">
                        <c15:formulaRef>
                          <c15:sqref>Sheet1!$A$2:$A$14</c15:sqref>
                        </c15:formulaRef>
                      </c:ext>
                    </c:extLst>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extLst>
                      <c:ext uri="{02D57815-91ED-43cb-92C2-25804820EDAC}">
                        <c15:formulaRef>
                          <c15:sqref>Sheet1!$F$2:$F$14</c15:sqref>
                        </c15:formulaRef>
                      </c:ext>
                    </c:extLst>
                    <c:numCache>
                      <c:formatCode>#,##0</c:formatCode>
                      <c:ptCount val="13"/>
                      <c:pt idx="0">
                        <c:v>51103</c:v>
                      </c:pt>
                      <c:pt idx="1">
                        <c:v>45345</c:v>
                      </c:pt>
                      <c:pt idx="2">
                        <c:v>33173</c:v>
                      </c:pt>
                      <c:pt idx="3">
                        <c:v>28442</c:v>
                      </c:pt>
                      <c:pt idx="4">
                        <c:v>27180</c:v>
                      </c:pt>
                      <c:pt idx="5">
                        <c:v>26053</c:v>
                      </c:pt>
                      <c:pt idx="6">
                        <c:v>24869</c:v>
                      </c:pt>
                      <c:pt idx="7">
                        <c:v>23653</c:v>
                      </c:pt>
                      <c:pt idx="8">
                        <c:v>22408</c:v>
                      </c:pt>
                      <c:pt idx="9">
                        <c:v>21147</c:v>
                      </c:pt>
                      <c:pt idx="10">
                        <c:v>19900</c:v>
                      </c:pt>
                      <c:pt idx="11">
                        <c:v>18647</c:v>
                      </c:pt>
                      <c:pt idx="12">
                        <c:v>17385</c:v>
                      </c:pt>
                    </c:numCache>
                  </c:numRef>
                </c:val>
                <c:smooth val="0"/>
                <c:extLst>
                  <c:ext xmlns:c16="http://schemas.microsoft.com/office/drawing/2014/chart" uri="{C3380CC4-5D6E-409C-BE32-E72D297353CC}">
                    <c16:uniqueId val="{00000005-6614-4CFE-B7ED-65D84DB350C7}"/>
                  </c:ext>
                </c:extLst>
              </c15:ser>
            </c15:filteredLineSeries>
          </c:ext>
        </c:extLst>
      </c:lineChart>
      <c:catAx>
        <c:axId val="359149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7952"/>
        <c:crosses val="autoZero"/>
        <c:auto val="1"/>
        <c:lblAlgn val="ctr"/>
        <c:lblOffset val="100"/>
        <c:tickLblSkip val="2"/>
        <c:noMultiLvlLbl val="0"/>
      </c:catAx>
      <c:valAx>
        <c:axId val="359147952"/>
        <c:scaling>
          <c:orientation val="minMax"/>
          <c:min val="0"/>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91492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rgbClr val="C0000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Sheet1!$B$2:$B$14</c:f>
              <c:numCache>
                <c:formatCode>General</c:formatCode>
                <c:ptCount val="13"/>
                <c:pt idx="0">
                  <c:v>54.892751263809622</c:v>
                </c:pt>
                <c:pt idx="1">
                  <c:v>57.637388827000123</c:v>
                </c:pt>
                <c:pt idx="2">
                  <c:v>66.868827289305344</c:v>
                </c:pt>
                <c:pt idx="3">
                  <c:v>73.242550123193226</c:v>
                </c:pt>
                <c:pt idx="4">
                  <c:v>80.510425893350472</c:v>
                </c:pt>
                <c:pt idx="5">
                  <c:v>90.109487753976026</c:v>
                </c:pt>
                <c:pt idx="6">
                  <c:v>100.20105172398469</c:v>
                </c:pt>
                <c:pt idx="7">
                  <c:v>110.94496890240524</c:v>
                </c:pt>
                <c:pt idx="8">
                  <c:v>122.33307235371312</c:v>
                </c:pt>
                <c:pt idx="9">
                  <c:v>134.35076101096328</c:v>
                </c:pt>
                <c:pt idx="10">
                  <c:v>146.97664925266929</c:v>
                </c:pt>
                <c:pt idx="11">
                  <c:v>160.18228549241428</c:v>
                </c:pt>
                <c:pt idx="12">
                  <c:v>173.93194979025472</c:v>
                </c:pt>
              </c:numCache>
            </c:numRef>
          </c:val>
          <c:extLst>
            <c:ext xmlns:c16="http://schemas.microsoft.com/office/drawing/2014/chart" uri="{C3380CC4-5D6E-409C-BE32-E72D297353CC}">
              <c16:uniqueId val="{00000000-C2AE-4949-88DA-EC00FF2FE67B}"/>
            </c:ext>
          </c:extLst>
        </c:ser>
        <c:dLbls>
          <c:dLblPos val="outEnd"/>
          <c:showLegendKey val="0"/>
          <c:showVal val="1"/>
          <c:showCatName val="0"/>
          <c:showSerName val="0"/>
          <c:showPercent val="0"/>
          <c:showBubbleSize val="0"/>
        </c:dLbls>
        <c:gapWidth val="219"/>
        <c:overlap val="-27"/>
        <c:axId val="957160880"/>
        <c:axId val="957158256"/>
      </c:barChart>
      <c:catAx>
        <c:axId val="957160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7158256"/>
        <c:crosses val="autoZero"/>
        <c:auto val="1"/>
        <c:lblAlgn val="ctr"/>
        <c:lblOffset val="100"/>
        <c:noMultiLvlLbl val="0"/>
      </c:catAx>
      <c:valAx>
        <c:axId val="9571582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a:t>USD (Millions)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7160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944838345673"/>
          <c:y val="4.7567445086280413E-2"/>
          <c:w val="0.7728775054958863"/>
          <c:h val="0.76484113411547838"/>
        </c:manualLayout>
      </c:layout>
      <c:barChart>
        <c:barDir val="col"/>
        <c:grouping val="clustered"/>
        <c:varyColors val="0"/>
        <c:ser>
          <c:idx val="0"/>
          <c:order val="0"/>
          <c:tx>
            <c:strRef>
              <c:f>Sheet1!$A$2</c:f>
              <c:strCache>
                <c:ptCount val="1"/>
                <c:pt idx="0">
                  <c:v>New Infections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CC</c:v>
                </c:pt>
                <c:pt idx="1">
                  <c:v>NS</c:v>
                </c:pt>
                <c:pt idx="2">
                  <c:v>O-CCF</c:v>
                </c:pt>
                <c:pt idx="3">
                  <c:v>O-DDF</c:v>
                </c:pt>
                <c:pt idx="4">
                  <c:v>O-DRM</c:v>
                </c:pt>
              </c:strCache>
            </c:strRef>
          </c:cat>
          <c:val>
            <c:numRef>
              <c:f>Sheet1!$B$2:$F$2</c:f>
              <c:numCache>
                <c:formatCode>0%</c:formatCode>
                <c:ptCount val="5"/>
                <c:pt idx="0">
                  <c:v>0.55140831499193654</c:v>
                </c:pt>
                <c:pt idx="1">
                  <c:v>0.85387400728246421</c:v>
                </c:pt>
                <c:pt idx="2">
                  <c:v>0.84218960778148499</c:v>
                </c:pt>
                <c:pt idx="3">
                  <c:v>0.44482874037710585</c:v>
                </c:pt>
                <c:pt idx="4">
                  <c:v>0.82366902315580215</c:v>
                </c:pt>
              </c:numCache>
            </c:numRef>
          </c:val>
          <c:extLst>
            <c:ext xmlns:c16="http://schemas.microsoft.com/office/drawing/2014/chart" uri="{C3380CC4-5D6E-409C-BE32-E72D297353CC}">
              <c16:uniqueId val="{00000000-EDCA-4C65-B1B5-5F384880F292}"/>
            </c:ext>
          </c:extLst>
        </c:ser>
        <c:ser>
          <c:idx val="1"/>
          <c:order val="1"/>
          <c:tx>
            <c:strRef>
              <c:f>Sheet1!$A$3</c:f>
              <c:strCache>
                <c:ptCount val="1"/>
                <c:pt idx="0">
                  <c:v>AIDS Deaths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CC</c:v>
                </c:pt>
                <c:pt idx="1">
                  <c:v>NS</c:v>
                </c:pt>
                <c:pt idx="2">
                  <c:v>O-CCF</c:v>
                </c:pt>
                <c:pt idx="3">
                  <c:v>O-DDF</c:v>
                </c:pt>
                <c:pt idx="4">
                  <c:v>O-DRM</c:v>
                </c:pt>
              </c:strCache>
            </c:strRef>
          </c:cat>
          <c:val>
            <c:numRef>
              <c:f>Sheet1!$B$3:$F$3</c:f>
              <c:numCache>
                <c:formatCode>0%</c:formatCode>
                <c:ptCount val="5"/>
                <c:pt idx="0">
                  <c:v>0.52567790151682769</c:v>
                </c:pt>
                <c:pt idx="1">
                  <c:v>0.82998992059394738</c:v>
                </c:pt>
                <c:pt idx="2">
                  <c:v>0.83056764264817962</c:v>
                </c:pt>
                <c:pt idx="3">
                  <c:v>0.52487892420778326</c:v>
                </c:pt>
                <c:pt idx="4">
                  <c:v>0.83125599232981784</c:v>
                </c:pt>
              </c:numCache>
            </c:numRef>
          </c:val>
          <c:extLst>
            <c:ext xmlns:c16="http://schemas.microsoft.com/office/drawing/2014/chart" uri="{C3380CC4-5D6E-409C-BE32-E72D297353CC}">
              <c16:uniqueId val="{00000001-EDCA-4C65-B1B5-5F384880F292}"/>
            </c:ext>
          </c:extLst>
        </c:ser>
        <c:dLbls>
          <c:showLegendKey val="0"/>
          <c:showVal val="0"/>
          <c:showCatName val="0"/>
          <c:showSerName val="0"/>
          <c:showPercent val="0"/>
          <c:showBubbleSize val="0"/>
        </c:dLbls>
        <c:gapWidth val="100"/>
        <c:axId val="679893512"/>
        <c:axId val="679895480"/>
      </c:barChart>
      <c:lineChart>
        <c:grouping val="standard"/>
        <c:varyColors val="0"/>
        <c:ser>
          <c:idx val="2"/>
          <c:order val="2"/>
          <c:tx>
            <c:strRef>
              <c:f>Sheet1!$A$4</c:f>
              <c:strCache>
                <c:ptCount val="1"/>
                <c:pt idx="0">
                  <c:v>Total costs</c:v>
                </c:pt>
              </c:strCache>
            </c:strRef>
          </c:tx>
          <c:spPr>
            <a:ln w="28575" cap="rnd">
              <a:solidFill>
                <a:schemeClr val="accent1">
                  <a:lumMod val="60000"/>
                  <a:lumOff val="40000"/>
                </a:schemeClr>
              </a:solidFill>
              <a:round/>
            </a:ln>
            <a:effectLst/>
          </c:spPr>
          <c:marker>
            <c:symbol val="none"/>
          </c:marker>
          <c:dLbls>
            <c:dLbl>
              <c:idx val="0"/>
              <c:layout>
                <c:manualLayout>
                  <c:x val="-3.0156675657309784E-2"/>
                  <c:y val="-5.7427931868128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CA-4C65-B1B5-5F384880F292}"/>
                </c:ext>
              </c:extLst>
            </c:dLbl>
            <c:dLbl>
              <c:idx val="1"/>
              <c:layout>
                <c:manualLayout>
                  <c:x val="-3.1107190480692784E-2"/>
                  <c:y val="0.10550406404366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CA-4C65-B1B5-5F384880F292}"/>
                </c:ext>
              </c:extLst>
            </c:dLbl>
            <c:dLbl>
              <c:idx val="2"/>
              <c:layout>
                <c:manualLayout>
                  <c:x val="-2.6026444693572234E-2"/>
                  <c:y val="9.0006642580422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CA-4C65-B1B5-5F384880F292}"/>
                </c:ext>
              </c:extLst>
            </c:dLbl>
            <c:dLbl>
              <c:idx val="3"/>
              <c:layout>
                <c:manualLayout>
                  <c:x val="-1.1830202133441886E-3"/>
                  <c:y val="6.0004428386948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CA-4C65-B1B5-5F384880F292}"/>
                </c:ext>
              </c:extLst>
            </c:dLbl>
            <c:dLbl>
              <c:idx val="4"/>
              <c:layout>
                <c:manualLayout>
                  <c:x val="-4.7320808533769278E-3"/>
                  <c:y val="4.091211026382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CA-4C65-B1B5-5F384880F292}"/>
                </c:ext>
              </c:extLst>
            </c:dLbl>
            <c:numFmt formatCode="&quot;$&quot;#,##0" sourceLinked="0"/>
            <c:spPr>
              <a:solidFill>
                <a:schemeClr val="accent5">
                  <a:lumMod val="40000"/>
                  <a:lumOff val="6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CC</c:v>
                </c:pt>
                <c:pt idx="1">
                  <c:v>NS</c:v>
                </c:pt>
                <c:pt idx="2">
                  <c:v>O-CCF</c:v>
                </c:pt>
                <c:pt idx="3">
                  <c:v>O-DDF</c:v>
                </c:pt>
                <c:pt idx="4">
                  <c:v>O-DRM</c:v>
                </c:pt>
              </c:strCache>
            </c:strRef>
          </c:cat>
          <c:val>
            <c:numRef>
              <c:f>Sheet1!$B$4:$F$4</c:f>
              <c:numCache>
                <c:formatCode>#,##0</c:formatCode>
                <c:ptCount val="5"/>
                <c:pt idx="0">
                  <c:v>5783</c:v>
                </c:pt>
                <c:pt idx="1">
                  <c:v>8097</c:v>
                </c:pt>
                <c:pt idx="2">
                  <c:v>5641</c:v>
                </c:pt>
                <c:pt idx="3">
                  <c:v>4544</c:v>
                </c:pt>
                <c:pt idx="4">
                  <c:v>5182</c:v>
                </c:pt>
              </c:numCache>
            </c:numRef>
          </c:val>
          <c:smooth val="0"/>
          <c:extLst>
            <c:ext xmlns:c16="http://schemas.microsoft.com/office/drawing/2014/chart" uri="{C3380CC4-5D6E-409C-BE32-E72D297353CC}">
              <c16:uniqueId val="{00000007-EDCA-4C65-B1B5-5F384880F292}"/>
            </c:ext>
          </c:extLst>
        </c:ser>
        <c:dLbls>
          <c:showLegendKey val="0"/>
          <c:showVal val="0"/>
          <c:showCatName val="0"/>
          <c:showSerName val="0"/>
          <c:showPercent val="0"/>
          <c:showBubbleSize val="0"/>
        </c:dLbls>
        <c:marker val="1"/>
        <c:smooth val="0"/>
        <c:axId val="1037313056"/>
        <c:axId val="1037312728"/>
      </c:lineChart>
      <c:catAx>
        <c:axId val="679893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79895480"/>
        <c:crosses val="autoZero"/>
        <c:auto val="1"/>
        <c:lblAlgn val="ctr"/>
        <c:lblOffset val="100"/>
        <c:noMultiLvlLbl val="0"/>
      </c:catAx>
      <c:valAx>
        <c:axId val="679895480"/>
        <c:scaling>
          <c:orientation val="minMax"/>
          <c:max val="1"/>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Reduction from 2010 to 2030</a:t>
                </a:r>
              </a:p>
            </c:rich>
          </c:tx>
          <c:layout>
            <c:manualLayout>
              <c:xMode val="edge"/>
              <c:yMode val="edge"/>
              <c:x val="8.3415548723971521E-3"/>
              <c:y val="0.201235691001440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79893512"/>
        <c:crosses val="autoZero"/>
        <c:crossBetween val="between"/>
      </c:valAx>
      <c:valAx>
        <c:axId val="1037312728"/>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Cost (USD 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37313056"/>
        <c:crosses val="max"/>
        <c:crossBetween val="between"/>
      </c:valAx>
      <c:catAx>
        <c:axId val="1037313056"/>
        <c:scaling>
          <c:orientation val="minMax"/>
        </c:scaling>
        <c:delete val="1"/>
        <c:axPos val="b"/>
        <c:numFmt formatCode="General" sourceLinked="1"/>
        <c:majorTickMark val="out"/>
        <c:minorTickMark val="none"/>
        <c:tickLblPos val="nextTo"/>
        <c:crossAx val="1037312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50481189851283E-2"/>
          <c:y val="7.60966938991781E-2"/>
          <c:w val="0.87040556918090162"/>
          <c:h val="0.71544336007294862"/>
        </c:manualLayout>
      </c:layout>
      <c:barChart>
        <c:barDir val="col"/>
        <c:grouping val="stacked"/>
        <c:varyColors val="0"/>
        <c:ser>
          <c:idx val="0"/>
          <c:order val="0"/>
          <c:tx>
            <c:strRef>
              <c:f>Sheet1!$B$1</c:f>
              <c:strCache>
                <c:ptCount val="1"/>
                <c:pt idx="0">
                  <c:v>Domestic</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2020</c:v>
                </c:pt>
              </c:numCache>
            </c:numRef>
          </c:cat>
          <c:val>
            <c:numRef>
              <c:f>Sheet1!$B$2:$B$6</c:f>
              <c:numCache>
                <c:formatCode>General</c:formatCode>
                <c:ptCount val="5"/>
                <c:pt idx="0">
                  <c:v>36.799999999999997</c:v>
                </c:pt>
                <c:pt idx="1">
                  <c:v>49.8</c:v>
                </c:pt>
                <c:pt idx="2">
                  <c:v>52.3</c:v>
                </c:pt>
                <c:pt idx="3">
                  <c:v>54.9</c:v>
                </c:pt>
                <c:pt idx="4">
                  <c:v>65</c:v>
                </c:pt>
              </c:numCache>
            </c:numRef>
          </c:val>
          <c:extLst>
            <c:ext xmlns:c16="http://schemas.microsoft.com/office/drawing/2014/chart" uri="{C3380CC4-5D6E-409C-BE32-E72D297353CC}">
              <c16:uniqueId val="{00000000-A3B3-434C-964D-D90CB7564DC5}"/>
            </c:ext>
          </c:extLst>
        </c:ser>
        <c:ser>
          <c:idx val="1"/>
          <c:order val="1"/>
          <c:tx>
            <c:strRef>
              <c:f>Sheet1!$C$1</c:f>
              <c:strCache>
                <c:ptCount val="1"/>
                <c:pt idx="0">
                  <c:v>External</c:v>
                </c:pt>
              </c:strCache>
            </c:strRef>
          </c:tx>
          <c:spPr>
            <a:solidFill>
              <a:schemeClr val="accent6">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2020</c:v>
                </c:pt>
              </c:numCache>
            </c:numRef>
          </c:cat>
          <c:val>
            <c:numRef>
              <c:f>Sheet1!$C$2:$C$6</c:f>
              <c:numCache>
                <c:formatCode>General</c:formatCode>
                <c:ptCount val="5"/>
                <c:pt idx="0">
                  <c:v>317.7</c:v>
                </c:pt>
                <c:pt idx="1">
                  <c:v>425.00000000000006</c:v>
                </c:pt>
                <c:pt idx="2">
                  <c:v>554.5</c:v>
                </c:pt>
                <c:pt idx="3">
                  <c:v>544.4</c:v>
                </c:pt>
                <c:pt idx="4">
                  <c:v>407.7</c:v>
                </c:pt>
              </c:numCache>
            </c:numRef>
          </c:val>
          <c:extLst>
            <c:ext xmlns:c16="http://schemas.microsoft.com/office/drawing/2014/chart" uri="{C3380CC4-5D6E-409C-BE32-E72D297353CC}">
              <c16:uniqueId val="{00000001-A3B3-434C-964D-D90CB7564DC5}"/>
            </c:ext>
          </c:extLst>
        </c:ser>
        <c:dLbls>
          <c:showLegendKey val="0"/>
          <c:showVal val="0"/>
          <c:showCatName val="0"/>
          <c:showSerName val="0"/>
          <c:showPercent val="0"/>
          <c:showBubbleSize val="0"/>
        </c:dLbls>
        <c:gapWidth val="150"/>
        <c:overlap val="100"/>
        <c:axId val="380581688"/>
        <c:axId val="380572504"/>
      </c:barChart>
      <c:catAx>
        <c:axId val="380581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572504"/>
        <c:crosses val="autoZero"/>
        <c:auto val="1"/>
        <c:lblAlgn val="ctr"/>
        <c:lblOffset val="100"/>
        <c:noMultiLvlLbl val="0"/>
      </c:catAx>
      <c:valAx>
        <c:axId val="380572504"/>
        <c:scaling>
          <c:orientation val="minMax"/>
          <c:max val="700"/>
          <c:min val="0"/>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financing (USD Millions)</a:t>
                </a:r>
              </a:p>
            </c:rich>
          </c:tx>
          <c:layout>
            <c:manualLayout>
              <c:xMode val="edge"/>
              <c:yMode val="edge"/>
              <c:x val="1.5113197940421385E-2"/>
              <c:y val="0.1464044968883138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alpha val="64000"/>
              </a:schemeClr>
            </a:solid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581688"/>
        <c:crosses val="autoZero"/>
        <c:crossBetween val="between"/>
      </c:valAx>
      <c:spPr>
        <a:noFill/>
        <a:ln>
          <a:noFill/>
        </a:ln>
        <a:effectLst/>
      </c:spPr>
    </c:plotArea>
    <c:legend>
      <c:legendPos val="b"/>
      <c:layout>
        <c:manualLayout>
          <c:xMode val="edge"/>
          <c:yMode val="edge"/>
          <c:x val="0.24452619025777453"/>
          <c:y val="0.89878431786316271"/>
          <c:w val="0.57362511552438122"/>
          <c:h val="6.870354322229213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sz="8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0" i="1"/>
              <a:t>Figure 2-1. HIV-related deaths and new HIV infections 1990-2017</a:t>
            </a:r>
          </a:p>
        </c:rich>
      </c:tx>
      <c:layout>
        <c:manualLayout>
          <c:xMode val="edge"/>
          <c:yMode val="edge"/>
          <c:x val="0.24243219597550306"/>
          <c:y val="1.567398119122256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96168785043904"/>
          <c:y val="6.0109289617486336E-2"/>
          <c:w val="0.81368103939022973"/>
          <c:h val="0.81978142076502736"/>
        </c:manualLayout>
      </c:layout>
      <c:lineChart>
        <c:grouping val="standard"/>
        <c:varyColors val="0"/>
        <c:ser>
          <c:idx val="0"/>
          <c:order val="0"/>
          <c:tx>
            <c:v>Deaths</c:v>
          </c:tx>
          <c:spPr>
            <a:ln w="50800" cap="rnd">
              <a:solidFill>
                <a:schemeClr val="accent1"/>
              </a:solidFill>
              <a:round/>
            </a:ln>
            <a:effectLst/>
          </c:spPr>
          <c:marker>
            <c:symbol val="none"/>
          </c:marker>
          <c:cat>
            <c:strRef>
              <c:f>'01-'!$A$3:$A$30</c:f>
              <c:strCach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strCache>
            </c:strRef>
          </c:cat>
          <c:val>
            <c:numRef>
              <c:f>'02-'!$B$3:$B$30</c:f>
              <c:numCache>
                <c:formatCode>General</c:formatCode>
                <c:ptCount val="28"/>
                <c:pt idx="0">
                  <c:v>19157</c:v>
                </c:pt>
                <c:pt idx="1">
                  <c:v>25229</c:v>
                </c:pt>
                <c:pt idx="2">
                  <c:v>32334</c:v>
                </c:pt>
                <c:pt idx="3">
                  <c:v>40326</c:v>
                </c:pt>
                <c:pt idx="4">
                  <c:v>48927</c:v>
                </c:pt>
                <c:pt idx="5">
                  <c:v>57809</c:v>
                </c:pt>
                <c:pt idx="6">
                  <c:v>66699</c:v>
                </c:pt>
                <c:pt idx="7">
                  <c:v>75288</c:v>
                </c:pt>
                <c:pt idx="8">
                  <c:v>83343</c:v>
                </c:pt>
                <c:pt idx="9">
                  <c:v>90625</c:v>
                </c:pt>
                <c:pt idx="10">
                  <c:v>97105</c:v>
                </c:pt>
                <c:pt idx="11">
                  <c:v>102588</c:v>
                </c:pt>
                <c:pt idx="12">
                  <c:v>106777</c:v>
                </c:pt>
                <c:pt idx="13">
                  <c:v>109633</c:v>
                </c:pt>
                <c:pt idx="14">
                  <c:v>111312</c:v>
                </c:pt>
                <c:pt idx="15">
                  <c:v>111308</c:v>
                </c:pt>
                <c:pt idx="16">
                  <c:v>107416</c:v>
                </c:pt>
                <c:pt idx="17">
                  <c:v>94891</c:v>
                </c:pt>
                <c:pt idx="18">
                  <c:v>77925</c:v>
                </c:pt>
                <c:pt idx="19">
                  <c:v>75350</c:v>
                </c:pt>
                <c:pt idx="20">
                  <c:v>69574</c:v>
                </c:pt>
                <c:pt idx="21">
                  <c:v>62458</c:v>
                </c:pt>
                <c:pt idx="22">
                  <c:v>63377</c:v>
                </c:pt>
                <c:pt idx="23">
                  <c:v>50074</c:v>
                </c:pt>
                <c:pt idx="24">
                  <c:v>43337</c:v>
                </c:pt>
                <c:pt idx="25">
                  <c:v>36967</c:v>
                </c:pt>
                <c:pt idx="26">
                  <c:v>34221</c:v>
                </c:pt>
                <c:pt idx="27">
                  <c:v>31837</c:v>
                </c:pt>
              </c:numCache>
            </c:numRef>
          </c:val>
          <c:smooth val="0"/>
          <c:extLst>
            <c:ext xmlns:c16="http://schemas.microsoft.com/office/drawing/2014/chart" uri="{C3380CC4-5D6E-409C-BE32-E72D297353CC}">
              <c16:uniqueId val="{00000000-1632-4AD1-ABD4-D3C3DC6117A4}"/>
            </c:ext>
          </c:extLst>
        </c:ser>
        <c:ser>
          <c:idx val="1"/>
          <c:order val="1"/>
          <c:tx>
            <c:v>Infections</c:v>
          </c:tx>
          <c:spPr>
            <a:ln w="50800" cap="rnd">
              <a:solidFill>
                <a:srgbClr val="C00000"/>
              </a:solidFill>
              <a:round/>
            </a:ln>
            <a:effectLst/>
          </c:spPr>
          <c:marker>
            <c:symbol val="none"/>
          </c:marker>
          <c:cat>
            <c:strRef>
              <c:f>'01-'!$A$3:$A$30</c:f>
              <c:strCach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strCache>
            </c:strRef>
          </c:cat>
          <c:val>
            <c:numRef>
              <c:f>'01-'!$B$3:$B$30</c:f>
              <c:numCache>
                <c:formatCode>General</c:formatCode>
                <c:ptCount val="28"/>
                <c:pt idx="0" formatCode="_(* #,##0.00_);_(* \(#,##0.00\);_(* &quot;-&quot;??_);_(@_)">
                  <c:v>137553</c:v>
                </c:pt>
                <c:pt idx="1">
                  <c:v>151108</c:v>
                </c:pt>
                <c:pt idx="2">
                  <c:v>163359</c:v>
                </c:pt>
                <c:pt idx="3">
                  <c:v>166618</c:v>
                </c:pt>
                <c:pt idx="4">
                  <c:v>167832</c:v>
                </c:pt>
                <c:pt idx="5">
                  <c:v>163973</c:v>
                </c:pt>
                <c:pt idx="6">
                  <c:v>157800</c:v>
                </c:pt>
                <c:pt idx="7">
                  <c:v>149603</c:v>
                </c:pt>
                <c:pt idx="8">
                  <c:v>139498</c:v>
                </c:pt>
                <c:pt idx="9">
                  <c:v>127598</c:v>
                </c:pt>
                <c:pt idx="10">
                  <c:v>120610</c:v>
                </c:pt>
                <c:pt idx="11">
                  <c:v>112339</c:v>
                </c:pt>
                <c:pt idx="12">
                  <c:v>106948</c:v>
                </c:pt>
                <c:pt idx="13">
                  <c:v>104845</c:v>
                </c:pt>
                <c:pt idx="14">
                  <c:v>100158</c:v>
                </c:pt>
                <c:pt idx="15">
                  <c:v>95063</c:v>
                </c:pt>
                <c:pt idx="16">
                  <c:v>95613</c:v>
                </c:pt>
                <c:pt idx="17">
                  <c:v>95172</c:v>
                </c:pt>
                <c:pt idx="18">
                  <c:v>92456</c:v>
                </c:pt>
                <c:pt idx="19">
                  <c:v>90711</c:v>
                </c:pt>
                <c:pt idx="20">
                  <c:v>84169</c:v>
                </c:pt>
                <c:pt idx="21">
                  <c:v>82606</c:v>
                </c:pt>
                <c:pt idx="22">
                  <c:v>82724</c:v>
                </c:pt>
                <c:pt idx="23">
                  <c:v>78679</c:v>
                </c:pt>
                <c:pt idx="24">
                  <c:v>75751</c:v>
                </c:pt>
                <c:pt idx="25">
                  <c:v>72616</c:v>
                </c:pt>
                <c:pt idx="26">
                  <c:v>69716</c:v>
                </c:pt>
                <c:pt idx="27">
                  <c:v>65284</c:v>
                </c:pt>
              </c:numCache>
            </c:numRef>
          </c:val>
          <c:smooth val="0"/>
          <c:extLst>
            <c:ext xmlns:c16="http://schemas.microsoft.com/office/drawing/2014/chart" uri="{C3380CC4-5D6E-409C-BE32-E72D297353CC}">
              <c16:uniqueId val="{00000001-1632-4AD1-ABD4-D3C3DC6117A4}"/>
            </c:ext>
          </c:extLst>
        </c:ser>
        <c:dLbls>
          <c:showLegendKey val="0"/>
          <c:showVal val="0"/>
          <c:showCatName val="0"/>
          <c:showSerName val="0"/>
          <c:showPercent val="0"/>
          <c:showBubbleSize val="0"/>
        </c:dLbls>
        <c:smooth val="0"/>
        <c:axId val="904103512"/>
        <c:axId val="904102528"/>
      </c:lineChart>
      <c:catAx>
        <c:axId val="904103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4102528"/>
        <c:crosses val="autoZero"/>
        <c:auto val="1"/>
        <c:lblAlgn val="ctr"/>
        <c:lblOffset val="100"/>
        <c:tickLblSkip val="5"/>
        <c:noMultiLvlLbl val="0"/>
      </c:catAx>
      <c:valAx>
        <c:axId val="904102528"/>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4103512"/>
        <c:crosses val="autoZero"/>
        <c:crossBetween val="between"/>
        <c:majorUnit val="40000"/>
      </c:valAx>
      <c:spPr>
        <a:noFill/>
        <a:ln>
          <a:noFill/>
        </a:ln>
        <a:effectLst/>
      </c:spPr>
    </c:plotArea>
    <c:legend>
      <c:legendPos val="r"/>
      <c:layout>
        <c:manualLayout>
          <c:xMode val="edge"/>
          <c:yMode val="edge"/>
          <c:x val="0.64212189233584105"/>
          <c:y val="0.17787143410352393"/>
          <c:w val="0.30989337635690861"/>
          <c:h val="0.2495804758276183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cx:f>
        <cx:lvl ptCount="5">
          <cx:pt idx="0">Baseline ART unit cost</cx:pt>
          <cx:pt idx="1">DTG switch</cx:pt>
          <cx:pt idx="2">DSDM labs</cx:pt>
          <cx:pt idx="3">Comm-based support</cx:pt>
          <cx:pt idx="4">ART unit cost + TEs</cx:pt>
        </cx:lvl>
      </cx:strDim>
      <cx:numDim type="val">
        <cx:f>Sheet1!$B$2:$B$6</cx:f>
        <cx:lvl ptCount="5" formatCode="General">
          <cx:pt idx="0">205</cx:pt>
          <cx:pt idx="1">-15</cx:pt>
          <cx:pt idx="2">-14</cx:pt>
          <cx:pt idx="3">-20</cx:pt>
          <cx:pt idx="4">156</cx:pt>
        </cx:lvl>
      </cx:numDim>
    </cx:data>
  </cx:chartData>
  <cx:chart>
    <cx:title pos="t" align="ctr" overlay="0">
      <cx:txPr>
        <a:bodyPr spcFirstLastPara="1" vertOverflow="ellipsis" horzOverflow="overflow" wrap="square" lIns="0" tIns="0" rIns="0" bIns="0" anchor="ctr" anchorCtr="1"/>
        <a:lstStyle/>
        <a:p>
          <a:pPr algn="ctr" rtl="0">
            <a:defRPr sz="9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US" sz="900" b="1" i="0" u="none" strike="noStrike" baseline="0">
            <a:solidFill>
              <a:schemeClr val="tx1"/>
            </a:solidFill>
            <a:latin typeface="Arial" panose="020B0604020202020204" pitchFamily="34" charset="0"/>
            <a:cs typeface="Arial" panose="020B0604020202020204" pitchFamily="34" charset="0"/>
          </a:endParaRPr>
        </a:p>
      </cx:txPr>
    </cx:title>
    <cx:plotArea>
      <cx:plotAreaRegion>
        <cx:series layoutId="waterfall" uniqueId="{38A556C5-E489-48E2-9F33-E7E3BE67F6FC}">
          <cx:tx>
            <cx:txData>
              <cx:f>Sheet1!$B$1</cx:f>
              <cx:v>Series1</cx:v>
            </cx:txData>
          </cx:tx>
          <cx:dataLabels pos="outEnd">
            <cx:txPr>
              <a:bodyPr vertOverflow="overflow" horzOverflow="overflow" wrap="square" lIns="0" tIns="0" rIns="0" bIns="0"/>
              <a:lstStyle/>
              <a:p>
                <a:pPr algn="ctr" rtl="0">
                  <a:defRPr sz="9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US" sz="900" b="1">
                  <a:solidFill>
                    <a:schemeClr val="tx1"/>
                  </a:solidFill>
                  <a:latin typeface="Arial" panose="020B0604020202020204" pitchFamily="34" charset="0"/>
                  <a:cs typeface="Arial" panose="020B0604020202020204" pitchFamily="34" charset="0"/>
                </a:endParaRPr>
              </a:p>
            </cx:txPr>
            <cx:visibility seriesName="0" categoryName="0" value="1"/>
          </cx:dataLabels>
          <cx:dataId val="0"/>
          <cx:layoutPr>
            <cx:subtotals>
              <cx:idx val="0"/>
              <cx:idx val="4"/>
            </cx:subtotals>
          </cx:layoutPr>
        </cx:series>
      </cx:plotAreaRegion>
      <cx:axis id="0">
        <cx:catScaling gapWidth="0.5"/>
        <cx:tickLabels/>
        <cx:spPr>
          <a:ln>
            <a:solidFill>
              <a:schemeClr val="tx1"/>
            </a:solidFill>
          </a:ln>
        </cx:spPr>
        <cx:txPr>
          <a:bodyPr vertOverflow="overflow" horzOverflow="overflow" wrap="square" lIns="0" tIns="0" rIns="0" bIns="0"/>
          <a:lstStyle/>
          <a:p>
            <a:pPr algn="ctr" rtl="0">
              <a:defRPr sz="8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US" sz="800" b="1">
              <a:solidFill>
                <a:schemeClr val="tx1"/>
              </a:solidFill>
              <a:latin typeface="Arial" panose="020B0604020202020204" pitchFamily="34" charset="0"/>
              <a:cs typeface="Arial" panose="020B0604020202020204" pitchFamily="34" charset="0"/>
            </a:endParaRPr>
          </a:p>
        </cx:txPr>
      </cx:axis>
      <cx:axis id="1">
        <cx:valScaling/>
        <cx:title>
          <cx:tx>
            <cx:txData>
              <cx:v>USD </cx:v>
            </cx:txData>
          </cx:tx>
          <cx:txPr>
            <a:bodyPr spcFirstLastPara="1" vertOverflow="ellipsis" horzOverflow="overflow" wrap="square" lIns="0" tIns="0" rIns="0" bIns="0" anchor="ctr" anchorCtr="1"/>
            <a:lstStyle/>
            <a:p>
              <a:pPr algn="ctr" rtl="0">
                <a:defRPr>
                  <a:solidFill>
                    <a:schemeClr val="tx1"/>
                  </a:solidFill>
                </a:defRPr>
              </a:pPr>
              <a:r>
                <a:rPr lang="en-US" sz="900" b="1" i="0" u="none" strike="noStrike" baseline="0">
                  <a:solidFill>
                    <a:schemeClr val="tx1"/>
                  </a:solidFill>
                  <a:latin typeface="Arial" panose="020B0604020202020204" pitchFamily="34" charset="0"/>
                  <a:cs typeface="Arial" panose="020B0604020202020204" pitchFamily="34" charset="0"/>
                </a:rPr>
                <a:t>USD </a:t>
              </a:r>
            </a:p>
          </cx:txPr>
        </cx:title>
        <cx:tickLabels/>
        <cx:spPr>
          <a:ln>
            <a:solidFill>
              <a:schemeClr val="tx1"/>
            </a:solidFill>
          </a:ln>
        </cx:spPr>
        <cx:txPr>
          <a:bodyPr vertOverflow="overflow" horzOverflow="overflow" wrap="square" lIns="0" tIns="0" rIns="0" bIns="0"/>
          <a:lstStyle/>
          <a:p>
            <a:pPr algn="ctr" rtl="0">
              <a:defRPr sz="9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US" sz="900" b="1">
              <a:solidFill>
                <a:schemeClr val="tx1"/>
              </a:solidFill>
              <a:latin typeface="Arial" panose="020B0604020202020204" pitchFamily="34" charset="0"/>
              <a:cs typeface="Arial" panose="020B0604020202020204" pitchFamily="34" charset="0"/>
            </a:endParaRPr>
          </a:p>
        </cx:txPr>
      </cx:axis>
    </cx:plotArea>
  </cx:chart>
  <cx:spPr>
    <a:ln>
      <a:solidFill>
        <a:schemeClr val="tx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0.78484</cdr:x>
      <cdr:y>0.2702</cdr:y>
    </cdr:from>
    <cdr:to>
      <cdr:x>0.98748</cdr:x>
      <cdr:y>0.89437</cdr:y>
    </cdr:to>
    <cdr:sp macro="" textlink="">
      <cdr:nvSpPr>
        <cdr:cNvPr id="2" name="Oval 1">
          <a:extLst xmlns:a="http://schemas.openxmlformats.org/drawingml/2006/main">
            <a:ext uri="{FF2B5EF4-FFF2-40B4-BE49-F238E27FC236}">
              <a16:creationId xmlns:a16="http://schemas.microsoft.com/office/drawing/2014/main" id="{8A337275-8028-4FC9-916A-F1EE28AE63AC}"/>
            </a:ext>
          </a:extLst>
        </cdr:cNvPr>
        <cdr:cNvSpPr/>
      </cdr:nvSpPr>
      <cdr:spPr>
        <a:xfrm xmlns:a="http://schemas.openxmlformats.org/drawingml/2006/main">
          <a:off x="4377724" y="877108"/>
          <a:ext cx="1130294" cy="2026112"/>
        </a:xfrm>
        <a:prstGeom xmlns:a="http://schemas.openxmlformats.org/drawingml/2006/main" prst="ellipse">
          <a:avLst/>
        </a:prstGeom>
        <a:noFill xmlns:a="http://schemas.openxmlformats.org/drawingml/2006/main"/>
        <a:ln xmlns:a="http://schemas.openxmlformats.org/drawingml/2006/main" w="3810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b="1" dirty="0"/>
        </a:p>
      </cdr:txBody>
    </cdr:sp>
  </cdr:relSizeAnchor>
  <cdr:relSizeAnchor xmlns:cdr="http://schemas.openxmlformats.org/drawingml/2006/chartDrawing">
    <cdr:from>
      <cdr:x>0.60105</cdr:x>
      <cdr:y>0.16504</cdr:y>
    </cdr:from>
    <cdr:to>
      <cdr:x>0.88757</cdr:x>
      <cdr:y>0.26552</cdr:y>
    </cdr:to>
    <cdr:cxnSp macro="">
      <cdr:nvCxnSpPr>
        <cdr:cNvPr id="4" name="Connector: Elbow 3">
          <a:extLst xmlns:a="http://schemas.openxmlformats.org/drawingml/2006/main">
            <a:ext uri="{FF2B5EF4-FFF2-40B4-BE49-F238E27FC236}">
              <a16:creationId xmlns:a16="http://schemas.microsoft.com/office/drawing/2014/main" id="{9778F0D8-5C34-4E2F-AB26-653976350579}"/>
            </a:ext>
          </a:extLst>
        </cdr:cNvPr>
        <cdr:cNvCxnSpPr/>
      </cdr:nvCxnSpPr>
      <cdr:spPr>
        <a:xfrm xmlns:a="http://schemas.openxmlformats.org/drawingml/2006/main">
          <a:off x="3352546" y="535746"/>
          <a:ext cx="1598163" cy="326170"/>
        </a:xfrm>
        <a:prstGeom xmlns:a="http://schemas.openxmlformats.org/drawingml/2006/main" prst="bentConnector3">
          <a:avLst>
            <a:gd name="adj1" fmla="val 99430"/>
          </a:avLst>
        </a:prstGeom>
        <a:ln xmlns:a="http://schemas.openxmlformats.org/drawingml/2006/main" w="3810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0.10301</cdr:x>
      <cdr:y>0.12895</cdr:y>
    </cdr:from>
    <cdr:to>
      <cdr:x>0.28859</cdr:x>
      <cdr:y>0.12895</cdr:y>
    </cdr:to>
    <cdr:cxnSp macro="">
      <cdr:nvCxnSpPr>
        <cdr:cNvPr id="3" name="Straight Connector 2">
          <a:extLst xmlns:a="http://schemas.openxmlformats.org/drawingml/2006/main">
            <a:ext uri="{FF2B5EF4-FFF2-40B4-BE49-F238E27FC236}">
              <a16:creationId xmlns:a16="http://schemas.microsoft.com/office/drawing/2014/main" id="{93F8FDF5-5413-4783-B659-F9E93B374F16}"/>
            </a:ext>
          </a:extLst>
        </cdr:cNvPr>
        <cdr:cNvCxnSpPr/>
      </cdr:nvCxnSpPr>
      <cdr:spPr>
        <a:xfrm xmlns:a="http://schemas.openxmlformats.org/drawingml/2006/main">
          <a:off x="612227" y="383207"/>
          <a:ext cx="1103014" cy="0"/>
        </a:xfrm>
        <a:prstGeom xmlns:a="http://schemas.openxmlformats.org/drawingml/2006/main" prst="line">
          <a:avLst/>
        </a:prstGeom>
        <a:ln xmlns:a="http://schemas.openxmlformats.org/drawingml/2006/main" w="50800">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0.54689</cdr:x>
      <cdr:y>0.12205</cdr:y>
    </cdr:from>
    <cdr:to>
      <cdr:x>0.75661</cdr:x>
      <cdr:y>0.12205</cdr:y>
    </cdr:to>
    <cdr:cxnSp macro="">
      <cdr:nvCxnSpPr>
        <cdr:cNvPr id="4" name="Straight Connector 3">
          <a:extLst xmlns:a="http://schemas.openxmlformats.org/drawingml/2006/main">
            <a:ext uri="{FF2B5EF4-FFF2-40B4-BE49-F238E27FC236}">
              <a16:creationId xmlns:a16="http://schemas.microsoft.com/office/drawing/2014/main" id="{13005C52-4E5E-4ABF-89F2-247605366D82}"/>
            </a:ext>
          </a:extLst>
        </cdr:cNvPr>
        <cdr:cNvCxnSpPr/>
      </cdr:nvCxnSpPr>
      <cdr:spPr>
        <a:xfrm xmlns:a="http://schemas.openxmlformats.org/drawingml/2006/main">
          <a:off x="3250495" y="362723"/>
          <a:ext cx="1246492" cy="0"/>
        </a:xfrm>
        <a:prstGeom xmlns:a="http://schemas.openxmlformats.org/drawingml/2006/main" prst="line">
          <a:avLst/>
        </a:prstGeom>
        <a:ln xmlns:a="http://schemas.openxmlformats.org/drawingml/2006/main" w="50800">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0.78484</cdr:x>
      <cdr:y>0.2702</cdr:y>
    </cdr:from>
    <cdr:to>
      <cdr:x>0.98748</cdr:x>
      <cdr:y>0.89437</cdr:y>
    </cdr:to>
    <cdr:sp macro="" textlink="">
      <cdr:nvSpPr>
        <cdr:cNvPr id="2" name="Oval 1">
          <a:extLst xmlns:a="http://schemas.openxmlformats.org/drawingml/2006/main">
            <a:ext uri="{FF2B5EF4-FFF2-40B4-BE49-F238E27FC236}">
              <a16:creationId xmlns:a16="http://schemas.microsoft.com/office/drawing/2014/main" id="{8A337275-8028-4FC9-916A-F1EE28AE63AC}"/>
            </a:ext>
          </a:extLst>
        </cdr:cNvPr>
        <cdr:cNvSpPr/>
      </cdr:nvSpPr>
      <cdr:spPr>
        <a:xfrm xmlns:a="http://schemas.openxmlformats.org/drawingml/2006/main">
          <a:off x="4377724" y="877108"/>
          <a:ext cx="1130294" cy="2026112"/>
        </a:xfrm>
        <a:prstGeom xmlns:a="http://schemas.openxmlformats.org/drawingml/2006/main" prst="ellipse">
          <a:avLst/>
        </a:prstGeom>
        <a:noFill xmlns:a="http://schemas.openxmlformats.org/drawingml/2006/main"/>
        <a:ln xmlns:a="http://schemas.openxmlformats.org/drawingml/2006/main" w="3810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b="1" dirty="0"/>
        </a:p>
      </cdr:txBody>
    </cdr:sp>
  </cdr:relSizeAnchor>
  <cdr:relSizeAnchor xmlns:cdr="http://schemas.openxmlformats.org/drawingml/2006/chartDrawing">
    <cdr:from>
      <cdr:x>0.60105</cdr:x>
      <cdr:y>0.16504</cdr:y>
    </cdr:from>
    <cdr:to>
      <cdr:x>0.88757</cdr:x>
      <cdr:y>0.26552</cdr:y>
    </cdr:to>
    <cdr:cxnSp macro="">
      <cdr:nvCxnSpPr>
        <cdr:cNvPr id="4" name="Connector: Elbow 3">
          <a:extLst xmlns:a="http://schemas.openxmlformats.org/drawingml/2006/main">
            <a:ext uri="{FF2B5EF4-FFF2-40B4-BE49-F238E27FC236}">
              <a16:creationId xmlns:a16="http://schemas.microsoft.com/office/drawing/2014/main" id="{9778F0D8-5C34-4E2F-AB26-653976350579}"/>
            </a:ext>
          </a:extLst>
        </cdr:cNvPr>
        <cdr:cNvCxnSpPr/>
      </cdr:nvCxnSpPr>
      <cdr:spPr>
        <a:xfrm xmlns:a="http://schemas.openxmlformats.org/drawingml/2006/main">
          <a:off x="3352546" y="535746"/>
          <a:ext cx="1598163" cy="326170"/>
        </a:xfrm>
        <a:prstGeom xmlns:a="http://schemas.openxmlformats.org/drawingml/2006/main" prst="bentConnector3">
          <a:avLst>
            <a:gd name="adj1" fmla="val 99430"/>
          </a:avLst>
        </a:prstGeom>
        <a:ln xmlns:a="http://schemas.openxmlformats.org/drawingml/2006/main" w="3810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0.06938</cdr:x>
      <cdr:y>0.10814</cdr:y>
    </cdr:from>
    <cdr:to>
      <cdr:x>1</cdr:x>
      <cdr:y>0.10814</cdr:y>
    </cdr:to>
    <cdr:cxnSp macro="">
      <cdr:nvCxnSpPr>
        <cdr:cNvPr id="3" name="Straight Connector 2">
          <a:extLst xmlns:a="http://schemas.openxmlformats.org/drawingml/2006/main">
            <a:ext uri="{FF2B5EF4-FFF2-40B4-BE49-F238E27FC236}">
              <a16:creationId xmlns:a16="http://schemas.microsoft.com/office/drawing/2014/main" id="{93F8FDF5-5413-4783-B659-F9E93B374F16}"/>
            </a:ext>
          </a:extLst>
        </cdr:cNvPr>
        <cdr:cNvCxnSpPr/>
      </cdr:nvCxnSpPr>
      <cdr:spPr>
        <a:xfrm xmlns:a="http://schemas.openxmlformats.org/drawingml/2006/main">
          <a:off x="356856" y="325481"/>
          <a:ext cx="4786644" cy="0"/>
        </a:xfrm>
        <a:prstGeom xmlns:a="http://schemas.openxmlformats.org/drawingml/2006/main" prst="line">
          <a:avLst/>
        </a:prstGeom>
        <a:ln xmlns:a="http://schemas.openxmlformats.org/drawingml/2006/main" w="508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0.12958</cdr:x>
      <cdr:y>0.20626</cdr:y>
    </cdr:from>
    <cdr:to>
      <cdr:x>0.99025</cdr:x>
      <cdr:y>0.20626</cdr:y>
    </cdr:to>
    <cdr:cxnSp macro="">
      <cdr:nvCxnSpPr>
        <cdr:cNvPr id="3" name="Straight Connector 2">
          <a:extLst xmlns:a="http://schemas.openxmlformats.org/drawingml/2006/main">
            <a:ext uri="{FF2B5EF4-FFF2-40B4-BE49-F238E27FC236}">
              <a16:creationId xmlns:a16="http://schemas.microsoft.com/office/drawing/2014/main" id="{D472EFF2-62DE-495D-8FC5-BDCB1F6A9050}"/>
            </a:ext>
          </a:extLst>
        </cdr:cNvPr>
        <cdr:cNvCxnSpPr/>
      </cdr:nvCxnSpPr>
      <cdr:spPr>
        <a:xfrm xmlns:a="http://schemas.openxmlformats.org/drawingml/2006/main">
          <a:off x="784992" y="400783"/>
          <a:ext cx="5213853" cy="0"/>
        </a:xfrm>
        <a:prstGeom xmlns:a="http://schemas.openxmlformats.org/drawingml/2006/main" prst="line">
          <a:avLst/>
        </a:prstGeom>
        <a:ln xmlns:a="http://schemas.openxmlformats.org/drawingml/2006/main" w="3810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B0690-BC93-4625-B16C-2FA34386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37665</Words>
  <Characters>214692</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Hiebert</dc:creator>
  <cp:keywords/>
  <dc:description/>
  <cp:lastModifiedBy>Richard Ngirwa</cp:lastModifiedBy>
  <cp:revision>3</cp:revision>
  <cp:lastPrinted>2019-08-26T01:46:00Z</cp:lastPrinted>
  <dcterms:created xsi:type="dcterms:W3CDTF">2020-11-24T08:00:00Z</dcterms:created>
  <dcterms:modified xsi:type="dcterms:W3CDTF">2020-11-24T08:00:00Z</dcterms:modified>
</cp:coreProperties>
</file>